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SamadhanPath – Acceptance Criteria &amp; Edge Cases</w:t>
      </w:r>
    </w:p>
    <w:p>
      <w:pPr>
        <w:spacing w:after="40" w:line="240" w:lineRule="auto"/>
      </w:pPr>
      <w:r>
        <w:rPr>
          <w:b/>
          <w:sz w:val="26"/>
        </w:rPr>
        <w:t>1. Citizen Portal (User-Side)</w:t>
      </w:r>
    </w:p>
    <w:p>
      <w:pPr>
        <w:spacing w:after="40" w:line="240" w:lineRule="auto"/>
      </w:pPr>
      <w:r>
        <w:rPr>
          <w:b/>
        </w:rPr>
        <w:t>Acceptance Criteria</w:t>
      </w:r>
    </w:p>
    <w:p>
      <w:pPr>
        <w:pStyle w:val="ListBullet"/>
        <w:spacing w:after="30"/>
      </w:pPr>
      <w:r>
        <w:t>Citizens can submit a grievance using text, image, or voice input with automatic GPS or manual location.</w:t>
      </w:r>
    </w:p>
    <w:p>
      <w:pPr>
        <w:pStyle w:val="ListBullet"/>
        <w:spacing w:after="30"/>
      </w:pPr>
      <w:r>
        <w:t>The system identifies the probable department automatically so citizens do not need to know the responsible authority.</w:t>
      </w:r>
    </w:p>
    <w:p>
      <w:pPr>
        <w:pStyle w:val="ListBullet"/>
        <w:spacing w:after="30"/>
      </w:pPr>
      <w:r>
        <w:t>Each complaint generates a unique complaint/ticket ID.</w:t>
      </w:r>
    </w:p>
    <w:p>
      <w:pPr>
        <w:pStyle w:val="ListBullet"/>
        <w:spacing w:after="30"/>
      </w:pPr>
      <w:r>
        <w:t>Citizens can track the complete status flow from Submitted to Acknowledged, In Progress, Resolved, and Closed.</w:t>
      </w:r>
    </w:p>
    <w:p>
      <w:pPr>
        <w:pStyle w:val="ListBullet"/>
        <w:spacing w:after="30"/>
      </w:pPr>
      <w:r>
        <w:t>Citizens receive notifications when the complaint is received, assigned, updated, verified, or closed.</w:t>
      </w:r>
    </w:p>
    <w:p>
      <w:pPr>
        <w:pStyle w:val="ListBullet"/>
        <w:spacing w:after="30"/>
      </w:pPr>
      <w:r>
        <w:t>Duplicate complaints from the same location and issue type are detected and linked to a master issue.</w:t>
      </w:r>
    </w:p>
    <w:p>
      <w:pPr>
        <w:pStyle w:val="ListBullet"/>
        <w:spacing w:after="30"/>
      </w:pPr>
      <w:r>
        <w:t>Citizens can view basic department information, complaint history, and resolution evidence.</w:t>
      </w:r>
    </w:p>
    <w:p>
      <w:pPr>
        <w:pStyle w:val="ListBullet"/>
        <w:spacing w:after="30"/>
      </w:pPr>
      <w:r>
        <w:t>After government verification, the citizen can confirm “Resolved” or “Not Resolved”.</w:t>
      </w:r>
    </w:p>
    <w:p>
      <w:pPr>
        <w:pStyle w:val="ListBullet"/>
        <w:spacing w:after="30"/>
      </w:pPr>
      <w:r>
        <w:t>A complaint marked “Not Resolved” is reopened and returned to the responsible authority.</w:t>
      </w:r>
    </w:p>
    <w:p>
      <w:pPr>
        <w:pStyle w:val="ListBullet"/>
        <w:spacing w:after="30"/>
      </w:pPr>
      <w:r>
        <w:t>The interface remains simple, mobile-friendly, and usable across common browsers.</w:t>
      </w:r>
    </w:p>
    <w:p>
      <w:pPr>
        <w:spacing w:after="40" w:line="240" w:lineRule="auto"/>
      </w:pPr>
      <w:r>
        <w:rPr>
          <w:b/>
        </w:rPr>
        <w:t>Edge Cases</w:t>
      </w:r>
    </w:p>
    <w:p>
      <w:pPr>
        <w:pStyle w:val="ListBullet"/>
        <w:spacing w:after="30"/>
      </w:pPr>
      <w:r>
        <w:t>GPS disabled → manual location selection is enabled.</w:t>
      </w:r>
    </w:p>
    <w:p>
      <w:pPr>
        <w:pStyle w:val="ListBullet"/>
        <w:spacing w:after="30"/>
      </w:pPr>
      <w:r>
        <w:t>Photo unavailable → complaint can still be submitted using description or voice.</w:t>
      </w:r>
    </w:p>
    <w:p>
      <w:pPr>
        <w:pStyle w:val="ListBullet"/>
        <w:spacing w:after="30"/>
      </w:pPr>
      <w:r>
        <w:t>Wrong department predicted → authority can manually reassign the complaint.</w:t>
      </w:r>
    </w:p>
    <w:p>
      <w:pPr>
        <w:pStyle w:val="ListBullet"/>
        <w:spacing w:after="30"/>
      </w:pPr>
      <w:r>
        <w:t>Multiple citizens report the same issue → reports are merged under one master issue while retaining supporting citizen records.</w:t>
      </w:r>
    </w:p>
    <w:p>
      <w:pPr>
        <w:pStyle w:val="ListBullet"/>
        <w:spacing w:after="30"/>
      </w:pPr>
      <w:r>
        <w:t>Citizen does not respond to resolution confirmation → reminder is sent and fallback notification can be used.</w:t>
      </w:r>
    </w:p>
    <w:p>
      <w:pPr>
        <w:pStyle w:val="ListBullet"/>
        <w:spacing w:after="30"/>
      </w:pPr>
      <w:r>
        <w:t>Suspicious or repeated spam submissions → complaint is flagged for validation instead of directly entering the normal workflow.</w:t>
      </w:r>
    </w:p>
    <w:p>
      <w:pPr>
        <w:spacing w:after="40" w:line="240" w:lineRule="auto"/>
      </w:pPr>
      <w:r>
        <w:rPr>
          <w:b/>
          <w:sz w:val="26"/>
        </w:rPr>
        <w:t>2. Authority Portal (Role-Based Access)</w:t>
      </w:r>
    </w:p>
    <w:p>
      <w:pPr>
        <w:spacing w:after="40" w:line="240" w:lineRule="auto"/>
      </w:pPr>
      <w:r>
        <w:rPr>
          <w:b/>
        </w:rPr>
        <w:t>Roles &amp; Access</w:t>
      </w:r>
    </w:p>
    <w:p>
      <w:pPr>
        <w:pStyle w:val="ListBullet"/>
        <w:spacing w:after="30"/>
      </w:pPr>
      <w:r>
        <w:t>Head Department – monitors department performance, escalations, SLA violations, zones, and recurring issues.</w:t>
      </w:r>
    </w:p>
    <w:p>
      <w:pPr>
        <w:pStyle w:val="ListBullet"/>
        <w:spacing w:after="30"/>
      </w:pPr>
      <w:r>
        <w:t>Local Authority / Department Admin – receives operational complaints, assigns officers, and manages resolution.</w:t>
      </w:r>
    </w:p>
    <w:p>
      <w:pPr>
        <w:pStyle w:val="ListBullet"/>
        <w:spacing w:after="30"/>
      </w:pPr>
      <w:r>
        <w:t>Field Officer – inspects issues, updates work progress, and uploads proof of resolution.</w:t>
      </w:r>
    </w:p>
    <w:p>
      <w:pPr>
        <w:pStyle w:val="ListBullet"/>
        <w:spacing w:after="30"/>
      </w:pPr>
      <w:r>
        <w:t>Contractor – accesses only assigned contract-linked work and submits repair evidence where applicable.</w:t>
      </w:r>
    </w:p>
    <w:p>
      <w:pPr>
        <w:spacing w:after="40" w:line="240" w:lineRule="auto"/>
      </w:pPr>
      <w:r>
        <w:rPr>
          <w:b/>
        </w:rPr>
        <w:t>Acceptance Criteria – Head Department</w:t>
      </w:r>
    </w:p>
    <w:p>
      <w:pPr>
        <w:pStyle w:val="ListBullet"/>
        <w:spacing w:after="30"/>
      </w:pPr>
      <w:r>
        <w:t>Can view department-wide complaints, pending cases, SLA violations, average resolution time, and geographic distribution.</w:t>
      </w:r>
    </w:p>
    <w:p>
      <w:pPr>
        <w:pStyle w:val="ListBullet"/>
        <w:spacing w:after="30"/>
      </w:pPr>
      <w:r>
        <w:t>Can monitor local authorities and compare zone/ward performance.</w:t>
      </w:r>
    </w:p>
    <w:p>
      <w:pPr>
        <w:pStyle w:val="ListBullet"/>
        <w:spacing w:after="30"/>
      </w:pPr>
      <w:r>
        <w:t>Can view escalated, recurring, and high-risk civic issues.</w:t>
      </w:r>
    </w:p>
    <w:p>
      <w:pPr>
        <w:pStyle w:val="ListBullet"/>
        <w:spacing w:after="30"/>
      </w:pPr>
      <w:r>
        <w:t>Can monitor contractor and asset-related performance where contract data is available.</w:t>
      </w:r>
    </w:p>
    <w:p>
      <w:pPr>
        <w:spacing w:after="40" w:line="240" w:lineRule="auto"/>
      </w:pPr>
      <w:r>
        <w:rPr>
          <w:b/>
        </w:rPr>
        <w:t>Acceptance Criteria – Local Authority / Department Admin</w:t>
      </w:r>
    </w:p>
    <w:p>
      <w:pPr>
        <w:pStyle w:val="ListBullet"/>
        <w:spacing w:after="30"/>
      </w:pPr>
      <w:r>
        <w:t>Views only complaints relevant to the assigned department and jurisdiction.</w:t>
      </w:r>
    </w:p>
    <w:p>
      <w:pPr>
        <w:pStyle w:val="ListBullet"/>
        <w:spacing w:after="30"/>
      </w:pPr>
      <w:r>
        <w:t>Can assign or reassign complaints to field officers or responsible teams.</w:t>
      </w:r>
    </w:p>
    <w:p>
      <w:pPr>
        <w:pStyle w:val="ListBullet"/>
        <w:spacing w:after="30"/>
      </w:pPr>
      <w:r>
        <w:t>Can update complaint status and add official remarks.</w:t>
      </w:r>
    </w:p>
    <w:p>
      <w:pPr>
        <w:pStyle w:val="ListBullet"/>
        <w:spacing w:after="30"/>
      </w:pPr>
      <w:r>
        <w:t>Can inspect AI classification, duplicate, priority, and severity indicators before action.</w:t>
      </w:r>
    </w:p>
    <w:p>
      <w:pPr>
        <w:pStyle w:val="ListBullet"/>
        <w:spacing w:after="30"/>
      </w:pPr>
      <w:r>
        <w:t>Can verify completed work and send the complaint to the citizen for final confirmation.</w:t>
      </w:r>
    </w:p>
    <w:p>
      <w:pPr>
        <w:spacing w:after="40" w:line="240" w:lineRule="auto"/>
      </w:pPr>
      <w:r>
        <w:rPr>
          <w:b/>
        </w:rPr>
        <w:t>Acceptance Criteria – Field Officer / Contractor</w:t>
      </w:r>
    </w:p>
    <w:p>
      <w:pPr>
        <w:pStyle w:val="ListBullet"/>
        <w:spacing w:after="30"/>
      </w:pPr>
      <w:r>
        <w:t>Receives assigned work with location, complaint details, and relevant evidence.</w:t>
      </w:r>
    </w:p>
    <w:p>
      <w:pPr>
        <w:pStyle w:val="ListBullet"/>
        <w:spacing w:after="30"/>
      </w:pPr>
      <w:r>
        <w:t>Can update progress such as On Site, Work Started, and Work Completed.</w:t>
      </w:r>
    </w:p>
    <w:p>
      <w:pPr>
        <w:pStyle w:val="ListBullet"/>
        <w:spacing w:after="30"/>
      </w:pPr>
      <w:r>
        <w:t>Can upload before/after photos and completion proof.</w:t>
      </w:r>
    </w:p>
    <w:p>
      <w:pPr>
        <w:pStyle w:val="ListBullet"/>
        <w:spacing w:after="30"/>
      </w:pPr>
      <w:r>
        <w:t>Contractors can view only work linked to their assigned asset, contract, or DLP responsibility.</w:t>
      </w:r>
    </w:p>
    <w:p>
      <w:pPr>
        <w:spacing w:after="40" w:line="240" w:lineRule="auto"/>
      </w:pPr>
      <w:r>
        <w:rPr>
          <w:b/>
        </w:rPr>
        <w:t>Edge Cases</w:t>
      </w:r>
    </w:p>
    <w:p>
      <w:pPr>
        <w:pStyle w:val="ListBullet"/>
        <w:spacing w:after="30"/>
      </w:pPr>
      <w:r>
        <w:t>AI routing is incorrect → authorized admin manually changes the department or local authority.</w:t>
      </w:r>
    </w:p>
    <w:p>
      <w:pPr>
        <w:pStyle w:val="ListBullet"/>
        <w:spacing w:after="30"/>
      </w:pPr>
      <w:r>
        <w:t>Assigned officer is unavailable → complaint is reassigned or escalated according to SLA rules.</w:t>
      </w:r>
    </w:p>
    <w:p>
      <w:pPr>
        <w:pStyle w:val="ListBullet"/>
        <w:spacing w:after="30"/>
      </w:pPr>
      <w:r>
        <w:t>Complaint remains unresolved beyond SLA → higher authority receives an escalation alert.</w:t>
      </w:r>
    </w:p>
    <w:p>
      <w:pPr>
        <w:pStyle w:val="ListBullet"/>
        <w:spacing w:after="30"/>
      </w:pPr>
      <w:r>
        <w:t>Contractor responsibility is uncertain → system marks “Potential Contractual Liability – Inspection Required” instead of declaring fault.</w:t>
      </w:r>
    </w:p>
    <w:p>
      <w:pPr>
        <w:pStyle w:val="ListBullet"/>
        <w:spacing w:after="30"/>
      </w:pPr>
      <w:r>
        <w:t>Government marks work resolved but citizen rejects it → complaint reopens and returns to the operational queue.</w:t>
      </w:r>
    </w:p>
    <w:p>
      <w:pPr>
        <w:spacing w:after="40" w:line="240" w:lineRule="auto"/>
      </w:pPr>
      <w:r>
        <w:rPr>
          <w:b/>
          <w:sz w:val="26"/>
        </w:rPr>
        <w:t>3. Backend / System Layer</w:t>
      </w:r>
    </w:p>
    <w:p>
      <w:pPr>
        <w:spacing w:after="40" w:line="240" w:lineRule="auto"/>
      </w:pPr>
      <w:r>
        <w:rPr>
          <w:b/>
        </w:rPr>
        <w:t>Acceptance Criteria</w:t>
      </w:r>
    </w:p>
    <w:p>
      <w:pPr>
        <w:pStyle w:val="ListBullet"/>
        <w:spacing w:after="30"/>
      </w:pPr>
      <w:r>
        <w:t>Authentication and role-based access are enforced for citizens, officers, department users, contractors, and administrators.</w:t>
      </w:r>
    </w:p>
    <w:p>
      <w:pPr>
        <w:pStyle w:val="ListBullet"/>
        <w:spacing w:after="30"/>
      </w:pPr>
      <w:r>
        <w:t>The AI layer validates complaints, classifies departments, detects duplicates, and assigns severity/priority indicators.</w:t>
      </w:r>
    </w:p>
    <w:p>
      <w:pPr>
        <w:pStyle w:val="ListBullet"/>
        <w:spacing w:after="30"/>
      </w:pPr>
      <w:r>
        <w:t>Routing supports both the Head Department for monitoring and the Local Authority for operational action.</w:t>
      </w:r>
    </w:p>
    <w:p>
      <w:pPr>
        <w:pStyle w:val="ListBullet"/>
        <w:spacing w:after="30"/>
      </w:pPr>
      <w:r>
        <w:t>Every important complaint action is stored in an audit trail with status and timestamp history.</w:t>
      </w:r>
    </w:p>
    <w:p>
      <w:pPr>
        <w:pStyle w:val="ListBullet"/>
        <w:spacing w:after="30"/>
      </w:pPr>
      <w:r>
        <w:t>Notifications are triggered for complaint submission, assignment, SLA warning, escalation, resolution, and citizen confirmation.</w:t>
      </w:r>
    </w:p>
    <w:p>
      <w:pPr>
        <w:pStyle w:val="ListBullet"/>
        <w:spacing w:after="30"/>
      </w:pPr>
      <w:r>
        <w:t>The system stores complaint evidence securely and preserves links between complaint, location, asset, contract, and responsible authority when available.</w:t>
      </w:r>
    </w:p>
    <w:p>
      <w:pPr>
        <w:pStyle w:val="ListBullet"/>
        <w:spacing w:after="30"/>
      </w:pPr>
      <w:r>
        <w:t>Dashboard data supports pending/resolved statistics, SLA compliance, resolution time, hotspot analysis, recurring issues, and department performance.</w:t>
      </w:r>
    </w:p>
    <w:p>
      <w:pPr>
        <w:pStyle w:val="ListBullet"/>
        <w:spacing w:after="30"/>
      </w:pPr>
      <w:r>
        <w:t>The architecture supports integration with existing government systems through APIs/connectors without requiring those systems to be replaced.</w:t>
      </w:r>
    </w:p>
    <w:p>
      <w:pPr>
        <w:spacing w:after="40" w:line="240" w:lineRule="auto"/>
      </w:pPr>
      <w:r>
        <w:rPr>
          <w:b/>
        </w:rPr>
        <w:t>Edge Cases</w:t>
      </w:r>
    </w:p>
    <w:p>
      <w:pPr>
        <w:pStyle w:val="ListBullet"/>
        <w:spacing w:after="30"/>
      </w:pPr>
      <w:r>
        <w:t>External government API is unavailable → request is queued/retried and the failure is logged.</w:t>
      </w:r>
    </w:p>
    <w:p>
      <w:pPr>
        <w:pStyle w:val="ListBullet"/>
        <w:spacing w:after="30"/>
      </w:pPr>
      <w:r>
        <w:t>Duplicate detection is uncertain → system flags the possible match for review instead of automatically merging it.</w:t>
      </w:r>
    </w:p>
    <w:p>
      <w:pPr>
        <w:pStyle w:val="ListBullet"/>
        <w:spacing w:after="30"/>
      </w:pPr>
      <w:r>
        <w:t>AI classification confidence is low → complaint is routed for manual validation.</w:t>
      </w:r>
    </w:p>
    <w:p>
      <w:pPr>
        <w:pStyle w:val="ListBullet"/>
        <w:spacing w:after="30"/>
      </w:pPr>
      <w:r>
        <w:t>Notification delivery fails → retry or fallback channel is used.</w:t>
      </w:r>
    </w:p>
    <w:p>
      <w:pPr>
        <w:pStyle w:val="ListBullet"/>
        <w:spacing w:after="30"/>
      </w:pPr>
      <w:r>
        <w:t>Two users update the same complaint simultaneously → conflict is logged and the latest authorized update is preserved according to system rules.</w:t>
      </w:r>
    </w:p>
    <w:p>
      <w:pPr>
        <w:pStyle w:val="ListBullet"/>
        <w:spacing w:after="30"/>
      </w:pPr>
      <w:r>
        <w:t>Temporary server or database failure → pending actions are recovered from queue/logs after service restoration.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