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Query Intent Resolver</w:t>
      </w:r>
    </w:p>
    <w:p>
      <w:r>
        <w:t>V1.1 | Technical closeout and integration handoff</w:t>
      </w:r>
    </w:p>
    <w:p>
      <w:pPr>
        <w:pStyle w:val="Heading1"/>
      </w:pPr>
      <w:r>
        <w:t>Delivery decision</w:t>
      </w:r>
    </w:p>
    <w:p>
      <w:r>
        <w:t>The query-only engineering package is complete. Internal quality gates are not all met. Live MascotGO deployment is not authorized: concrete handlers, product approval and independently labeled real traffic remain external requirements.</w:t>
      </w:r>
    </w:p>
    <w:p>
      <w:pPr>
        <w:pStyle w:val="Heading1"/>
      </w:pPr>
      <w:r>
        <w:t>What was finished</w:t>
      </w:r>
    </w:p>
    <w:p>
      <w:r>
        <w:t>The submitted 55-row review was verified against the quarantine queue. 15 labels were retained unchanged; 30 were separately policy-adjudicated; 10 context-dependent queries were excluded. The original reviewer CSV and every original V1 file are unchanged. The strict new fit contains 7,071 queries.</w:t>
      </w:r>
    </w:p>
    <w:p>
      <w:pPr>
        <w:pStyle w:val="Heading1"/>
      </w:pPr>
      <w:r>
        <w:t>Model selection and evidence</w:t>
      </w:r>
    </w:p>
    <w:p>
      <w:r>
        <w:t>The selected candidate is linearsvc. Three fixed candidates were evaluated using grouped training out-of-fold predictions. Model, routing threshold and optional lookup rule were fixed before reading evaluation labels. The legacy 300-query benchmark is historical regression evidence, not a new blind test. V1.1 has zero exact and zero heuristic template-family overlaps with its fit; semantic overlap beyond this heuristic remains possible.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Historical 300</w:t>
            </w:r>
          </w:p>
        </w:tc>
        <w:tc>
          <w:tcPr>
            <w:tcW w:type="dxa" w:w="2880"/>
          </w:tcPr>
          <w:p>
            <w:r>
              <w:t>Core applicability 100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80.33%</w:t>
            </w:r>
          </w:p>
        </w:tc>
        <w:tc>
          <w:tcPr>
            <w:tcW w:type="dxa" w:w="2880"/>
          </w:tcPr>
          <w:p>
            <w:r>
              <w:t>62.00%</w:t>
            </w:r>
          </w:p>
        </w:tc>
      </w:tr>
      <w:tr>
        <w:tc>
          <w:tcPr>
            <w:tcW w:type="dxa" w:w="2880"/>
          </w:tcPr>
          <w:p>
            <w:r>
              <w:t>Macro F1</w:t>
            </w:r>
          </w:p>
        </w:tc>
        <w:tc>
          <w:tcPr>
            <w:tcW w:type="dxa" w:w="2880"/>
          </w:tcPr>
          <w:p>
            <w:r>
              <w:t>0.8041</w:t>
            </w:r>
          </w:p>
        </w:tc>
        <w:tc>
          <w:tcPr>
            <w:tcW w:type="dxa" w:w="2880"/>
          </w:tcPr>
          <w:p>
            <w:r>
              <w:t>0.6175</w:t>
            </w:r>
          </w:p>
        </w:tc>
      </w:tr>
      <w:tr>
        <w:tc>
          <w:tcPr>
            <w:tcW w:type="dxa" w:w="2880"/>
          </w:tcPr>
          <w:p>
            <w:r>
              <w:t>False SC / predicted SC</w:t>
            </w:r>
          </w:p>
        </w:tc>
        <w:tc>
          <w:tcPr>
            <w:tcW w:type="dxa" w:w="2880"/>
          </w:tcPr>
          <w:p>
            <w:r>
              <w:t>14.52%</w:t>
            </w:r>
          </w:p>
        </w:tc>
        <w:tc>
          <w:tcPr>
            <w:tcW w:type="dxa" w:w="2880"/>
          </w:tcPr>
          <w:p>
            <w:r>
              <w:t>20.00%</w:t>
            </w:r>
          </w:p>
        </w:tc>
      </w:tr>
      <w:tr>
        <w:tc>
          <w:tcPr>
            <w:tcW w:type="dxa" w:w="2880"/>
          </w:tcPr>
          <w:p>
            <w:r>
              <w:t>Short-circuit recall</w:t>
            </w:r>
          </w:p>
        </w:tc>
        <w:tc>
          <w:tcPr>
            <w:tcW w:type="dxa" w:w="2880"/>
          </w:tcPr>
          <w:p>
            <w:r>
              <w:t>70.67%</w:t>
            </w:r>
          </w:p>
        </w:tc>
        <w:tc>
          <w:tcPr>
            <w:tcW w:type="dxa" w:w="2880"/>
          </w:tcPr>
          <w:p>
            <w:r>
              <w:t>64.00%</w:t>
            </w:r>
          </w:p>
        </w:tc>
      </w:tr>
    </w:tbl>
    <w:p>
      <w:pPr>
        <w:pStyle w:val="Heading1"/>
      </w:pPr>
      <w:r>
        <w:t>Applicability and runtime</w:t>
      </w:r>
    </w:p>
    <w:p>
      <w:r>
        <w:t>The balanced 100-case assistant-authored core suite achieved 62.00% accuracy and 0.6175 macro F1. Twenty boundary cases are reported separately. These cases are neither independent human testing nor real-user traffic. The runtime passed 134/134 contract, input-validation, batch, parity and threading checks.</w:t>
      </w:r>
    </w:p>
    <w:p>
      <w:pPr>
        <w:pStyle w:val="Heading1"/>
      </w:pPr>
      <w:r>
        <w:t>Confidence and cost</w:t>
      </w:r>
    </w:p>
    <w:p>
      <w:r>
        <w:t>Learned confidence is the probability of the emitted route, not the probability of a discarded prediction. Guard fallback confidence is zero to indicate unknown. No external model API calls or LLM tokens were used in this closeout; infrastructure, CPU and downstream costs are not claimed to be zero.</w:t>
      </w:r>
    </w:p>
    <w:p>
      <w:pPr>
        <w:pStyle w:val="Heading1"/>
      </w:pPr>
      <w:r>
        <w:t>Integration boundary</w:t>
      </w:r>
    </w:p>
    <w:p>
      <w:r>
        <w:t>The API accepts raw query_text and returns exactly route and confidence. Persona, page, filters, context and session do not influence V1.1 predictions. Python, CLI, FastAPI, OpenAPI, Docker and explicit four-handler binding examples are supplied. There are no fabricated endpoint URLs, credentials or claimed live Foundry deployments.</w:t>
      </w:r>
    </w:p>
    <w:p>
      <w:pPr>
        <w:pStyle w:val="Heading1"/>
      </w:pPr>
      <w:r>
        <w:t>Peter's remaining decisions</w:t>
      </w:r>
    </w:p>
    <w:p>
      <w:r>
        <w:t>Confirm the invocation surface, route-to-handler mapping, indexed-field coverage, optional request fields, preferred deployment environment and an authorized real-query or shadow sample. Approve error tolerances only after independent validation. Issue #5 remains the external product decision record.</w:t>
      </w:r>
    </w:p>
    <w:p>
      <w:pPr>
        <w:pStyle w:val="Heading1"/>
      </w:pPr>
      <w:r>
        <w:t>Use this package</w:t>
      </w:r>
    </w:p>
    <w:p>
      <w:r>
        <w:t>Start with v1_1/docs/REVIEWER_BRIEF.html and TECHNICAL_CLOSEOUT.md. Exact metrics, row-level predictions, failures, review dispositions, hashes and environment are under v1_1/artifacts/. Reproduce with PYTHONPATH=v1_1 python -m qir_release.build --repo-root . using the pinned requirements. The previous V1.0.1 remains available for rollback and comparison.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