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0A40" w14:paraId="1CCE3C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80" w:type="dxa"/>
              <w:left w:w="220" w:type="dxa"/>
              <w:bottom w:w="160" w:type="dxa"/>
              <w:right w:w="220" w:type="dxa"/>
            </w:tcMar>
          </w:tcPr>
          <w:p w14:paraId="19CB06BD" w14:textId="77CC58C2" w:rsidR="00AE0A40" w:rsidRDefault="00000000">
            <w:r>
              <w:rPr>
                <w:b/>
                <w:bCs/>
                <w:color w:val="FFFFFF"/>
                <w:sz w:val="38"/>
                <w:szCs w:val="38"/>
              </w:rPr>
              <w:t>Query Classification System</w:t>
            </w:r>
          </w:p>
        </w:tc>
      </w:tr>
    </w:tbl>
    <w:p w14:paraId="2EE9666C" w14:textId="77777777" w:rsidR="00AE0A40" w:rsidRDefault="00AE0A40">
      <w:pPr>
        <w:spacing w:before="100" w:after="30"/>
      </w:pPr>
    </w:p>
    <w:p w14:paraId="4B0AFF8C" w14:textId="77777777" w:rsidR="00AE0A40" w:rsidRDefault="00000000">
      <w:pPr>
        <w:pStyle w:val="Heading1"/>
        <w:pBdr>
          <w:bottom w:val="single" w:sz="6" w:space="3" w:color="2E75B6"/>
        </w:pBdr>
      </w:pPr>
      <w:r>
        <w:t>Overview</w:t>
      </w:r>
    </w:p>
    <w:p w14:paraId="7FFA6E2E" w14:textId="77777777" w:rsidR="00AE0A40" w:rsidRDefault="00000000">
      <w:pPr>
        <w:spacing w:before="30" w:after="50"/>
      </w:pPr>
      <w:r>
        <w:rPr>
          <w:color w:val="1A1A1A"/>
        </w:rPr>
        <w:t>The classification system processes every user query before any search or generation begins. It reads the raw query text and returns four signals — persona, intent, confidence, and entities — that tell the rest of the pipeline who is asking, what they need, how certain we are, and what the query is fundamentally about. These signals are what allow the system to respond differently to a high school student and a college administrator asking nearly the same question.</w:t>
      </w:r>
    </w:p>
    <w:p w14:paraId="4561D020" w14:textId="77777777" w:rsidR="00AE0A40" w:rsidRDefault="00000000">
      <w:pPr>
        <w:pStyle w:val="Heading1"/>
        <w:pBdr>
          <w:bottom w:val="single" w:sz="6" w:space="3" w:color="2E75B6"/>
        </w:pBdr>
      </w:pPr>
      <w:r>
        <w:t>Inputs and Outputs</w:t>
      </w:r>
    </w:p>
    <w:p w14:paraId="547A2760" w14:textId="77777777" w:rsidR="00AE0A40" w:rsidRDefault="00000000">
      <w:pPr>
        <w:spacing w:before="30" w:after="60"/>
      </w:pPr>
      <w:r>
        <w:rPr>
          <w:b/>
          <w:bCs/>
          <w:color w:val="1A1A1A"/>
        </w:rPr>
        <w:t xml:space="preserve">Input: </w:t>
      </w:r>
      <w:r>
        <w:rPr>
          <w:color w:val="1A1A1A"/>
        </w:rPr>
        <w:t xml:space="preserve">Raw query text, passed directly with no preprocessing. </w:t>
      </w:r>
      <w:r>
        <w:rPr>
          <w:b/>
          <w:bCs/>
          <w:color w:val="1A1A1A"/>
        </w:rPr>
        <w:t xml:space="preserve">Output: </w:t>
      </w:r>
      <w:r>
        <w:rPr>
          <w:color w:val="1A1A1A"/>
        </w:rPr>
        <w:t xml:space="preserve">Four fields returned together. </w:t>
      </w:r>
      <w:proofErr w:type="gramStart"/>
      <w:r>
        <w:rPr>
          <w:b/>
          <w:bCs/>
          <w:color w:val="1A1A1A"/>
        </w:rPr>
        <w:t>Persona</w:t>
      </w:r>
      <w:proofErr w:type="gramEnd"/>
      <w:r>
        <w:rPr>
          <w:color w:val="1A1A1A"/>
        </w:rPr>
        <w:t xml:space="preserve"> identifies who is asking, inferred from vocabulary and framing — never stated by the user. </w:t>
      </w:r>
      <w:r>
        <w:rPr>
          <w:b/>
          <w:bCs/>
          <w:color w:val="1A1A1A"/>
        </w:rPr>
        <w:t>Intent</w:t>
      </w:r>
      <w:r>
        <w:rPr>
          <w:color w:val="1A1A1A"/>
        </w:rPr>
        <w:t xml:space="preserve"> captures what they are trying to accomplish. </w:t>
      </w:r>
      <w:r>
        <w:rPr>
          <w:b/>
          <w:bCs/>
          <w:color w:val="1A1A1A"/>
        </w:rPr>
        <w:t>Confidence</w:t>
      </w:r>
      <w:r>
        <w:rPr>
          <w:color w:val="1A1A1A"/>
        </w:rPr>
        <w:t xml:space="preserve"> is a score from 0 to 1 reflecting the model’s certainty about its assignments. </w:t>
      </w:r>
      <w:r>
        <w:rPr>
          <w:b/>
          <w:bCs/>
          <w:color w:val="1A1A1A"/>
        </w:rPr>
        <w:t>Entities</w:t>
      </w:r>
      <w:r>
        <w:rPr>
          <w:color w:val="1A1A1A"/>
        </w:rPr>
        <w:t xml:space="preserve"> are the key concepts the query depends on — programs, institutions, attributes, or constraints mentioned or implied.</w:t>
      </w:r>
    </w:p>
    <w:p w14:paraId="6D458037" w14:textId="77777777" w:rsidR="00AE0A40" w:rsidRDefault="00000000">
      <w:pPr>
        <w:pStyle w:val="Heading1"/>
        <w:pBdr>
          <w:bottom w:val="single" w:sz="6" w:space="3" w:color="2E75B6"/>
        </w:pBdr>
      </w:pPr>
      <w:proofErr w:type="gramStart"/>
      <w:r>
        <w:t>Persona</w:t>
      </w:r>
      <w:proofErr w:type="gramEnd"/>
      <w:r>
        <w:t xml:space="preserve"> and Intent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0"/>
        <w:gridCol w:w="4820"/>
      </w:tblGrid>
      <w:tr w:rsidR="00AE0A40" w14:paraId="77E18C59"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E549EDD" w14:textId="77777777" w:rsidR="00AE0A40" w:rsidRDefault="00000000">
            <w:r>
              <w:rPr>
                <w:b/>
                <w:bCs/>
                <w:color w:val="FFFFFF"/>
                <w:sz w:val="17"/>
                <w:szCs w:val="17"/>
              </w:rPr>
              <w:t>Persona</w:t>
            </w:r>
          </w:p>
        </w:tc>
        <w:tc>
          <w:tcPr>
            <w:tcW w:w="48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F5F58E1" w14:textId="77777777" w:rsidR="00AE0A40" w:rsidRDefault="00000000">
            <w:r>
              <w:rPr>
                <w:b/>
                <w:bCs/>
                <w:color w:val="FFFFFF"/>
                <w:sz w:val="17"/>
                <w:szCs w:val="17"/>
              </w:rPr>
              <w:t>Intent</w:t>
            </w:r>
          </w:p>
        </w:tc>
      </w:tr>
      <w:tr w:rsidR="00AE0A40" w14:paraId="301702DD"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21FA8" w14:textId="77777777" w:rsidR="00AE0A40" w:rsidRDefault="00000000">
            <w:r>
              <w:rPr>
                <w:color w:val="1A1A1A"/>
                <w:sz w:val="17"/>
                <w:szCs w:val="17"/>
              </w:rPr>
              <w:t>High school student — SAT/ACT, applying, campus visits</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5241B" w14:textId="77777777" w:rsidR="00AE0A40" w:rsidRDefault="00000000">
            <w:r>
              <w:rPr>
                <w:color w:val="1A1A1A"/>
                <w:sz w:val="17"/>
                <w:szCs w:val="17"/>
              </w:rPr>
              <w:t xml:space="preserve">Attribute lookup — </w:t>
            </w:r>
            <w:proofErr w:type="gramStart"/>
            <w:r>
              <w:rPr>
                <w:color w:val="1A1A1A"/>
                <w:sz w:val="17"/>
                <w:szCs w:val="17"/>
              </w:rPr>
              <w:t>a specific fact</w:t>
            </w:r>
            <w:proofErr w:type="gramEnd"/>
            <w:r>
              <w:rPr>
                <w:color w:val="1A1A1A"/>
                <w:sz w:val="17"/>
                <w:szCs w:val="17"/>
              </w:rPr>
              <w:t>, policy, or requirement</w:t>
            </w:r>
          </w:p>
        </w:tc>
      </w:tr>
      <w:tr w:rsidR="00AE0A40" w14:paraId="37B328B7"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D5B737" w14:textId="77777777" w:rsidR="00AE0A40" w:rsidRDefault="00000000">
            <w:r>
              <w:rPr>
                <w:color w:val="1A1A1A"/>
                <w:sz w:val="17"/>
                <w:szCs w:val="17"/>
              </w:rPr>
              <w:t>College student — credits, major, GPA, internships</w:t>
            </w:r>
          </w:p>
        </w:tc>
        <w:tc>
          <w:tcPr>
            <w:tcW w:w="48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E2BE82" w14:textId="77777777" w:rsidR="00AE0A40" w:rsidRDefault="00000000">
            <w:r>
              <w:rPr>
                <w:color w:val="1A1A1A"/>
                <w:sz w:val="17"/>
                <w:szCs w:val="17"/>
              </w:rPr>
              <w:t>Filtered search — options matching multiple stated criteria</w:t>
            </w:r>
          </w:p>
        </w:tc>
      </w:tr>
      <w:tr w:rsidR="00AE0A40" w14:paraId="3E83C2C0"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DC3C1" w14:textId="77777777" w:rsidR="00AE0A40" w:rsidRDefault="00000000">
            <w:proofErr w:type="gramStart"/>
            <w:r>
              <w:rPr>
                <w:color w:val="1A1A1A"/>
                <w:sz w:val="17"/>
                <w:szCs w:val="17"/>
              </w:rPr>
              <w:t>Parent —</w:t>
            </w:r>
            <w:proofErr w:type="gramEnd"/>
            <w:r>
              <w:rPr>
                <w:color w:val="1A1A1A"/>
                <w:sz w:val="17"/>
                <w:szCs w:val="17"/>
              </w:rPr>
              <w:t xml:space="preserve"> third-person framing, cost, safety, fit</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BA3B2" w14:textId="77777777" w:rsidR="00AE0A40" w:rsidRDefault="00000000">
            <w:r>
              <w:rPr>
                <w:color w:val="1A1A1A"/>
                <w:sz w:val="17"/>
                <w:szCs w:val="17"/>
              </w:rPr>
              <w:t>Multi-constraint — complex, ranked, or conditional needs</w:t>
            </w:r>
          </w:p>
        </w:tc>
      </w:tr>
      <w:tr w:rsidR="00AE0A40" w14:paraId="1EFDA551"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D3067B" w14:textId="77777777" w:rsidR="00AE0A40" w:rsidRDefault="00000000">
            <w:r>
              <w:rPr>
                <w:color w:val="1A1A1A"/>
                <w:sz w:val="17"/>
                <w:szCs w:val="17"/>
              </w:rPr>
              <w:t>Teacher — curriculum, outcomes, professional development</w:t>
            </w:r>
          </w:p>
        </w:tc>
        <w:tc>
          <w:tcPr>
            <w:tcW w:w="48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AC8882" w14:textId="77777777" w:rsidR="00AE0A40" w:rsidRDefault="00000000">
            <w:r>
              <w:rPr>
                <w:color w:val="1A1A1A"/>
                <w:sz w:val="17"/>
                <w:szCs w:val="17"/>
              </w:rPr>
              <w:t>Emotional advisory — seeking guidance, not a data lookup</w:t>
            </w:r>
          </w:p>
        </w:tc>
      </w:tr>
      <w:tr w:rsidR="00AE0A40" w14:paraId="385AE4A8"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BCFD9" w14:textId="77777777" w:rsidR="00AE0A40" w:rsidRDefault="00000000">
            <w:r>
              <w:rPr>
                <w:color w:val="1A1A1A"/>
                <w:sz w:val="17"/>
                <w:szCs w:val="17"/>
              </w:rPr>
              <w:t>Advisor — caseload, early alert, degree audit, probation</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16CE1" w14:textId="77777777" w:rsidR="00AE0A40" w:rsidRDefault="00AE0A40"/>
        </w:tc>
      </w:tr>
      <w:tr w:rsidR="00AE0A40" w14:paraId="395B5DF2" w14:textId="77777777">
        <w:tblPrEx>
          <w:tblCellMar>
            <w:top w:w="0" w:type="dxa"/>
            <w:bottom w:w="0" w:type="dxa"/>
          </w:tblCellMar>
        </w:tblPrEx>
        <w:tc>
          <w:tcPr>
            <w:tcW w:w="45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02D09C" w14:textId="77777777" w:rsidR="00AE0A40" w:rsidRDefault="00000000">
            <w:r>
              <w:rPr>
                <w:color w:val="1A1A1A"/>
                <w:sz w:val="17"/>
                <w:szCs w:val="17"/>
              </w:rPr>
              <w:t>College / institution — enrollment strategy, retention, ROI</w:t>
            </w:r>
          </w:p>
        </w:tc>
        <w:tc>
          <w:tcPr>
            <w:tcW w:w="48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09A068" w14:textId="77777777" w:rsidR="00AE0A40" w:rsidRDefault="00AE0A40"/>
        </w:tc>
      </w:tr>
    </w:tbl>
    <w:p w14:paraId="012FCE2E" w14:textId="77777777" w:rsidR="00AE0A40" w:rsidRDefault="00AE0A40">
      <w:pPr>
        <w:spacing w:before="60" w:after="30"/>
      </w:pPr>
    </w:p>
    <w:p w14:paraId="22057635" w14:textId="77777777" w:rsidR="00AE0A40" w:rsidRDefault="00000000">
      <w:pPr>
        <w:pStyle w:val="Heading1"/>
        <w:pBdr>
          <w:bottom w:val="single" w:sz="6" w:space="3" w:color="2E75B6"/>
        </w:pBdr>
      </w:pPr>
      <w:r>
        <w:t>Classification Approach</w:t>
      </w:r>
    </w:p>
    <w:p w14:paraId="46948B46" w14:textId="77777777" w:rsidR="00AE0A40" w:rsidRDefault="00000000">
      <w:pPr>
        <w:spacing w:before="30" w:after="50"/>
      </w:pPr>
      <w:r>
        <w:rPr>
          <w:color w:val="1A1A1A"/>
        </w:rPr>
        <w:t xml:space="preserve">A lightweight pre-filter resolves the clearest queries before a model is ever called — language that strongly implies a parent or a current student, for example, can be identified through simple pattern matching at a fraction of the cost. Queries that pass through reach a fast, lower-cost model as the default. Only those returning low confidence escalate to a more capable model. </w:t>
      </w:r>
      <w:r>
        <w:rPr>
          <w:b/>
          <w:bCs/>
          <w:color w:val="1A1A1A"/>
        </w:rPr>
        <w:t>Temperature is fixed at zero throughout:</w:t>
      </w:r>
      <w:r>
        <w:rPr>
          <w:color w:val="1A1A1A"/>
        </w:rPr>
        <w:t xml:space="preserve"> classification must be consistent, not variable. The target is for </w:t>
      </w:r>
      <w:proofErr w:type="gramStart"/>
      <w:r>
        <w:rPr>
          <w:color w:val="1A1A1A"/>
        </w:rPr>
        <w:t>the large majority of</w:t>
      </w:r>
      <w:proofErr w:type="gramEnd"/>
      <w:r>
        <w:rPr>
          <w:color w:val="1A1A1A"/>
        </w:rPr>
        <w:t xml:space="preserve"> volume to be resolved without escalation, with the more powerful model handling fewer than one query in twenty. Entity extraction runs in the same </w:t>
      </w:r>
      <w:proofErr w:type="gramStart"/>
      <w:r>
        <w:rPr>
          <w:color w:val="1A1A1A"/>
        </w:rPr>
        <w:t>pass — the model</w:t>
      </w:r>
      <w:proofErr w:type="gramEnd"/>
      <w:r>
        <w:rPr>
          <w:color w:val="1A1A1A"/>
        </w:rPr>
        <w:t xml:space="preserve"> identifies key concepts alongside its persona and intent assignments.</w:t>
      </w:r>
    </w:p>
    <w:p w14:paraId="4BAFCE5D" w14:textId="77777777" w:rsidR="00AE0A40" w:rsidRDefault="00000000">
      <w:pPr>
        <w:pStyle w:val="Heading1"/>
        <w:pBdr>
          <w:bottom w:val="single" w:sz="6" w:space="3" w:color="2E75B6"/>
        </w:pBdr>
      </w:pPr>
      <w:r>
        <w:t>Confidence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6060"/>
      </w:tblGrid>
      <w:tr w:rsidR="00AE0A40" w14:paraId="1049168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8CA459" w14:textId="77777777" w:rsidR="00AE0A40" w:rsidRDefault="00000000">
            <w:r>
              <w:rPr>
                <w:b/>
                <w:bCs/>
                <w:color w:val="FFFFFF"/>
                <w:sz w:val="17"/>
                <w:szCs w:val="17"/>
              </w:rPr>
              <w:t>Score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889A6A6" w14:textId="77777777" w:rsidR="00AE0A40" w:rsidRDefault="00000000">
            <w:r>
              <w:rPr>
                <w:b/>
                <w:bCs/>
                <w:color w:val="FFFFFF"/>
                <w:sz w:val="17"/>
                <w:szCs w:val="17"/>
              </w:rPr>
              <w:t>Level</w:t>
            </w:r>
          </w:p>
        </w:tc>
        <w:tc>
          <w:tcPr>
            <w:tcW w:w="6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CB109D" w14:textId="77777777" w:rsidR="00AE0A40" w:rsidRDefault="00000000">
            <w:r>
              <w:rPr>
                <w:b/>
                <w:bCs/>
                <w:color w:val="FFFFFF"/>
                <w:sz w:val="17"/>
                <w:szCs w:val="17"/>
              </w:rPr>
              <w:t>Behavior</w:t>
            </w:r>
          </w:p>
        </w:tc>
      </w:tr>
      <w:tr w:rsidR="00AE0A40" w14:paraId="4D9733B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10091" w14:textId="77777777" w:rsidR="00AE0A40" w:rsidRDefault="00000000">
            <w:r>
              <w:rPr>
                <w:color w:val="1A1A1A"/>
                <w:sz w:val="17"/>
                <w:szCs w:val="17"/>
              </w:rPr>
              <w:t>0.85 – 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FB33C" w14:textId="77777777" w:rsidR="00AE0A40" w:rsidRDefault="00000000">
            <w:r>
              <w:rPr>
                <w:color w:val="1A1A1A"/>
                <w:sz w:val="17"/>
                <w:szCs w:val="17"/>
              </w:rPr>
              <w:t>High</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BE89B" w14:textId="77777777" w:rsidR="00AE0A40" w:rsidRDefault="00000000">
            <w:r>
              <w:rPr>
                <w:color w:val="1A1A1A"/>
                <w:sz w:val="17"/>
                <w:szCs w:val="17"/>
              </w:rPr>
              <w:t>Proceed through the full routing pipeline</w:t>
            </w:r>
          </w:p>
        </w:tc>
      </w:tr>
      <w:tr w:rsidR="00AE0A40" w14:paraId="0B73887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A6B550" w14:textId="77777777" w:rsidR="00AE0A40" w:rsidRDefault="00000000">
            <w:r>
              <w:rPr>
                <w:color w:val="1A1A1A"/>
                <w:sz w:val="17"/>
                <w:szCs w:val="17"/>
              </w:rPr>
              <w:t>0.65 – 0.84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8697C0" w14:textId="77777777" w:rsidR="00AE0A40" w:rsidRDefault="00000000">
            <w:r>
              <w:rPr>
                <w:color w:val="1A1A1A"/>
                <w:sz w:val="17"/>
                <w:szCs w:val="17"/>
              </w:rPr>
              <w:t>Medium</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788AD9" w14:textId="77777777" w:rsidR="00AE0A40" w:rsidRDefault="00000000">
            <w:r>
              <w:rPr>
                <w:color w:val="1A1A1A"/>
                <w:sz w:val="17"/>
                <w:szCs w:val="17"/>
              </w:rPr>
              <w:t>Proceed; log for periodic human review</w:t>
            </w:r>
          </w:p>
        </w:tc>
      </w:tr>
      <w:tr w:rsidR="00AE0A40" w14:paraId="2F3D0D7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70AB4" w14:textId="77777777" w:rsidR="00AE0A40" w:rsidRDefault="00000000">
            <w:r>
              <w:rPr>
                <w:color w:val="1A1A1A"/>
                <w:sz w:val="17"/>
                <w:szCs w:val="17"/>
              </w:rPr>
              <w:t>0.40 – 0.64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2948D" w14:textId="77777777" w:rsidR="00AE0A40" w:rsidRDefault="00000000">
            <w:r>
              <w:rPr>
                <w:color w:val="1A1A1A"/>
                <w:sz w:val="17"/>
                <w:szCs w:val="17"/>
              </w:rPr>
              <w:t>Low</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9B40C" w14:textId="77777777" w:rsidR="00AE0A40" w:rsidRDefault="00000000">
            <w:r>
              <w:rPr>
                <w:color w:val="1A1A1A"/>
                <w:sz w:val="17"/>
                <w:szCs w:val="17"/>
              </w:rPr>
              <w:t>Escalate to a more capable model; use that result</w:t>
            </w:r>
          </w:p>
        </w:tc>
      </w:tr>
      <w:tr w:rsidR="00AE0A40" w14:paraId="0BC92B9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43B9282" w14:textId="77777777" w:rsidR="00AE0A40" w:rsidRDefault="00000000">
            <w:r>
              <w:rPr>
                <w:color w:val="1A1A1A"/>
                <w:sz w:val="17"/>
                <w:szCs w:val="17"/>
              </w:rPr>
              <w:t>Below 0.40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70691C" w14:textId="77777777" w:rsidR="00AE0A40" w:rsidRDefault="00000000">
            <w:r>
              <w:rPr>
                <w:color w:val="1A1A1A"/>
                <w:sz w:val="17"/>
                <w:szCs w:val="17"/>
              </w:rPr>
              <w:t>Insufficient</w:t>
            </w:r>
          </w:p>
        </w:tc>
        <w:tc>
          <w:tcPr>
            <w:tcW w:w="6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7D0F84" w14:textId="77777777" w:rsidR="00AE0A40" w:rsidRDefault="00000000">
            <w:r>
              <w:rPr>
                <w:color w:val="1A1A1A"/>
                <w:sz w:val="17"/>
                <w:szCs w:val="17"/>
              </w:rPr>
              <w:t>Route to general fallback; no persona or intent filtering</w:t>
            </w:r>
          </w:p>
        </w:tc>
      </w:tr>
    </w:tbl>
    <w:p w14:paraId="3F995A1A" w14:textId="77777777" w:rsidR="00AE0A40" w:rsidRDefault="00AE0A40">
      <w:pPr>
        <w:spacing w:before="60" w:after="30"/>
      </w:pPr>
    </w:p>
    <w:p w14:paraId="79227E05" w14:textId="77777777" w:rsidR="00AE0A40" w:rsidRDefault="00000000">
      <w:pPr>
        <w:pStyle w:val="Heading1"/>
        <w:pBdr>
          <w:bottom w:val="single" w:sz="6" w:space="3" w:color="2E75B6"/>
        </w:pBdr>
      </w:pPr>
      <w:r>
        <w:t>Fallback Behavior</w:t>
      </w:r>
    </w:p>
    <w:p w14:paraId="3B497935" w14:textId="77777777" w:rsidR="00AE0A40" w:rsidRDefault="00000000">
      <w:pPr>
        <w:spacing w:before="30" w:after="40"/>
      </w:pPr>
      <w:r>
        <w:rPr>
          <w:color w:val="1A1A1A"/>
        </w:rPr>
        <w:t xml:space="preserve">When classification cannot be resolved cleanly, the system degrades gracefully. Low confidence triggers </w:t>
      </w:r>
      <w:proofErr w:type="gramStart"/>
      <w:r>
        <w:rPr>
          <w:color w:val="1A1A1A"/>
        </w:rPr>
        <w:t>escalation;</w:t>
      </w:r>
      <w:proofErr w:type="gramEnd"/>
      <w:r>
        <w:rPr>
          <w:color w:val="1A1A1A"/>
        </w:rPr>
        <w:t xml:space="preserve"> insufficient confidence skips classification entirely and routes to a general handler. Additional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E0A40" w14:paraId="6D762F0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CBBB59B" w14:textId="77777777" w:rsidR="00AE0A40" w:rsidRDefault="00000000">
            <w:r>
              <w:rPr>
                <w:b/>
                <w:bCs/>
                <w:color w:val="FFFFFF"/>
                <w:sz w:val="17"/>
                <w:szCs w:val="17"/>
              </w:rPr>
              <w:t>Condition</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832BC80" w14:textId="77777777" w:rsidR="00AE0A40" w:rsidRDefault="00000000">
            <w:r>
              <w:rPr>
                <w:b/>
                <w:bCs/>
                <w:color w:val="FFFFFF"/>
                <w:sz w:val="17"/>
                <w:szCs w:val="17"/>
              </w:rPr>
              <w:t>Response</w:t>
            </w:r>
          </w:p>
        </w:tc>
      </w:tr>
      <w:tr w:rsidR="00AE0A40" w14:paraId="18A1D45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6DFAE" w14:textId="77777777" w:rsidR="00AE0A40" w:rsidRDefault="00000000">
            <w:r>
              <w:rPr>
                <w:color w:val="1A1A1A"/>
                <w:sz w:val="17"/>
                <w:szCs w:val="17"/>
              </w:rPr>
              <w:t xml:space="preserve">Two </w:t>
            </w:r>
            <w:proofErr w:type="gramStart"/>
            <w:r>
              <w:rPr>
                <w:color w:val="1A1A1A"/>
                <w:sz w:val="17"/>
                <w:szCs w:val="17"/>
              </w:rPr>
              <w:t>personas</w:t>
            </w:r>
            <w:proofErr w:type="gramEnd"/>
            <w:r>
              <w:rPr>
                <w:color w:val="1A1A1A"/>
                <w:sz w:val="17"/>
                <w:szCs w:val="17"/>
              </w:rPr>
              <w:t xml:space="preserve"> score within 0.10 of each other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002A2" w14:textId="77777777" w:rsidR="00AE0A40" w:rsidRDefault="00000000">
            <w:r>
              <w:rPr>
                <w:color w:val="1A1A1A"/>
                <w:sz w:val="17"/>
                <w:szCs w:val="17"/>
              </w:rPr>
              <w:t>Surface both; routing applies the broadest match</w:t>
            </w:r>
          </w:p>
        </w:tc>
      </w:tr>
      <w:tr w:rsidR="00AE0A40" w14:paraId="37BD27D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5B34F8" w14:textId="77777777" w:rsidR="00AE0A40" w:rsidRDefault="00000000">
            <w:r>
              <w:rPr>
                <w:color w:val="1A1A1A"/>
                <w:sz w:val="17"/>
                <w:szCs w:val="17"/>
              </w:rPr>
              <w:t>API timeout or service error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0BC624" w14:textId="77777777" w:rsidR="00AE0A40" w:rsidRDefault="00000000">
            <w:r>
              <w:rPr>
                <w:color w:val="1A1A1A"/>
                <w:sz w:val="17"/>
                <w:szCs w:val="17"/>
              </w:rPr>
              <w:t>Default to no persona filter, generic intent</w:t>
            </w:r>
          </w:p>
        </w:tc>
      </w:tr>
      <w:tr w:rsidR="00AE0A40" w14:paraId="6162667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8DD6" w14:textId="77777777" w:rsidR="00AE0A40" w:rsidRDefault="00000000">
            <w:r>
              <w:rPr>
                <w:color w:val="1A1A1A"/>
                <w:sz w:val="17"/>
                <w:szCs w:val="17"/>
              </w:rPr>
              <w:lastRenderedPageBreak/>
              <w:t>No entities extracted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72FD3" w14:textId="77777777" w:rsidR="00AE0A40" w:rsidRDefault="00000000">
            <w:r>
              <w:rPr>
                <w:color w:val="1A1A1A"/>
                <w:sz w:val="17"/>
                <w:szCs w:val="17"/>
              </w:rPr>
              <w:t xml:space="preserve">Non-fatal — proceed on </w:t>
            </w:r>
            <w:proofErr w:type="gramStart"/>
            <w:r>
              <w:rPr>
                <w:color w:val="1A1A1A"/>
                <w:sz w:val="17"/>
                <w:szCs w:val="17"/>
              </w:rPr>
              <w:t>persona</w:t>
            </w:r>
            <w:proofErr w:type="gramEnd"/>
            <w:r>
              <w:rPr>
                <w:color w:val="1A1A1A"/>
                <w:sz w:val="17"/>
                <w:szCs w:val="17"/>
              </w:rPr>
              <w:t xml:space="preserve"> and intent alone</w:t>
            </w:r>
          </w:p>
        </w:tc>
      </w:tr>
    </w:tbl>
    <w:p w14:paraId="17023256" w14:textId="77777777" w:rsidR="00AE0A40" w:rsidRDefault="00AE0A40">
      <w:pPr>
        <w:spacing w:before="60" w:after="30"/>
      </w:pPr>
    </w:p>
    <w:p w14:paraId="4A51C2D1" w14:textId="77777777" w:rsidR="00AE0A40" w:rsidRDefault="00000000">
      <w:pPr>
        <w:pStyle w:val="Heading1"/>
        <w:pBdr>
          <w:bottom w:val="single" w:sz="6" w:space="3" w:color="2E75B6"/>
        </w:pBdr>
      </w:pPr>
      <w:r>
        <w:t>Evaluation and Monitoring</w:t>
      </w:r>
    </w:p>
    <w:p w14:paraId="3DABA0E5" w14:textId="77777777" w:rsidR="00AE0A40" w:rsidRDefault="00000000">
      <w:pPr>
        <w:spacing w:before="30" w:after="60"/>
      </w:pPr>
      <w:r>
        <w:rPr>
          <w:color w:val="1A1A1A"/>
        </w:rPr>
        <w:t>All outputs are logged — persona, intent, confidence, model used, and latency. A sample of queries is reviewed by a human each week against the labeled dataset. Alerts fire if average confidence drops materially or if accuracy for any persona falls below threshold, triggering prompt calibration before the next production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0A40" w14:paraId="7C5684DE" w14:textId="77777777">
        <w:tblPrEx>
          <w:tblCellMar>
            <w:top w:w="0" w:type="dxa"/>
            <w:bottom w:w="0" w:type="dxa"/>
          </w:tblCellMar>
        </w:tblPrEx>
        <w:tc>
          <w:tcPr>
            <w:tcW w:w="9360" w:type="dxa"/>
            <w:tcBorders>
              <w:top w:val="single" w:sz="4" w:space="0" w:color="2E75B6"/>
              <w:left w:val="none" w:sz="0" w:space="0" w:color="FFFFFF"/>
              <w:bottom w:val="none" w:sz="0" w:space="0" w:color="FFFFFF"/>
              <w:right w:val="none" w:sz="0" w:space="0" w:color="FFFFFF"/>
            </w:tcBorders>
            <w:shd w:val="clear" w:color="auto" w:fill="FFFFFF"/>
            <w:tcMar>
              <w:top w:w="80" w:type="dxa"/>
              <w:left w:w="0" w:type="dxa"/>
              <w:bottom w:w="0" w:type="dxa"/>
              <w:right w:w="0" w:type="dxa"/>
            </w:tcMar>
          </w:tcPr>
          <w:p w14:paraId="7C484A47" w14:textId="77777777" w:rsidR="00AE0A40" w:rsidRDefault="00000000">
            <w:r>
              <w:rPr>
                <w:color w:val="999999"/>
                <w:sz w:val="15"/>
                <w:szCs w:val="15"/>
              </w:rPr>
              <w:t>Query Classification System — Design Document v1.0    |    Internal Use Only</w:t>
            </w:r>
          </w:p>
        </w:tc>
      </w:tr>
    </w:tbl>
    <w:p w14:paraId="1E343B40" w14:textId="77777777" w:rsidR="004F3D05" w:rsidRDefault="004F3D05"/>
    <w:sectPr w:rsidR="004F3D05">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931E0"/>
    <w:multiLevelType w:val="hybridMultilevel"/>
    <w:tmpl w:val="8250C564"/>
    <w:lvl w:ilvl="0" w:tplc="411E6E68">
      <w:start w:val="1"/>
      <w:numFmt w:val="bullet"/>
      <w:lvlText w:val="●"/>
      <w:lvlJc w:val="left"/>
      <w:pPr>
        <w:ind w:left="720" w:hanging="360"/>
      </w:pPr>
    </w:lvl>
    <w:lvl w:ilvl="1" w:tplc="1160CE14">
      <w:start w:val="1"/>
      <w:numFmt w:val="bullet"/>
      <w:lvlText w:val="○"/>
      <w:lvlJc w:val="left"/>
      <w:pPr>
        <w:ind w:left="1440" w:hanging="360"/>
      </w:pPr>
    </w:lvl>
    <w:lvl w:ilvl="2" w:tplc="5C2A2226">
      <w:start w:val="1"/>
      <w:numFmt w:val="bullet"/>
      <w:lvlText w:val="■"/>
      <w:lvlJc w:val="left"/>
      <w:pPr>
        <w:ind w:left="2160" w:hanging="360"/>
      </w:pPr>
    </w:lvl>
    <w:lvl w:ilvl="3" w:tplc="6C9E4DA8">
      <w:start w:val="1"/>
      <w:numFmt w:val="bullet"/>
      <w:lvlText w:val="●"/>
      <w:lvlJc w:val="left"/>
      <w:pPr>
        <w:ind w:left="2880" w:hanging="360"/>
      </w:pPr>
    </w:lvl>
    <w:lvl w:ilvl="4" w:tplc="90885ADE">
      <w:start w:val="1"/>
      <w:numFmt w:val="bullet"/>
      <w:lvlText w:val="○"/>
      <w:lvlJc w:val="left"/>
      <w:pPr>
        <w:ind w:left="3600" w:hanging="360"/>
      </w:pPr>
    </w:lvl>
    <w:lvl w:ilvl="5" w:tplc="5E0418AC">
      <w:start w:val="1"/>
      <w:numFmt w:val="bullet"/>
      <w:lvlText w:val="■"/>
      <w:lvlJc w:val="left"/>
      <w:pPr>
        <w:ind w:left="4320" w:hanging="360"/>
      </w:pPr>
    </w:lvl>
    <w:lvl w:ilvl="6" w:tplc="CD3C1CDA">
      <w:start w:val="1"/>
      <w:numFmt w:val="bullet"/>
      <w:lvlText w:val="●"/>
      <w:lvlJc w:val="left"/>
      <w:pPr>
        <w:ind w:left="5040" w:hanging="360"/>
      </w:pPr>
    </w:lvl>
    <w:lvl w:ilvl="7" w:tplc="567E9F02">
      <w:start w:val="1"/>
      <w:numFmt w:val="bullet"/>
      <w:lvlText w:val="●"/>
      <w:lvlJc w:val="left"/>
      <w:pPr>
        <w:ind w:left="5760" w:hanging="360"/>
      </w:pPr>
    </w:lvl>
    <w:lvl w:ilvl="8" w:tplc="A5260CCC">
      <w:start w:val="1"/>
      <w:numFmt w:val="bullet"/>
      <w:lvlText w:val="●"/>
      <w:lvlJc w:val="left"/>
      <w:pPr>
        <w:ind w:left="6480" w:hanging="360"/>
      </w:pPr>
    </w:lvl>
  </w:abstractNum>
  <w:num w:numId="1" w16cid:durableId="946542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40"/>
    <w:rsid w:val="002E2A16"/>
    <w:rsid w:val="004F3D05"/>
    <w:rsid w:val="00AE0A40"/>
    <w:rsid w:val="00EC4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AAB0"/>
  <w15:docId w15:val="{74451DF9-0FBA-4364-98DC-2C8A08C8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8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Lennox Wilson</cp:lastModifiedBy>
  <cp:revision>2</cp:revision>
  <dcterms:created xsi:type="dcterms:W3CDTF">2026-03-11T04:22:00Z</dcterms:created>
  <dcterms:modified xsi:type="dcterms:W3CDTF">2026-03-11T21:01:00Z</dcterms:modified>
</cp:coreProperties>
</file>