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Regression Features, Enumeration Methods, and Narrowing Pipeline</w:t>
      </w:r>
    </w:p>
    <w:p>
      <w:pPr>
        <w:jc w:val="center"/>
      </w:pPr>
      <w:r>
        <w:rPr>
          <w:i/>
        </w:rPr>
        <w:t>Compact project summary for mentor discussion</w:t>
      </w:r>
    </w:p>
    <w:p>
      <w:pPr>
        <w:jc w:val="center"/>
      </w:pPr>
      <w:r>
        <w:t>Generated on 2026-03-31</w:t>
      </w:r>
    </w:p>
    <w:p>
      <w:pPr>
        <w:pStyle w:val="Heading1"/>
      </w:pPr>
      <w:r>
        <w:t>Project Context</w:t>
      </w:r>
    </w:p>
    <w:p>
      <w:pPr>
        <w:pStyle w:val="ListBullet"/>
      </w:pPr>
      <w:r>
        <w:t>Final potency model: saved ExtraTreesRegressor</w:t>
      </w:r>
    </w:p>
    <w:p>
      <w:pPr>
        <w:pStyle w:val="ListBullet"/>
      </w:pPr>
      <w:r>
        <w:t>Final reported in-sample R^2: 0.893359</w:t>
      </w:r>
    </w:p>
    <w:p>
      <w:pPr>
        <w:pStyle w:val="ListBullet"/>
      </w:pPr>
      <w:r>
        <w:t>Broad enumerated library: 3264 unique compounds</w:t>
      </w:r>
    </w:p>
    <w:p>
      <w:pPr>
        <w:pStyle w:val="ListBullet"/>
      </w:pPr>
      <w:r>
        <w:t>Final screening start set: 3274 compounds including original positives</w:t>
      </w:r>
    </w:p>
    <w:p>
      <w:pPr>
        <w:pStyle w:val="Heading1"/>
      </w:pPr>
      <w:r>
        <w:t>1. Features Used for Regression</w:t>
      </w:r>
    </w:p>
    <w:p>
      <w:r>
        <w:t>The final model used the base_graph feature set: standard physicochemical descriptors combined with graph-topology descriptors.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mw</w:t>
            </w:r>
          </w:p>
        </w:tc>
        <w:tc>
          <w:tcPr>
            <w:tcW w:type="dxa" w:w="2880"/>
          </w:tcPr>
          <w:p>
            <w:r>
              <w:t>Molecular weight</w:t>
            </w:r>
          </w:p>
        </w:tc>
        <w:tc>
          <w:tcPr>
            <w:tcW w:type="dxa" w:w="2880"/>
          </w:tcPr>
          <w:p>
            <w:r>
              <w:t>Tracks overall size and strongly affects permeability, potency trends, and developability.</w:t>
            </w:r>
          </w:p>
        </w:tc>
      </w:tr>
      <w:tr>
        <w:tc>
          <w:tcPr>
            <w:tcW w:type="dxa" w:w="2880"/>
          </w:tcPr>
          <w:p>
            <w:r>
              <w:t>logp</w:t>
            </w:r>
          </w:p>
        </w:tc>
        <w:tc>
          <w:tcPr>
            <w:tcW w:type="dxa" w:w="2880"/>
          </w:tcPr>
          <w:p>
            <w:r>
              <w:t>logP</w:t>
            </w:r>
          </w:p>
        </w:tc>
        <w:tc>
          <w:tcPr>
            <w:tcW w:type="dxa" w:w="2880"/>
          </w:tcPr>
          <w:p>
            <w:r>
              <w:t>Captures lipophilicity, which often influences membrane penetration and nonspecific binding.</w:t>
            </w:r>
          </w:p>
        </w:tc>
      </w:tr>
      <w:tr>
        <w:tc>
          <w:tcPr>
            <w:tcW w:type="dxa" w:w="2880"/>
          </w:tcPr>
          <w:p>
            <w:r>
              <w:t>tpsa</w:t>
            </w:r>
          </w:p>
        </w:tc>
        <w:tc>
          <w:tcPr>
            <w:tcW w:type="dxa" w:w="2880"/>
          </w:tcPr>
          <w:p>
            <w:r>
              <w:t>Topological polar surface area</w:t>
            </w:r>
          </w:p>
        </w:tc>
        <w:tc>
          <w:tcPr>
            <w:tcW w:type="dxa" w:w="2880"/>
          </w:tcPr>
          <w:p>
            <w:r>
              <w:t>Measures polarity and is useful for absorption and binding-environment balance.</w:t>
            </w:r>
          </w:p>
        </w:tc>
      </w:tr>
      <w:tr>
        <w:tc>
          <w:tcPr>
            <w:tcW w:type="dxa" w:w="2880"/>
          </w:tcPr>
          <w:p>
            <w:r>
              <w:t>hbd</w:t>
            </w:r>
          </w:p>
        </w:tc>
        <w:tc>
          <w:tcPr>
            <w:tcW w:type="dxa" w:w="2880"/>
          </w:tcPr>
          <w:p>
            <w:r>
              <w:t>Hydrogen-bond donors</w:t>
            </w:r>
          </w:p>
        </w:tc>
        <w:tc>
          <w:tcPr>
            <w:tcW w:type="dxa" w:w="2880"/>
          </w:tcPr>
          <w:p>
            <w:r>
              <w:t>Counts donor groups that can drive binding or reduce permeability if too high.</w:t>
            </w:r>
          </w:p>
        </w:tc>
      </w:tr>
      <w:tr>
        <w:tc>
          <w:tcPr>
            <w:tcW w:type="dxa" w:w="2880"/>
          </w:tcPr>
          <w:p>
            <w:r>
              <w:t>hba</w:t>
            </w:r>
          </w:p>
        </w:tc>
        <w:tc>
          <w:tcPr>
            <w:tcW w:type="dxa" w:w="2880"/>
          </w:tcPr>
          <w:p>
            <w:r>
              <w:t>Hydrogen-bond acceptors</w:t>
            </w:r>
          </w:p>
        </w:tc>
        <w:tc>
          <w:tcPr>
            <w:tcW w:type="dxa" w:w="2880"/>
          </w:tcPr>
          <w:p>
            <w:r>
              <w:t>Counts acceptor groups that affect recognition and physicochemical behavior.</w:t>
            </w:r>
          </w:p>
        </w:tc>
      </w:tr>
      <w:tr>
        <w:tc>
          <w:tcPr>
            <w:tcW w:type="dxa" w:w="2880"/>
          </w:tcPr>
          <w:p>
            <w:r>
              <w:t>rot</w:t>
            </w:r>
          </w:p>
        </w:tc>
        <w:tc>
          <w:tcPr>
            <w:tcW w:type="dxa" w:w="2880"/>
          </w:tcPr>
          <w:p>
            <w:r>
              <w:t>Rotatable bonds</w:t>
            </w:r>
          </w:p>
        </w:tc>
        <w:tc>
          <w:tcPr>
            <w:tcW w:type="dxa" w:w="2880"/>
          </w:tcPr>
          <w:p>
            <w:r>
              <w:t>Approximates flexibility, which can affect entropy, oral exposure, and 3D fit.</w:t>
            </w:r>
          </w:p>
        </w:tc>
      </w:tr>
      <w:tr>
        <w:tc>
          <w:tcPr>
            <w:tcW w:type="dxa" w:w="2880"/>
          </w:tcPr>
          <w:p>
            <w:r>
              <w:t>rings</w:t>
            </w:r>
          </w:p>
        </w:tc>
        <w:tc>
          <w:tcPr>
            <w:tcW w:type="dxa" w:w="2880"/>
          </w:tcPr>
          <w:p>
            <w:r>
              <w:t>Ring count</w:t>
            </w:r>
          </w:p>
        </w:tc>
        <w:tc>
          <w:tcPr>
            <w:tcW w:type="dxa" w:w="2880"/>
          </w:tcPr>
          <w:p>
            <w:r>
              <w:t>Tracks scaffold rigidity and shape complexity.</w:t>
            </w:r>
          </w:p>
        </w:tc>
      </w:tr>
      <w:tr>
        <w:tc>
          <w:tcPr>
            <w:tcW w:type="dxa" w:w="2880"/>
          </w:tcPr>
          <w:p>
            <w:r>
              <w:t>hac</w:t>
            </w:r>
          </w:p>
        </w:tc>
        <w:tc>
          <w:tcPr>
            <w:tcW w:type="dxa" w:w="2880"/>
          </w:tcPr>
          <w:p>
            <w:r>
              <w:t>Heavy atom count</w:t>
            </w:r>
          </w:p>
        </w:tc>
        <w:tc>
          <w:tcPr>
            <w:tcW w:type="dxa" w:w="2880"/>
          </w:tcPr>
          <w:p>
            <w:r>
              <w:t>A simple size and complexity descriptor that often correlates with potency trends.</w:t>
            </w:r>
          </w:p>
        </w:tc>
      </w:tr>
      <w:tr>
        <w:tc>
          <w:tcPr>
            <w:tcW w:type="dxa" w:w="2880"/>
          </w:tcPr>
          <w:p>
            <w:r>
              <w:t>fsp3</w:t>
            </w:r>
          </w:p>
        </w:tc>
        <w:tc>
          <w:tcPr>
            <w:tcW w:type="dxa" w:w="2880"/>
          </w:tcPr>
          <w:p>
            <w:r>
              <w:t>Fraction sp3 carbons</w:t>
            </w:r>
          </w:p>
        </w:tc>
        <w:tc>
          <w:tcPr>
            <w:tcW w:type="dxa" w:w="2880"/>
          </w:tcPr>
          <w:p>
            <w:r>
              <w:t>Measures saturation / 3D character and can help distinguish flat from more three-dimensional molecules.</w:t>
            </w:r>
          </w:p>
        </w:tc>
      </w:tr>
      <w:tr>
        <w:tc>
          <w:tcPr>
            <w:tcW w:type="dxa" w:w="2880"/>
          </w:tcPr>
          <w:p>
            <w:r>
              <w:t>bertz</w:t>
            </w:r>
          </w:p>
        </w:tc>
        <w:tc>
          <w:tcPr>
            <w:tcW w:type="dxa" w:w="2880"/>
          </w:tcPr>
          <w:p>
            <w:r>
              <w:t>Bertz complexity</w:t>
            </w:r>
          </w:p>
        </w:tc>
        <w:tc>
          <w:tcPr>
            <w:tcW w:type="dxa" w:w="2880"/>
          </w:tcPr>
          <w:p>
            <w:r>
              <w:t>Summarizes structural complexity from the molecular graph.</w:t>
            </w:r>
          </w:p>
        </w:tc>
      </w:tr>
      <w:tr>
        <w:tc>
          <w:tcPr>
            <w:tcW w:type="dxa" w:w="2880"/>
          </w:tcPr>
          <w:p>
            <w:r>
              <w:t>balaban</w:t>
            </w:r>
          </w:p>
        </w:tc>
        <w:tc>
          <w:tcPr>
            <w:tcW w:type="dxa" w:w="2880"/>
          </w:tcPr>
          <w:p>
            <w:r>
              <w:t>Balaban J index</w:t>
            </w:r>
          </w:p>
        </w:tc>
        <w:tc>
          <w:tcPr>
            <w:tcW w:type="dxa" w:w="2880"/>
          </w:tcPr>
          <w:p>
            <w:r>
              <w:t>A graph-connectivity descriptor that reflects topology.</w:t>
            </w:r>
          </w:p>
        </w:tc>
      </w:tr>
      <w:tr>
        <w:tc>
          <w:tcPr>
            <w:tcW w:type="dxa" w:w="2880"/>
          </w:tcPr>
          <w:p>
            <w:r>
              <w:t>chi0v</w:t>
            </w:r>
          </w:p>
        </w:tc>
        <w:tc>
          <w:tcPr>
            <w:tcW w:type="dxa" w:w="2880"/>
          </w:tcPr>
          <w:p>
            <w:r>
              <w:t>Valence connectivity index Chi0v</w:t>
            </w:r>
          </w:p>
        </w:tc>
        <w:tc>
          <w:tcPr>
            <w:tcW w:type="dxa" w:w="2880"/>
          </w:tcPr>
          <w:p>
            <w:r>
              <w:t>Encodes atom connectivity at a local graph level.</w:t>
            </w:r>
          </w:p>
        </w:tc>
      </w:tr>
      <w:tr>
        <w:tc>
          <w:tcPr>
            <w:tcW w:type="dxa" w:w="2880"/>
          </w:tcPr>
          <w:p>
            <w:r>
              <w:t>chi1v</w:t>
            </w:r>
          </w:p>
        </w:tc>
        <w:tc>
          <w:tcPr>
            <w:tcW w:type="dxa" w:w="2880"/>
          </w:tcPr>
          <w:p>
            <w:r>
              <w:t>Valence connectivity index Chi1v</w:t>
            </w:r>
          </w:p>
        </w:tc>
        <w:tc>
          <w:tcPr>
            <w:tcW w:type="dxa" w:w="2880"/>
          </w:tcPr>
          <w:p>
            <w:r>
              <w:t>Encodes one-bond connectivity patterns.</w:t>
            </w:r>
          </w:p>
        </w:tc>
      </w:tr>
      <w:tr>
        <w:tc>
          <w:tcPr>
            <w:tcW w:type="dxa" w:w="2880"/>
          </w:tcPr>
          <w:p>
            <w:r>
              <w:t>chi2v</w:t>
            </w:r>
          </w:p>
        </w:tc>
        <w:tc>
          <w:tcPr>
            <w:tcW w:type="dxa" w:w="2880"/>
          </w:tcPr>
          <w:p>
            <w:r>
              <w:t>Valence connectivity index Chi2v</w:t>
            </w:r>
          </w:p>
        </w:tc>
        <w:tc>
          <w:tcPr>
            <w:tcW w:type="dxa" w:w="2880"/>
          </w:tcPr>
          <w:p>
            <w:r>
              <w:t>Encodes two-bond graph connectivity patterns.</w:t>
            </w:r>
          </w:p>
        </w:tc>
      </w:tr>
      <w:tr>
        <w:tc>
          <w:tcPr>
            <w:tcW w:type="dxa" w:w="2880"/>
          </w:tcPr>
          <w:p>
            <w:r>
              <w:t>kappa1</w:t>
            </w:r>
          </w:p>
        </w:tc>
        <w:tc>
          <w:tcPr>
            <w:tcW w:type="dxa" w:w="2880"/>
          </w:tcPr>
          <w:p>
            <w:r>
              <w:t>Kier shape index Kappa1</w:t>
            </w:r>
          </w:p>
        </w:tc>
        <w:tc>
          <w:tcPr>
            <w:tcW w:type="dxa" w:w="2880"/>
          </w:tcPr>
          <w:p>
            <w:r>
              <w:t>Represents coarse molecular shape.</w:t>
            </w:r>
          </w:p>
        </w:tc>
      </w:tr>
      <w:tr>
        <w:tc>
          <w:tcPr>
            <w:tcW w:type="dxa" w:w="2880"/>
          </w:tcPr>
          <w:p>
            <w:r>
              <w:t>kappa2</w:t>
            </w:r>
          </w:p>
        </w:tc>
        <w:tc>
          <w:tcPr>
            <w:tcW w:type="dxa" w:w="2880"/>
          </w:tcPr>
          <w:p>
            <w:r>
              <w:t>Kier shape index Kappa2</w:t>
            </w:r>
          </w:p>
        </w:tc>
        <w:tc>
          <w:tcPr>
            <w:tcW w:type="dxa" w:w="2880"/>
          </w:tcPr>
          <w:p>
            <w:r>
              <w:t>Represents shape and branching at a deeper level.</w:t>
            </w:r>
          </w:p>
        </w:tc>
      </w:tr>
      <w:tr>
        <w:tc>
          <w:tcPr>
            <w:tcW w:type="dxa" w:w="2880"/>
          </w:tcPr>
          <w:p>
            <w:r>
              <w:t>kappa3</w:t>
            </w:r>
          </w:p>
        </w:tc>
        <w:tc>
          <w:tcPr>
            <w:tcW w:type="dxa" w:w="2880"/>
          </w:tcPr>
          <w:p>
            <w:r>
              <w:t>Kier shape index Kappa3</w:t>
            </w:r>
          </w:p>
        </w:tc>
        <w:tc>
          <w:tcPr>
            <w:tcW w:type="dxa" w:w="2880"/>
          </w:tcPr>
          <w:p>
            <w:r>
              <w:t>Represents higher-order shape complexity and was the top single feature in the final fit.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77840" cy="3585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8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Final model predicted vs observed pIC50</w:t>
      </w:r>
    </w:p>
    <w:p>
      <w:r>
        <w:drawing>
          <wp:inline xmlns:a="http://schemas.openxmlformats.org/drawingml/2006/main" xmlns:pic="http://schemas.openxmlformats.org/drawingml/2006/picture">
            <wp:extent cx="5577840" cy="4090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Top feature importances</w:t>
      </w:r>
    </w:p>
    <w:p>
      <w:pPr>
        <w:pStyle w:val="Heading1"/>
      </w:pPr>
      <w:r>
        <w:t>2. Enumeration Techniques</w:t>
      </w:r>
    </w:p>
    <w:p>
      <w:r>
        <w:t>The canonical enumeration workflow used 10 complementary methods. The table below explains each method and shows how many unique products it contributed to the final broad library.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technique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how it was done</w:t>
            </w:r>
          </w:p>
        </w:tc>
        <w:tc>
          <w:tcPr>
            <w:tcW w:type="dxa" w:w="2160"/>
          </w:tcPr>
          <w:p>
            <w:r>
              <w:t>unique products</w:t>
            </w:r>
          </w:p>
        </w:tc>
      </w:tr>
      <w:tr>
        <w:tc>
          <w:tcPr>
            <w:tcW w:type="dxa" w:w="2160"/>
          </w:tcPr>
          <w:p>
            <w:r>
              <w:t>R-group enumeration</w:t>
            </w:r>
          </w:p>
        </w:tc>
        <w:tc>
          <w:tcPr>
            <w:tcW w:type="dxa" w:w="2160"/>
          </w:tcPr>
          <w:p>
            <w:r>
              <w:t>Keep a core fragment fixed and swap side fragments around it.</w:t>
            </w:r>
          </w:p>
        </w:tc>
        <w:tc>
          <w:tcPr>
            <w:tcW w:type="dxa" w:w="2160"/>
          </w:tcPr>
          <w:p>
            <w:r>
              <w:t>Implemented with BRICS core fragments plus a pooled side-fragment set, rebuilding products while preserving the parent core.</w:t>
            </w:r>
          </w:p>
        </w:tc>
        <w:tc>
          <w:tcPr>
            <w:tcW w:type="dxa" w:w="2160"/>
          </w:tcPr>
          <w:p>
            <w:r>
              <w:t>1205</w:t>
            </w:r>
          </w:p>
        </w:tc>
      </w:tr>
      <w:tr>
        <w:tc>
          <w:tcPr>
            <w:tcW w:type="dxa" w:w="2160"/>
          </w:tcPr>
          <w:p>
            <w:r>
              <w:t>Reaction-based enumeration</w:t>
            </w:r>
          </w:p>
        </w:tc>
        <w:tc>
          <w:tcPr>
            <w:tcW w:type="dxa" w:w="2160"/>
          </w:tcPr>
          <w:p>
            <w:r>
              <w:t>Generate analogs only through specific chemistry transforms.</w:t>
            </w:r>
          </w:p>
        </w:tc>
        <w:tc>
          <w:tcPr>
            <w:tcW w:type="dxa" w:w="2160"/>
          </w:tcPr>
          <w:p>
            <w:r>
              <w:t>Implemented with RDKit reaction SMARTS such as acid-to-amide conversions and phenol O-alkylation.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Reagent-pool combinatorics</w:t>
            </w:r>
          </w:p>
        </w:tc>
        <w:tc>
          <w:tcPr>
            <w:tcW w:type="dxa" w:w="2160"/>
          </w:tcPr>
          <w:p>
            <w:r>
              <w:t>Combine a shared pool of compatible core and side fragments to make many plausible analogs.</w:t>
            </w:r>
          </w:p>
        </w:tc>
        <w:tc>
          <w:tcPr>
            <w:tcW w:type="dxa" w:w="2160"/>
          </w:tcPr>
          <w:p>
            <w:r>
              <w:t>Implemented with a limited BRICS fragment pool and BRICSBuild to create global combinations.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</w:tr>
      <w:tr>
        <w:tc>
          <w:tcPr>
            <w:tcW w:type="dxa" w:w="2160"/>
          </w:tcPr>
          <w:p>
            <w:r>
              <w:t>Matched molecular pair expansion</w:t>
            </w:r>
          </w:p>
        </w:tc>
        <w:tc>
          <w:tcPr>
            <w:tcW w:type="dxa" w:w="2160"/>
          </w:tcPr>
          <w:p>
            <w:r>
              <w:t>Make small medicinal-chemistry edits such as halogen swaps or methoxy/hydroxyl interconversion.</w:t>
            </w:r>
          </w:p>
        </w:tc>
        <w:tc>
          <w:tcPr>
            <w:tcW w:type="dxa" w:w="2160"/>
          </w:tcPr>
          <w:p>
            <w:r>
              <w:t>Implemented with targeted single-step SMARTS replacements like Cl to F, Br to Cl, and OMe to OH.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Bioisosteric swaps</w:t>
            </w:r>
          </w:p>
        </w:tc>
        <w:tc>
          <w:tcPr>
            <w:tcW w:type="dxa" w:w="2160"/>
          </w:tcPr>
          <w:p>
            <w:r>
              <w:t>Replace one functional group with a chemically related surrogate.</w:t>
            </w:r>
          </w:p>
        </w:tc>
        <w:tc>
          <w:tcPr>
            <w:tcW w:type="dxa" w:w="2160"/>
          </w:tcPr>
          <w:p>
            <w:r>
              <w:t>Implemented with transforms such as acid to amide, acid to thioacid, and amide to thioamide.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Linker scans</w:t>
            </w:r>
          </w:p>
        </w:tc>
        <w:tc>
          <w:tcPr>
            <w:tcW w:type="dxa" w:w="2160"/>
          </w:tcPr>
          <w:p>
            <w:r>
              <w:t>Vary the connector between motifs to alter spacing, polarity, or flexibility.</w:t>
            </w:r>
          </w:p>
        </w:tc>
        <w:tc>
          <w:tcPr>
            <w:tcW w:type="dxa" w:w="2160"/>
          </w:tcPr>
          <w:p>
            <w:r>
              <w:t>Implemented with predefined SMARTS transforms that insert oxygen or carbamate-like changes into existing linkers.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Ring-size / ring-system scans</w:t>
            </w:r>
          </w:p>
        </w:tc>
        <w:tc>
          <w:tcPr>
            <w:tcW w:type="dxa" w:w="2160"/>
          </w:tcPr>
          <w:p>
            <w:r>
              <w:t>Change ring size or ring composition to test shape and polarity changes.</w:t>
            </w:r>
          </w:p>
        </w:tc>
        <w:tc>
          <w:tcPr>
            <w:tcW w:type="dxa" w:w="2160"/>
          </w:tcPr>
          <w:p>
            <w:r>
              <w:t>Implemented with SMARTS transforms such as pyrrolidine to piperidine and piperidine to morpholine.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Heteroatom walks</w:t>
            </w:r>
          </w:p>
        </w:tc>
        <w:tc>
          <w:tcPr>
            <w:tcW w:type="dxa" w:w="2160"/>
          </w:tcPr>
          <w:p>
            <w:r>
              <w:t>Move from aryl CH positions into heteroaryl nitrogens to tune polarity and recognition.</w:t>
            </w:r>
          </w:p>
        </w:tc>
        <w:tc>
          <w:tcPr>
            <w:tcW w:type="dxa" w:w="2160"/>
          </w:tcPr>
          <w:p>
            <w:r>
              <w:t>Implemented as aromatic CH to N conversions, capped per parent to avoid runaway expansion.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Scaffold hopping</w:t>
            </w:r>
          </w:p>
        </w:tc>
        <w:tc>
          <w:tcPr>
            <w:tcW w:type="dxa" w:w="2160"/>
          </w:tcPr>
          <w:p>
            <w:r>
              <w:t>Preserve side chains but replace the central core with an alternative BRICS core.</w:t>
            </w:r>
          </w:p>
        </w:tc>
        <w:tc>
          <w:tcPr>
            <w:tcW w:type="dxa" w:w="2160"/>
          </w:tcPr>
          <w:p>
            <w:r>
              <w:t>Implemented by pairing parent-derived side fragments with non-native core fragments from other positives.</w:t>
            </w:r>
          </w:p>
        </w:tc>
        <w:tc>
          <w:tcPr>
            <w:tcW w:type="dxa" w:w="2160"/>
          </w:tcPr>
          <w:p>
            <w:r>
              <w:t>671</w:t>
            </w:r>
          </w:p>
        </w:tc>
      </w:tr>
      <w:tr>
        <w:tc>
          <w:tcPr>
            <w:tcW w:type="dxa" w:w="2160"/>
          </w:tcPr>
          <w:p>
            <w:r>
              <w:t>Fragment growing</w:t>
            </w:r>
          </w:p>
        </w:tc>
        <w:tc>
          <w:tcPr>
            <w:tcW w:type="dxa" w:w="2160"/>
          </w:tcPr>
          <w:p>
            <w:r>
              <w:t>Start from a core fragment and add one side fragment outward.</w:t>
            </w:r>
          </w:p>
        </w:tc>
        <w:tc>
          <w:tcPr>
            <w:tcW w:type="dxa" w:w="2160"/>
          </w:tcPr>
          <w:p>
            <w:r>
              <w:t>Implemented with limited BRICS builds of one core plus one side fragment to create smaller controlled expansions.</w:t>
            </w:r>
          </w:p>
        </w:tc>
        <w:tc>
          <w:tcPr>
            <w:tcW w:type="dxa" w:w="2160"/>
          </w:tcPr>
          <w:p>
            <w:r>
              <w:t>430</w:t>
            </w:r>
          </w:p>
        </w:tc>
      </w:tr>
    </w:tbl>
    <w:p>
      <w:pPr>
        <w:pStyle w:val="Heading2"/>
      </w:pPr>
      <w:r>
        <w:t>Final method counts from the canonical broad library: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r_group_enumeration</w:t>
            </w:r>
          </w:p>
        </w:tc>
        <w:tc>
          <w:tcPr>
            <w:tcW w:type="dxa" w:w="4320"/>
          </w:tcPr>
          <w:p>
            <w:r>
              <w:t>1205</w:t>
            </w:r>
          </w:p>
        </w:tc>
      </w:tr>
      <w:tr>
        <w:tc>
          <w:tcPr>
            <w:tcW w:type="dxa" w:w="4320"/>
          </w:tcPr>
          <w:p>
            <w:r>
              <w:t>reagent_pool_combinatorics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scaffold_hopping</w:t>
            </w:r>
          </w:p>
        </w:tc>
        <w:tc>
          <w:tcPr>
            <w:tcW w:type="dxa" w:w="4320"/>
          </w:tcPr>
          <w:p>
            <w:r>
              <w:t>671</w:t>
            </w:r>
          </w:p>
        </w:tc>
      </w:tr>
      <w:tr>
        <w:tc>
          <w:tcPr>
            <w:tcW w:type="dxa" w:w="4320"/>
          </w:tcPr>
          <w:p>
            <w:r>
              <w:t>fragment_growing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heteroatom_walks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reaction_based_enumeration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matched_molecular_pair_expansion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bioisosteric_swaps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linker_scans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ring_size_and_ring_system_scans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3. Techniques Used to Narrow Down to Leads</w:t>
      </w:r>
    </w:p>
    <w:p>
      <w:r>
        <w:t>The final narrowing funnel is intentionally ordered from fast high-throughput scoring to stricter developability and structural plausibility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narrowing technique</w:t>
            </w:r>
          </w:p>
        </w:tc>
        <w:tc>
          <w:tcPr>
            <w:tcW w:type="dxa" w:w="4320"/>
          </w:tcPr>
          <w:p>
            <w:r>
              <w:t>role in the pipeline</w:t>
            </w:r>
          </w:p>
        </w:tc>
      </w:tr>
      <w:tr>
        <w:tc>
          <w:tcPr>
            <w:tcW w:type="dxa" w:w="4320"/>
          </w:tcPr>
          <w:p>
            <w:r>
              <w:t>Model-first potency screen</w:t>
            </w:r>
          </w:p>
        </w:tc>
        <w:tc>
          <w:tcPr>
            <w:tcW w:type="dxa" w:w="4320"/>
          </w:tcPr>
          <w:p>
            <w:r>
              <w:t>The saved ExtraTrees regression model scores the full library first, and only compounds with predicted pIC50 &gt;= 4.60 and acceptable descriptor-space distance continue.</w:t>
            </w:r>
          </w:p>
        </w:tc>
      </w:tr>
      <w:tr>
        <w:tc>
          <w:tcPr>
            <w:tcW w:type="dxa" w:w="4320"/>
          </w:tcPr>
          <w:p>
            <w:r>
              <w:t>PAINS and BRENK alert removal</w:t>
            </w:r>
          </w:p>
        </w:tc>
        <w:tc>
          <w:tcPr>
            <w:tcW w:type="dxa" w:w="4320"/>
          </w:tcPr>
          <w:p>
            <w:r>
              <w:t>Compounds with nuisance or problematic substructure alerts are removed before deeper triage.</w:t>
            </w:r>
          </w:p>
        </w:tc>
      </w:tr>
      <w:tr>
        <w:tc>
          <w:tcPr>
            <w:tcW w:type="dxa" w:w="4320"/>
          </w:tcPr>
          <w:p>
            <w:r>
              <w:t>Lipinski-style developability filter</w:t>
            </w:r>
          </w:p>
        </w:tc>
        <w:tc>
          <w:tcPr>
            <w:tcW w:type="dxa" w:w="4320"/>
          </w:tcPr>
          <w:p>
            <w:r>
              <w:t>The pipeline keeps compounds with &lt;= 1 Lipinski violation to avoid drifting too far into poor oral-drug-like space.</w:t>
            </w:r>
          </w:p>
        </w:tc>
      </w:tr>
      <w:tr>
        <w:tc>
          <w:tcPr>
            <w:tcW w:type="dxa" w:w="4320"/>
          </w:tcPr>
          <w:p>
            <w:r>
              <w:t>Topological polar surface area filter</w:t>
            </w:r>
          </w:p>
        </w:tc>
        <w:tc>
          <w:tcPr>
            <w:tcW w:type="dxa" w:w="4320"/>
          </w:tcPr>
          <w:p>
            <w:r>
              <w:t>TPSA is constrained to 40-140 A^2 to balance permeability with needed polarity.</w:t>
            </w:r>
          </w:p>
        </w:tc>
      </w:tr>
      <w:tr>
        <w:tc>
          <w:tcPr>
            <w:tcW w:type="dxa" w:w="4320"/>
          </w:tcPr>
          <w:p>
            <w:r>
              <w:t>Molecular surface area filter</w:t>
            </w:r>
          </w:p>
        </w:tc>
        <w:tc>
          <w:tcPr>
            <w:tcW w:type="dxa" w:w="4320"/>
          </w:tcPr>
          <w:p>
            <w:r>
              <w:t>Labute approximate surface area is constrained to 130-235 A^2 to avoid structures that are too small or too bulky for the intended pocket and exposure profile.</w:t>
            </w:r>
          </w:p>
        </w:tc>
      </w:tr>
      <w:tr>
        <w:tc>
          <w:tcPr>
            <w:tcW w:type="dxa" w:w="4320"/>
          </w:tcPr>
          <w:p>
            <w:r>
              <w:t>Molecular weight filter</w:t>
            </w:r>
          </w:p>
        </w:tc>
        <w:tc>
          <w:tcPr>
            <w:tcW w:type="dxa" w:w="4320"/>
          </w:tcPr>
          <w:p>
            <w:r>
              <w:t>MW is constrained to 250-550 to remove very small fragments and oversized analogs.</w:t>
            </w:r>
          </w:p>
        </w:tc>
      </w:tr>
      <w:tr>
        <w:tc>
          <w:tcPr>
            <w:tcW w:type="dxa" w:w="4320"/>
          </w:tcPr>
          <w:p>
            <w:r>
              <w:t>Flexibility and charge filter</w:t>
            </w:r>
          </w:p>
        </w:tc>
        <w:tc>
          <w:tcPr>
            <w:tcW w:type="dxa" w:w="4320"/>
          </w:tcPr>
          <w:p>
            <w:r>
              <w:t>Rotatable bonds are capped at 10 and absolute formal charge at 1 to keep molecules closer to plausible lead space.</w:t>
            </w:r>
          </w:p>
        </w:tc>
      </w:tr>
      <w:tr>
        <w:tc>
          <w:tcPr>
            <w:tcW w:type="dxa" w:w="4320"/>
          </w:tcPr>
          <w:p>
            <w:r>
              <w:t>ADMET-AI multigate</w:t>
            </w:r>
          </w:p>
        </w:tc>
        <w:tc>
          <w:tcPr>
            <w:tcW w:type="dxa" w:w="4320"/>
          </w:tcPr>
          <w:p>
            <w:r>
              <w:t>The surviving set is screened with ADMET-AI for AMES, hERG, ClinTox, HIA, oral bioavailability, Caco-2, and solubility-related properties.</w:t>
            </w:r>
          </w:p>
        </w:tc>
      </w:tr>
      <w:tr>
        <w:tc>
          <w:tcPr>
            <w:tcW w:type="dxa" w:w="4320"/>
          </w:tcPr>
          <w:p>
            <w:r>
              <w:t>Multistructure 3D binding plausibility</w:t>
            </w:r>
          </w:p>
        </w:tc>
        <w:tc>
          <w:tcPr>
            <w:tcW w:type="dxa" w:w="4320"/>
          </w:tcPr>
          <w:p>
            <w:r>
              <w:t>Compounds are compared against several USP5 ZnF-UBD co-crystal-inspired templates to assess binding-score, shape overlap, pharmacophore match, and steric clashes.</w:t>
            </w:r>
          </w:p>
        </w:tc>
      </w:tr>
      <w:tr>
        <w:tc>
          <w:tcPr>
            <w:tcW w:type="dxa" w:w="4320"/>
          </w:tcPr>
          <w:p>
            <w:r>
              <w:t>Portfolio selection</w:t>
            </w:r>
          </w:p>
        </w:tc>
        <w:tc>
          <w:tcPr>
            <w:tcW w:type="dxa" w:w="4320"/>
          </w:tcPr>
          <w:p>
            <w:r>
              <w:t>The last step separates strict primary leads from orthogonal backups so the project does not overcommit to only one chemotype.</w:t>
            </w:r>
          </w:p>
        </w:tc>
      </w:tr>
    </w:tbl>
    <w:p>
      <w:pPr>
        <w:pStyle w:val="Heading2"/>
      </w:pPr>
      <w:r>
        <w:t>Final Funnel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start_broad_enumeration_plus_original_positives</w:t>
            </w:r>
          </w:p>
        </w:tc>
        <w:tc>
          <w:tcPr>
            <w:tcW w:type="dxa" w:w="4320"/>
          </w:tcPr>
          <w:p>
            <w:r>
              <w:t>3274</w:t>
            </w:r>
          </w:p>
        </w:tc>
      </w:tr>
      <w:tr>
        <w:tc>
          <w:tcPr>
            <w:tcW w:type="dxa" w:w="4320"/>
          </w:tcPr>
          <w:p>
            <w:r>
              <w:t>stage1_original_final_model_predicted_pIC50_ge_4.60</w:t>
            </w:r>
          </w:p>
        </w:tc>
        <w:tc>
          <w:tcPr>
            <w:tcW w:type="dxa" w:w="4320"/>
          </w:tcPr>
          <w:p>
            <w:r>
              <w:t>1272</w:t>
            </w:r>
          </w:p>
        </w:tc>
      </w:tr>
      <w:tr>
        <w:tc>
          <w:tcPr>
            <w:tcW w:type="dxa" w:w="4320"/>
          </w:tcPr>
          <w:p>
            <w:r>
              <w:t>stage2_pains_brenk_free</w:t>
            </w:r>
          </w:p>
        </w:tc>
        <w:tc>
          <w:tcPr>
            <w:tcW w:type="dxa" w:w="4320"/>
          </w:tcPr>
          <w:p>
            <w:r>
              <w:t>772</w:t>
            </w:r>
          </w:p>
        </w:tc>
      </w:tr>
      <w:tr>
        <w:tc>
          <w:tcPr>
            <w:tcW w:type="dxa" w:w="4320"/>
          </w:tcPr>
          <w:p>
            <w:r>
              <w:t>stage3_lipinski_psa_surface_area_flexibility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stage4_admet_ai_multigate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stage5_multistructure_template_docking_strict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stage5b_multistructure_template_docking_relaxed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1"/>
      </w:pPr>
      <w:r>
        <w:t>Short Summary</w:t>
      </w:r>
    </w:p>
    <w:p>
      <w:r>
        <w:t>The final workflow uses interpretable chemistry descriptors for regression, ten medicinal-chemistry-inspired expansion methods for enumeration, and a multistage narrowing pipeline built around potency, properties, ADMET-AI, and USP5 3D binding plausibility. This means the major computational steps of the project are already in place and ready to support mentor discussion, paper planning, and experimental prioritization.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