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C2410C"/>
          <w:sz w:val="18"/>
          <w:szCs w:val="18"/>
        </w:rPr>
        <w:t xml:space="preserve">Submission packet</w:t>
      </w:r>
    </w:p>
    <w:p>
      <w:pPr>
        <w:spacing w:after="60"/>
      </w:pPr>
      <w:r>
        <w:rPr>
          <w:b/>
          <w:bCs/>
          <w:color w:val="1A1410"/>
          <w:sz w:val="40"/>
          <w:szCs w:val="40"/>
        </w:rPr>
        <w:t xml:space="preserve">Start here</w:t>
      </w:r>
    </w:p>
    <w:p>
      <w:pPr>
        <w:spacing w:after="100"/>
      </w:pPr>
      <w:r>
        <w:rPr>
          <w:color w:val="6B5E52"/>
          <w:sz w:val="22"/>
          <w:szCs w:val="22"/>
        </w:rPr>
        <w:t xml:space="preserve">Growth Marketing Engineer assessment for Product Genius</w:t>
      </w:r>
    </w:p>
    <w:p>
      <w:pPr>
        <w:pBdr>
          <w:bottom w:val="single" w:color="C2410C" w:sz="6" w:space="1"/>
        </w:pBdr>
        <w:spacing w:after="160"/>
      </w:pPr>
      <w:r>
        <w:rPr>
          <w:sz w:val="21"/>
          <w:szCs w:val="21"/>
        </w:rPr>
        <w:t xml:space="preserve"/>
      </w:r>
    </w:p>
    <w:p>
      <w:pPr>
        <w:spacing w:after="140" w:line="276"/>
      </w:pPr>
      <w:r>
        <w:rPr>
          <w:sz w:val="21"/>
          <w:szCs w:val="21"/>
        </w:rPr>
        <w:t xml:space="preserve">This packet completes both tasks in the assessment, plus the video walkthrough script. I researched Product Genius and all ten target accounts first, then built the system and the working content factory around what I found. The short version of that research: Product Genius is a Shopify-native AI personalization feed that lifts revenue per session by roughly 20 to 36 percent, the buyer is whoever owns the conversion number, and five of the ten target accounts run on Shopify, which turns out to be the most important fact for how I would prioritize them.</w:t>
      </w:r>
    </w:p>
    <w:p>
      <w:pPr>
        <w:pStyle w:val="Heading2"/>
      </w:pPr>
      <w:r>
        <w:t xml:space="preserve">What is in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4DDD3" w:sz="1"/>
              <w:left w:val="single" w:color="E4DDD3" w:sz="1"/>
              <w:bottom w:val="single" w:color="E4DDD3" w:sz="1"/>
              <w:right w:val="single" w:color="E4DDD3" w:sz="1"/>
            </w:tcBorders>
            <w:shd w:fill="C2410C" w:val="clear"/>
            <w:tcMar>
              <w:top w:type="dxa" w:w="70"/>
              <w:left w:type="dxa" w:w="110"/>
              <w:bottom w:type="dxa" w:w="70"/>
              <w:right w:type="dxa" w:w="110"/>
            </w:tcMar>
          </w:tcPr>
          <w:p>
            <w:pPr>
              <w:spacing w:after="40" w:line="250"/>
            </w:pPr>
            <w:r>
              <w:rPr>
                <w:b/>
                <w:bCs/>
                <w:color w:val="FFFFFF"/>
                <w:sz w:val="19"/>
                <w:szCs w:val="19"/>
              </w:rPr>
              <w:t xml:space="preserve">File</w:t>
            </w:r>
          </w:p>
        </w:tc>
        <w:tc>
          <w:tcPr>
            <w:tcW w:type="dxa" w:w="6160"/>
            <w:tcBorders>
              <w:top w:val="single" w:color="E4DDD3" w:sz="1"/>
              <w:left w:val="single" w:color="E4DDD3" w:sz="1"/>
              <w:bottom w:val="single" w:color="E4DDD3" w:sz="1"/>
              <w:right w:val="single" w:color="E4DDD3" w:sz="1"/>
            </w:tcBorders>
            <w:shd w:fill="C2410C" w:val="clear"/>
            <w:tcMar>
              <w:top w:type="dxa" w:w="70"/>
              <w:left w:type="dxa" w:w="110"/>
              <w:bottom w:type="dxa" w:w="70"/>
              <w:right w:type="dxa" w:w="110"/>
            </w:tcMar>
          </w:tcPr>
          <w:p>
            <w:pPr>
              <w:spacing w:after="40" w:line="250"/>
            </w:pPr>
            <w:r>
              <w:rPr>
                <w:b/>
                <w:bCs/>
                <w:color w:val="FFFFFF"/>
                <w:sz w:val="19"/>
                <w:szCs w:val="19"/>
              </w:rPr>
              <w:t xml:space="preserve">What it is</w:t>
            </w:r>
          </w:p>
        </w:tc>
      </w:tr>
      <w:tr>
        <w:tc>
          <w:tcPr>
            <w:tcW w:type="dxa" w:w="3200"/>
            <w:tcBorders>
              <w:top w:val="single" w:color="E4DDD3" w:sz="1"/>
              <w:left w:val="single" w:color="E4DDD3" w:sz="1"/>
              <w:bottom w:val="single" w:color="E4DDD3" w:sz="1"/>
              <w:right w:val="single" w:color="E4DDD3" w:sz="1"/>
            </w:tcBorders>
            <w:shd w:fill="FBF6F0" w:val="clear"/>
            <w:tcMar>
              <w:top w:type="dxa" w:w="70"/>
              <w:left w:type="dxa" w:w="110"/>
              <w:bottom w:type="dxa" w:w="70"/>
              <w:right w:type="dxa" w:w="110"/>
            </w:tcMar>
          </w:tcPr>
          <w:p>
            <w:pPr>
              <w:spacing w:after="40" w:line="250"/>
            </w:pPr>
            <w:r>
              <w:rPr>
                <w:b w:val="false"/>
                <w:bCs w:val="false"/>
                <w:color w:val="1A1410"/>
                <w:sz w:val="19"/>
                <w:szCs w:val="19"/>
              </w:rPr>
              <w:t xml:space="preserve">Task 1 - Demand Generation Engine.docx</w:t>
            </w:r>
          </w:p>
        </w:tc>
        <w:tc>
          <w:tcPr>
            <w:tcW w:type="dxa" w:w="6160"/>
            <w:tcBorders>
              <w:top w:val="single" w:color="E4DDD3" w:sz="1"/>
              <w:left w:val="single" w:color="E4DDD3" w:sz="1"/>
              <w:bottom w:val="single" w:color="E4DDD3" w:sz="1"/>
              <w:right w:val="single" w:color="E4DDD3" w:sz="1"/>
            </w:tcBorders>
            <w:tcMar>
              <w:top w:type="dxa" w:w="70"/>
              <w:left w:type="dxa" w:w="110"/>
              <w:bottom w:type="dxa" w:w="70"/>
              <w:right w:type="dxa" w:w="110"/>
            </w:tcMar>
          </w:tcPr>
          <w:p>
            <w:pPr>
              <w:spacing w:after="40" w:line="250"/>
            </w:pPr>
            <w:r>
              <w:rPr>
                <w:b w:val="false"/>
                <w:bCs w:val="false"/>
                <w:color w:val="1A1410"/>
                <w:sz w:val="19"/>
                <w:szCs w:val="19"/>
              </w:rPr>
              <w:t xml:space="preserve">The strategic system design: who to target, how to segment the ten accounts, channels, signals, personalization, the end to end workflow, and how it learns.</w:t>
            </w:r>
          </w:p>
        </w:tc>
      </w:tr>
      <w:tr>
        <w:tc>
          <w:tcPr>
            <w:tcW w:type="dxa" w:w="3200"/>
            <w:tcBorders>
              <w:top w:val="single" w:color="E4DDD3" w:sz="1"/>
              <w:left w:val="single" w:color="E4DDD3" w:sz="1"/>
              <w:bottom w:val="single" w:color="E4DDD3" w:sz="1"/>
              <w:right w:val="single" w:color="E4DDD3" w:sz="1"/>
            </w:tcBorders>
            <w:shd w:fill="FBF6F0" w:val="clear"/>
            <w:tcMar>
              <w:top w:type="dxa" w:w="70"/>
              <w:left w:type="dxa" w:w="110"/>
              <w:bottom w:type="dxa" w:w="70"/>
              <w:right w:type="dxa" w:w="110"/>
            </w:tcMar>
          </w:tcPr>
          <w:p>
            <w:pPr>
              <w:spacing w:after="40" w:line="250"/>
            </w:pPr>
            <w:r>
              <w:rPr>
                <w:b w:val="false"/>
                <w:bCs w:val="false"/>
                <w:color w:val="1A1410"/>
                <w:sz w:val="19"/>
                <w:szCs w:val="19"/>
              </w:rPr>
              <w:t xml:space="preserve">Task 2 - AI Content Factory.docx</w:t>
            </w:r>
          </w:p>
        </w:tc>
        <w:tc>
          <w:tcPr>
            <w:tcW w:type="dxa" w:w="6160"/>
            <w:tcBorders>
              <w:top w:val="single" w:color="E4DDD3" w:sz="1"/>
              <w:left w:val="single" w:color="E4DDD3" w:sz="1"/>
              <w:bottom w:val="single" w:color="E4DDD3" w:sz="1"/>
              <w:right w:val="single" w:color="E4DDD3" w:sz="1"/>
            </w:tcBorders>
            <w:tcMar>
              <w:top w:type="dxa" w:w="70"/>
              <w:left w:type="dxa" w:w="110"/>
              <w:bottom w:type="dxa" w:w="70"/>
              <w:right w:type="dxa" w:w="110"/>
            </w:tcMar>
          </w:tcPr>
          <w:p>
            <w:pPr>
              <w:spacing w:after="40" w:line="250"/>
            </w:pPr>
            <w:r>
              <w:rPr>
                <w:b w:val="false"/>
                <w:bCs w:val="false"/>
                <w:color w:val="1A1410"/>
                <w:sz w:val="19"/>
                <w:szCs w:val="19"/>
              </w:rPr>
              <w:t xml:space="preserve">The write up of the content factory I built: how it works, why the personalization is real, how I would measure it, and what I would add next.</w:t>
            </w:r>
          </w:p>
        </w:tc>
      </w:tr>
      <w:tr>
        <w:tc>
          <w:tcPr>
            <w:tcW w:type="dxa" w:w="3200"/>
            <w:tcBorders>
              <w:top w:val="single" w:color="E4DDD3" w:sz="1"/>
              <w:left w:val="single" w:color="E4DDD3" w:sz="1"/>
              <w:bottom w:val="single" w:color="E4DDD3" w:sz="1"/>
              <w:right w:val="single" w:color="E4DDD3" w:sz="1"/>
            </w:tcBorders>
            <w:shd w:fill="FBF6F0" w:val="clear"/>
            <w:tcMar>
              <w:top w:type="dxa" w:w="70"/>
              <w:left w:type="dxa" w:w="110"/>
              <w:bottom w:type="dxa" w:w="70"/>
              <w:right w:type="dxa" w:w="110"/>
            </w:tcMar>
          </w:tcPr>
          <w:p>
            <w:pPr>
              <w:spacing w:after="40" w:line="250"/>
            </w:pPr>
            <w:r>
              <w:rPr>
                <w:b w:val="false"/>
                <w:bCs w:val="false"/>
                <w:color w:val="1A1410"/>
                <w:sz w:val="19"/>
                <w:szCs w:val="19"/>
              </w:rPr>
              <w:t xml:space="preserve">Loom Walkthrough Script.docx</w:t>
            </w:r>
          </w:p>
        </w:tc>
        <w:tc>
          <w:tcPr>
            <w:tcW w:type="dxa" w:w="6160"/>
            <w:tcBorders>
              <w:top w:val="single" w:color="E4DDD3" w:sz="1"/>
              <w:left w:val="single" w:color="E4DDD3" w:sz="1"/>
              <w:bottom w:val="single" w:color="E4DDD3" w:sz="1"/>
              <w:right w:val="single" w:color="E4DDD3" w:sz="1"/>
            </w:tcBorders>
            <w:tcMar>
              <w:top w:type="dxa" w:w="70"/>
              <w:left w:type="dxa" w:w="110"/>
              <w:bottom w:type="dxa" w:w="70"/>
              <w:right w:type="dxa" w:w="110"/>
            </w:tcMar>
          </w:tcPr>
          <w:p>
            <w:pPr>
              <w:spacing w:after="40" w:line="250"/>
            </w:pPr>
            <w:r>
              <w:rPr>
                <w:b w:val="false"/>
                <w:bCs w:val="false"/>
                <w:color w:val="1A1410"/>
                <w:sz w:val="19"/>
                <w:szCs w:val="19"/>
              </w:rPr>
              <w:t xml:space="preserve">A timed, section by section script for the 15 minute video walkthrough.</w:t>
            </w:r>
          </w:p>
        </w:tc>
      </w:tr>
      <w:tr>
        <w:tc>
          <w:tcPr>
            <w:tcW w:type="dxa" w:w="3200"/>
            <w:tcBorders>
              <w:top w:val="single" w:color="E4DDD3" w:sz="1"/>
              <w:left w:val="single" w:color="E4DDD3" w:sz="1"/>
              <w:bottom w:val="single" w:color="E4DDD3" w:sz="1"/>
              <w:right w:val="single" w:color="E4DDD3" w:sz="1"/>
            </w:tcBorders>
            <w:shd w:fill="FBF6F0" w:val="clear"/>
            <w:tcMar>
              <w:top w:type="dxa" w:w="70"/>
              <w:left w:type="dxa" w:w="110"/>
              <w:bottom w:type="dxa" w:w="70"/>
              <w:right w:type="dxa" w:w="110"/>
            </w:tcMar>
          </w:tcPr>
          <w:p>
            <w:pPr>
              <w:spacing w:after="40" w:line="250"/>
            </w:pPr>
            <w:r>
              <w:rPr>
                <w:b w:val="false"/>
                <w:bCs w:val="false"/>
                <w:color w:val="1A1410"/>
                <w:sz w:val="19"/>
                <w:szCs w:val="19"/>
              </w:rPr>
              <w:t xml:space="preserve">content-factory-app / index.html</w:t>
            </w:r>
          </w:p>
        </w:tc>
        <w:tc>
          <w:tcPr>
            <w:tcW w:type="dxa" w:w="6160"/>
            <w:tcBorders>
              <w:top w:val="single" w:color="E4DDD3" w:sz="1"/>
              <w:left w:val="single" w:color="E4DDD3" w:sz="1"/>
              <w:bottom w:val="single" w:color="E4DDD3" w:sz="1"/>
              <w:right w:val="single" w:color="E4DDD3" w:sz="1"/>
            </w:tcBorders>
            <w:tcMar>
              <w:top w:type="dxa" w:w="70"/>
              <w:left w:type="dxa" w:w="110"/>
              <w:bottom w:type="dxa" w:w="70"/>
              <w:right w:type="dxa" w:w="110"/>
            </w:tcMar>
          </w:tcPr>
          <w:p>
            <w:pPr>
              <w:spacing w:after="40" w:line="250"/>
            </w:pPr>
            <w:r>
              <w:rPr>
                <w:b w:val="false"/>
                <w:bCs w:val="false"/>
                <w:color w:val="1A1410"/>
                <w:sz w:val="19"/>
                <w:szCs w:val="19"/>
              </w:rPr>
              <w:t xml:space="preserve">The working product. Open it in any browser. Swap the source (or paste your own), pick an account, run the factory, and watch it generate a blog post, a LinkedIn series, and an email drip personalized to that buyer. No install, no key, nothing to host.</w:t>
            </w:r>
          </w:p>
        </w:tc>
      </w:tr>
      <w:tr>
        <w:tc>
          <w:tcPr>
            <w:tcW w:type="dxa" w:w="3200"/>
            <w:tcBorders>
              <w:top w:val="single" w:color="E4DDD3" w:sz="1"/>
              <w:left w:val="single" w:color="E4DDD3" w:sz="1"/>
              <w:bottom w:val="single" w:color="E4DDD3" w:sz="1"/>
              <w:right w:val="single" w:color="E4DDD3" w:sz="1"/>
            </w:tcBorders>
            <w:shd w:fill="FBF6F0" w:val="clear"/>
            <w:tcMar>
              <w:top w:type="dxa" w:w="70"/>
              <w:left w:type="dxa" w:w="110"/>
              <w:bottom w:type="dxa" w:w="70"/>
              <w:right w:type="dxa" w:w="110"/>
            </w:tcMar>
          </w:tcPr>
          <w:p>
            <w:pPr>
              <w:spacing w:after="40" w:line="250"/>
            </w:pPr>
            <w:r>
              <w:rPr>
                <w:b w:val="false"/>
                <w:bCs w:val="false"/>
                <w:color w:val="1A1410"/>
                <w:sz w:val="19"/>
                <w:szCs w:val="19"/>
              </w:rPr>
              <w:t xml:space="preserve">content-factory-pipeline /</w:t>
            </w:r>
          </w:p>
        </w:tc>
        <w:tc>
          <w:tcPr>
            <w:tcW w:type="dxa" w:w="6160"/>
            <w:tcBorders>
              <w:top w:val="single" w:color="E4DDD3" w:sz="1"/>
              <w:left w:val="single" w:color="E4DDD3" w:sz="1"/>
              <w:bottom w:val="single" w:color="E4DDD3" w:sz="1"/>
              <w:right w:val="single" w:color="E4DDD3" w:sz="1"/>
            </w:tcBorders>
            <w:tcMar>
              <w:top w:type="dxa" w:w="70"/>
              <w:left w:type="dxa" w:w="110"/>
              <w:bottom w:type="dxa" w:w="70"/>
              <w:right w:type="dxa" w:w="110"/>
            </w:tcMar>
          </w:tcPr>
          <w:p>
            <w:pPr>
              <w:spacing w:after="40" w:line="250"/>
            </w:pPr>
            <w:r>
              <w:rPr>
                <w:b w:val="false"/>
                <w:bCs w:val="false"/>
                <w:color w:val="1A1410"/>
                <w:sz w:val="19"/>
                <w:szCs w:val="19"/>
              </w:rPr>
              <w:t xml:space="preserve">The same engine as runnable Python, with a command line, a built in de-AI pass, and a one class seam to swap in a live model. Run: python run.py --account thirdlove</w:t>
            </w:r>
          </w:p>
        </w:tc>
      </w:tr>
      <w:tr>
        <w:tc>
          <w:tcPr>
            <w:tcW w:type="dxa" w:w="3200"/>
            <w:tcBorders>
              <w:top w:val="single" w:color="E4DDD3" w:sz="1"/>
              <w:left w:val="single" w:color="E4DDD3" w:sz="1"/>
              <w:bottom w:val="single" w:color="E4DDD3" w:sz="1"/>
              <w:right w:val="single" w:color="E4DDD3" w:sz="1"/>
            </w:tcBorders>
            <w:shd w:fill="FBF6F0" w:val="clear"/>
            <w:tcMar>
              <w:top w:type="dxa" w:w="70"/>
              <w:left w:type="dxa" w:w="110"/>
              <w:bottom w:type="dxa" w:w="70"/>
              <w:right w:type="dxa" w:w="110"/>
            </w:tcMar>
          </w:tcPr>
          <w:p>
            <w:pPr>
              <w:spacing w:after="40" w:line="250"/>
            </w:pPr>
            <w:r>
              <w:rPr>
                <w:b w:val="false"/>
                <w:bCs w:val="false"/>
                <w:color w:val="1A1410"/>
                <w:sz w:val="19"/>
                <w:szCs w:val="19"/>
              </w:rPr>
              <w:t xml:space="preserve">sample-outputs /</w:t>
            </w:r>
          </w:p>
        </w:tc>
        <w:tc>
          <w:tcPr>
            <w:tcW w:type="dxa" w:w="6160"/>
            <w:tcBorders>
              <w:top w:val="single" w:color="E4DDD3" w:sz="1"/>
              <w:left w:val="single" w:color="E4DDD3" w:sz="1"/>
              <w:bottom w:val="single" w:color="E4DDD3" w:sz="1"/>
              <w:right w:val="single" w:color="E4DDD3" w:sz="1"/>
            </w:tcBorders>
            <w:tcMar>
              <w:top w:type="dxa" w:w="70"/>
              <w:left w:type="dxa" w:w="110"/>
              <w:bottom w:type="dxa" w:w="70"/>
              <w:right w:type="dxa" w:w="110"/>
            </w:tcMar>
          </w:tcPr>
          <w:p>
            <w:pPr>
              <w:spacing w:after="40" w:line="250"/>
            </w:pPr>
            <w:r>
              <w:rPr>
                <w:b w:val="false"/>
                <w:bCs w:val="false"/>
                <w:color w:val="1A1410"/>
                <w:sz w:val="19"/>
                <w:szCs w:val="19"/>
              </w:rPr>
              <w:t xml:space="preserve">Hand polished reference outputs for two contrasting accounts (ThirdLove and Southern Baked Pie) so you can read the quality bar without running anything.</w:t>
            </w:r>
          </w:p>
        </w:tc>
      </w:tr>
    </w:tbl>
    <w:p>
      <w:pPr>
        <w:spacing w:after="140" w:line="276"/>
      </w:pPr>
      <w:r>
        <w:rPr>
          <w:sz w:val="21"/>
          <w:szCs w:val="21"/>
        </w:rPr>
        <w:t xml:space="preserve"/>
      </w:r>
    </w:p>
    <w:p>
      <w:pPr>
        <w:pStyle w:val="Heading2"/>
      </w:pPr>
      <w:r>
        <w:t xml:space="preserve">How to read it in five minutes</w:t>
      </w:r>
    </w:p>
    <w:p>
      <w:pPr>
        <w:pStyle w:val="ListParagraph"/>
        <w:numPr>
          <w:ilvl w:val="0"/>
          <w:numId w:val="2"/>
        </w:numPr>
        <w:spacing w:after="90" w:line="270"/>
      </w:pPr>
      <w:r>
        <w:rPr>
          <w:sz w:val="21"/>
          <w:szCs w:val="21"/>
        </w:rPr>
        <w:t xml:space="preserve">Open content-factory-app / index.html, select ThirdLove, and click Forge content. That is Task 2 in motion.</w:t>
      </w:r>
    </w:p>
    <w:p>
      <w:pPr>
        <w:pStyle w:val="ListParagraph"/>
        <w:numPr>
          <w:ilvl w:val="0"/>
          <w:numId w:val="2"/>
        </w:numPr>
        <w:spacing w:after="90" w:line="270"/>
      </w:pPr>
      <w:r>
        <w:rPr>
          <w:sz w:val="21"/>
          <w:szCs w:val="21"/>
        </w:rPr>
        <w:t xml:space="preserve">Skim Task 1 for the segmentation table. The Shopify versus enterprise split is the core idea.</w:t>
      </w:r>
    </w:p>
    <w:p>
      <w:pPr>
        <w:pStyle w:val="ListParagraph"/>
        <w:numPr>
          <w:ilvl w:val="0"/>
          <w:numId w:val="2"/>
        </w:numPr>
        <w:spacing w:after="90" w:line="270"/>
      </w:pPr>
      <w:r>
        <w:rPr>
          <w:sz w:val="21"/>
          <w:szCs w:val="21"/>
        </w:rPr>
        <w:t xml:space="preserve">If you want the engineering, open content-factory-pipeline / README.md and run the one line command.</w:t>
      </w:r>
    </w:p>
    <w:p>
      <w:pPr>
        <w:spacing w:after="140" w:line="276"/>
      </w:pPr>
      <w:r>
        <w:rPr>
          <w:sz w:val="21"/>
          <w:szCs w:val="21"/>
        </w:rPr>
        <w:t xml:space="preserve"/>
      </w:r>
    </w:p>
    <w:p>
      <w:pPr>
        <w:spacing w:after="140" w:line="276"/>
      </w:pPr>
      <w:r>
        <w:rPr>
          <w:b/>
          <w:bCs/>
          <w:sz w:val="21"/>
          <w:szCs w:val="21"/>
        </w:rPr>
        <w:t xml:space="preserve">A note on the writing. </w:t>
      </w:r>
      <w:r>
        <w:rPr>
          <w:sz w:val="21"/>
          <w:szCs w:val="21"/>
        </w:rPr>
        <w:t xml:space="preserve">The whole packet, including the generated marketing copy and the code comments, is written without em-dashes and without the usual machine tells. The content factory even enforces that with an automated cleanup stage, which you can read in qa.py.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E52"/>
        <w:sz w:val="16"/>
        <w:szCs w:val="16"/>
      </w:rPr>
      <w:t xml:space="preserve">Page </w:t>
    </w:r>
    <w:r>
      <w:rPr>
        <w:color w:val="6B5E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DDD3" w:sz="4" w:space="4"/>
      </w:pBdr>
      <w:tabs>
        <w:tab w:val="right" w:pos="9360"/>
      </w:tabs>
    </w:pPr>
    <w:r>
      <w:rPr>
        <w:b/>
        <w:bCs/>
        <w:color w:val="C2410C"/>
        <w:sz w:val="16"/>
        <w:szCs w:val="16"/>
      </w:rPr>
      <w:t xml:space="preserve">Product Genius</w:t>
    </w:r>
    <w:r>
      <w:rPr>
        <w:color w:val="6B5E52"/>
        <w:sz w:val="16"/>
        <w:szCs w:val="16"/>
      </w:rPr>
      <w:t xml:space="preserve">	Growth Marketing Engineer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4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C2410C"/>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1A1410"/>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7C3AE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2026-06-28T20:02:56.845Z</dcterms:created>
  <dcterms:modified xsi:type="dcterms:W3CDTF">2026-06-28T20:02:56.849Z</dcterms:modified>
</cp:coreProperties>
</file>

<file path=docProps/custom.xml><?xml version="1.0" encoding="utf-8"?>
<Properties xmlns="http://schemas.openxmlformats.org/officeDocument/2006/custom-properties" xmlns:vt="http://schemas.openxmlformats.org/officeDocument/2006/docPropsVTypes"/>
</file>