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swald-bold.ttf" ContentType="application/x-font-ttf"/>
  <Override PartName="/word/fonts/Oswald-regular.ttf" ContentType="application/x-font-ttf"/>
  <Override PartName="/word/fonts/RobotoCondensed-bold.ttf" ContentType="application/x-font-ttf"/>
  <Override PartName="/word/fonts/RobotoCondensed-boldItalic.ttf" ContentType="application/x-font-ttf"/>
  <Override PartName="/word/fonts/RobotoCondensed-italic.ttf" ContentType="application/x-font-ttf"/>
  <Override PartName="/word/fonts/RobotoCondense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-15" w:firstLine="0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DATE: 20th Aug 2026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228600</wp:posOffset>
            </wp:positionH>
            <wp:positionV relativeFrom="paragraph">
              <wp:posOffset>685800</wp:posOffset>
            </wp:positionV>
            <wp:extent cx="5943600" cy="50800"/>
            <wp:effectExtent b="0" l="0" r="0" t="0"/>
            <wp:wrapSquare wrapText="bothSides" distB="114300" distT="114300" distL="114300" distR="11430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-15" w:firstLine="0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Thursday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>
      <w:pPr>
        <w:spacing w:before="280" w:after="80" w:line="240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8"/>
        </w:rPr>
        <w:t>WHAT IS ETL?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ETL (Eat Truck Love) is a curated outdoor food destination brand and a subsidiary of Azimuth Business on Wheels – India’s leading mobile infrastructure company. Azimuth designs and manufactures food kiosks, trucks and trailers for its customers; through ETL we take this a step further by creating dedicated, ready-to-operate food zones where these units come together as a single, well-managed food &amp; beverage destination. This gives both first-time entrepreneurs and established brands a legitimate, fully-serviced location to operate from – without the cost and rigidity of permanent construction.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ETL currently operates live food zones at Alpha 1, Central 50 and Bennett University, with plans to expand to more locations.</w:t>
      </w:r>
    </w:p>
    <w:p>
      <w:pPr>
        <w:spacing w:before="280" w:after="80" w:line="240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8"/>
        </w:rPr>
        <w:t>MODELS ON WHICH ETL OPERATES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>ETL operates on a real estate model. Instead of building a conventional food court or permitting unstructured vending, ETL converts underutilised or unused outdoor land into a curated, revenue-generating food &amp; beverage zone using mobile food units.</w:t>
      </w:r>
    </w:p>
    <w:p>
      <w:pPr>
        <w:spacing w:before="0" w:after="80" w:line="276" w:lineRule="auto"/>
        <w:ind w:left="360"/>
        <w:jc w:val="both"/>
      </w:pPr>
      <w:r>
        <w:rPr>
          <w:rFonts w:ascii="Arial" w:hAnsi="Arial" w:cs="Arial" w:eastAsia="Arial"/>
          <w:b/>
          <w:i w:val="0"/>
          <w:color w:val="000000"/>
          <w:sz w:val="22"/>
        </w:rPr>
        <w:t xml:space="preserve">•  Real Estate: 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>For property owners – universities, townships, metro-adjacent developments and malls – an ETL zone is a faster and more flexible alternative to permanent construction, offering greater control over the brand mix and the overall customer experience. Because the units are manufactured in-house with utilities, ventilation and hygiene built in at the fabrication stage, a zone can be deployed quickly and scaled or relocated as required.</w:t>
      </w:r>
    </w:p>
    <w:p>
      <w:pPr>
        <w:spacing w:after="40"/>
      </w:pPr>
    </w:p>
    <w:p w:rsidR="00000000" w:rsidDel="00000000" w:rsidP="00000000" w:rsidRDefault="00000000" w:rsidRPr="00000000" w14:paraId="00000005">
      <w:pPr>
        <w:spacing w:before="280" w:after="4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PROPOSED BRAND LIST :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60" w:lineRule="auto"/>
        <w:ind w:left="-15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-180142</wp:posOffset>
            </wp:positionH>
            <wp:positionV relativeFrom="paragraph">
              <wp:posOffset>561975</wp:posOffset>
            </wp:positionV>
            <wp:extent cx="1837493" cy="103822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493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ind w:left="1440" w:firstLine="0"/>
        <w:rPr>
          <w:rFonts w:ascii="Arial" w:cs="Arial" w:eastAsia="Arial" w:hAnsi="Arial"/>
          <w:b w:val="1"/>
          <w:bCs w:val="1"/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ETL by AZIMUTH BUSINESS ON WHEELS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before="0" w:line="276" w:lineRule="auto"/>
        <w:ind w:left="2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AZIMUTH BUSINESS ON WHEELS 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INDIA’S LEADING MOBILE INFRASTRUCTURE COMPANY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18"/>
            <w:szCs w:val="18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www.oneazimuth.co.in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+91 922047820 , +91 8130531566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-638174</wp:posOffset>
          </wp:positionH>
          <wp:positionV relativeFrom="paragraph">
            <wp:posOffset>352425</wp:posOffset>
          </wp:positionV>
          <wp:extent cx="1227237" cy="1033463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7237" cy="103346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4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00" w:line="360" w:lineRule="auto"/>
      <w:ind w:left="-15" w:firstLine="0"/>
    </w:pPr>
    <w:rPr>
      <w:rFonts w:ascii="Oswald" w:cs="Oswald" w:eastAsia="Oswald" w:hAnsi="Oswald"/>
      <w:color w:val="42424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="360" w:lineRule="auto"/>
      <w:ind w:left="-15" w:firstLine="0"/>
    </w:pPr>
    <w:rPr>
      <w:rFonts w:ascii="Oswald" w:cs="Oswald" w:eastAsia="Oswald" w:hAnsi="Oswald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00" w:line="240" w:lineRule="auto"/>
      <w:ind w:left="-15" w:firstLine="0"/>
    </w:pPr>
    <w:rPr>
      <w:rFonts w:ascii="Source Code Pro" w:cs="Source Code Pro" w:eastAsia="Source Code Pro" w:hAnsi="Source Code Pro"/>
      <w:color w:val="424242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40" w:lineRule="auto"/>
      <w:ind w:left="-15" w:firstLine="0"/>
    </w:pPr>
    <w:rPr>
      <w:rFonts w:ascii="Oswald" w:cs="Oswald" w:eastAsia="Oswald" w:hAnsi="Oswald"/>
      <w:color w:val="42424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666666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www.oneazimuth.co.in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www.oneazimuth.co.i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