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jc w:val="right"/>
      </w:pPr>
      <w:r>
        <w:rPr>
          <w:rFonts w:ascii="Arial" w:hAnsi="Arial" w:cs="Arial" w:eastAsia="Arial"/>
          <w:b w:val="0"/>
          <w:i w:val="0"/>
          <w:color w:val="000000"/>
          <w:sz w:val="22"/>
        </w:rPr>
        <w:t>DATE: 21st August 2026</w:t>
      </w:r>
    </w:p>
    <w:p>
      <w:pPr>
        <w:spacing w:after="160" w:line="240" w:lineRule="auto"/>
        <w:jc w:val="right"/>
        <w:pBdr>
          <w:bottom w:val="single" w:sz="6" w:space="6" w:color="B0B0B0"/>
        </w:pBdr>
      </w:pPr>
      <w:r>
        <w:rPr>
          <w:rFonts w:ascii="Arial" w:hAnsi="Arial" w:cs="Arial" w:eastAsia="Arial"/>
          <w:b w:val="0"/>
          <w:i w:val="0"/>
          <w:color w:val="000000"/>
          <w:sz w:val="22"/>
        </w:rPr>
        <w:t>Friday</w:t>
      </w:r>
    </w:p>
    <w:p>
      <w:pPr>
        <w:keepNext/>
        <w:spacing w:before="200" w:after="100" w:line="240" w:lineRule="auto"/>
        <w:jc w:val="left"/>
      </w:pPr>
      <w:r>
        <w:rPr>
          <w:rFonts w:ascii="Arial" w:hAnsi="Arial" w:cs="Arial" w:eastAsia="Arial"/>
          <w:b/>
          <w:i w:val="0"/>
          <w:color w:val="000000"/>
          <w:sz w:val="26"/>
        </w:rPr>
        <w:t>MODELS ON WHICH ETL (EAT TRUCK LOVE) OPERATES</w:t>
      </w:r>
    </w:p>
    <w:p>
      <w:pPr>
        <w:spacing w:before="0" w:after="120" w:line="264" w:lineRule="auto"/>
        <w:jc w:val="both"/>
      </w:pPr>
      <w:r>
        <w:rPr>
          <w:rFonts w:ascii="Arial" w:hAnsi="Arial" w:cs="Arial" w:eastAsia="Arial"/>
          <w:b w:val="0"/>
          <w:i w:val="0"/>
          <w:color w:val="000000"/>
          <w:sz w:val="22"/>
        </w:rPr>
        <w:t>ETL operates on a real estate model, converting underutilised space into curated food zones. The arrangement with the property owner follows one of the following three models:</w:t>
      </w:r>
    </w:p>
    <w:p>
      <w:pPr>
        <w:tabs>
          <w:tab w:pos="520" w:val="left"/>
        </w:tabs>
        <w:spacing w:before="0" w:after="120" w:line="264" w:lineRule="auto"/>
        <w:ind w:left="520" w:hanging="520"/>
        <w:jc w:val="both"/>
      </w:pPr>
      <w:r>
        <w:rPr>
          <w:rFonts w:ascii="Arial" w:hAnsi="Arial" w:cs="Arial" w:eastAsia="Arial"/>
          <w:b/>
          <w:i w:val="0"/>
          <w:color w:val="000000"/>
          <w:sz w:val="22"/>
        </w:rPr>
        <w:t>1.</w:t>
      </w:r>
      <w:r>
        <w:rPr>
          <w:rFonts w:ascii="Arial" w:hAnsi="Arial" w:cs="Arial" w:eastAsia="Arial"/>
          <w:b/>
          <w:i w:val="0"/>
          <w:color w:val="000000"/>
          <w:sz w:val="22"/>
        </w:rPr>
        <w:tab/>
      </w:r>
      <w:r>
        <w:rPr>
          <w:rFonts w:ascii="Arial" w:hAnsi="Arial" w:cs="Arial" w:eastAsia="Arial"/>
          <w:b/>
          <w:i w:val="0"/>
          <w:color w:val="000000"/>
          <w:sz w:val="22"/>
        </w:rPr>
        <w:t xml:space="preserve">Pure Rentals — </w:t>
      </w:r>
      <w:r>
        <w:rPr>
          <w:rFonts w:ascii="Arial" w:hAnsi="Arial" w:cs="Arial" w:eastAsia="Arial"/>
          <w:b w:val="0"/>
          <w:i w:val="0"/>
          <w:color w:val="000000"/>
          <w:sz w:val="22"/>
        </w:rPr>
        <w:t>ETL pays the property owner a fixed, pre-agreed rental for the space, set mutually on the basis of location, footfall potential, area and duration. It provides the owner with guaranteed, predictable income, while ETL retains the full revenue upside.</w:t>
      </w:r>
    </w:p>
    <w:p>
      <w:pPr>
        <w:tabs>
          <w:tab w:pos="520" w:val="left"/>
        </w:tabs>
        <w:spacing w:before="0" w:after="120" w:line="264" w:lineRule="auto"/>
        <w:ind w:left="520" w:hanging="520"/>
        <w:jc w:val="both"/>
      </w:pPr>
      <w:r>
        <w:rPr>
          <w:rFonts w:ascii="Arial" w:hAnsi="Arial" w:cs="Arial" w:eastAsia="Arial"/>
          <w:b/>
          <w:i w:val="0"/>
          <w:color w:val="000000"/>
          <w:sz w:val="22"/>
        </w:rPr>
        <w:t>2.</w:t>
      </w:r>
      <w:r>
        <w:rPr>
          <w:rFonts w:ascii="Arial" w:hAnsi="Arial" w:cs="Arial" w:eastAsia="Arial"/>
          <w:b/>
          <w:i w:val="0"/>
          <w:color w:val="000000"/>
          <w:sz w:val="22"/>
        </w:rPr>
        <w:tab/>
      </w:r>
      <w:r>
        <w:rPr>
          <w:rFonts w:ascii="Arial" w:hAnsi="Arial" w:cs="Arial" w:eastAsia="Arial"/>
          <w:b/>
          <w:i w:val="0"/>
          <w:color w:val="000000"/>
          <w:sz w:val="22"/>
        </w:rPr>
        <w:t xml:space="preserve">Pure Revenue Share — </w:t>
      </w:r>
      <w:r>
        <w:rPr>
          <w:rFonts w:ascii="Arial" w:hAnsi="Arial" w:cs="Arial" w:eastAsia="Arial"/>
          <w:b w:val="0"/>
          <w:i w:val="0"/>
          <w:color w:val="000000"/>
          <w:sz w:val="22"/>
        </w:rPr>
        <w:t>There is no fixed rent; instead, a mutually agreed percentage of the zone’s revenue is shared with the property owner. Earnings move in proportion to performance, aligning both parties to drive footfall and sales — well suited to locations where footfall is still building.</w:t>
      </w:r>
    </w:p>
    <w:p>
      <w:pPr>
        <w:tabs>
          <w:tab w:pos="520" w:val="left"/>
        </w:tabs>
        <w:spacing w:before="0" w:after="120" w:line="264" w:lineRule="auto"/>
        <w:ind w:left="520" w:hanging="520"/>
        <w:jc w:val="both"/>
      </w:pPr>
      <w:r>
        <w:rPr>
          <w:rFonts w:ascii="Arial" w:hAnsi="Arial" w:cs="Arial" w:eastAsia="Arial"/>
          <w:b/>
          <w:i w:val="0"/>
          <w:color w:val="000000"/>
          <w:sz w:val="22"/>
        </w:rPr>
        <w:t>3.</w:t>
      </w:r>
      <w:r>
        <w:rPr>
          <w:rFonts w:ascii="Arial" w:hAnsi="Arial" w:cs="Arial" w:eastAsia="Arial"/>
          <w:b/>
          <w:i w:val="0"/>
          <w:color w:val="000000"/>
          <w:sz w:val="22"/>
        </w:rPr>
        <w:tab/>
      </w:r>
      <w:r>
        <w:rPr>
          <w:rFonts w:ascii="Arial" w:hAnsi="Arial" w:cs="Arial" w:eastAsia="Arial"/>
          <w:b/>
          <w:i w:val="0"/>
          <w:color w:val="000000"/>
          <w:sz w:val="22"/>
        </w:rPr>
        <w:t xml:space="preserve">Minimum Guarantee (MG) + Revenue Share — </w:t>
      </w:r>
      <w:r>
        <w:rPr>
          <w:rFonts w:ascii="Arial" w:hAnsi="Arial" w:cs="Arial" w:eastAsia="Arial"/>
          <w:b w:val="0"/>
          <w:i w:val="0"/>
          <w:color w:val="000000"/>
          <w:sz w:val="22"/>
        </w:rPr>
        <w:t>A hybrid model combining an assured minimum guarantee — e.g., ₹1,00,000 per month payable regardless of performance — with a revenue share on sales above that threshold. On monthly sales of ₹1,50,000, the agreed share applies to the incremental ₹50,000, protecting the owner’s downside while sharing the upside.</w:t>
      </w:r>
    </w:p>
    <w:p>
      <w:pPr>
        <w:keepNext/>
        <w:spacing w:before="200" w:after="100" w:line="240" w:lineRule="auto"/>
        <w:jc w:val="left"/>
      </w:pPr>
      <w:r>
        <w:rPr>
          <w:rFonts w:ascii="Arial" w:hAnsi="Arial" w:cs="Arial" w:eastAsia="Arial"/>
          <w:b/>
          <w:i w:val="0"/>
          <w:color w:val="000000"/>
          <w:sz w:val="26"/>
        </w:rPr>
        <w:t>VARIABLE FACTORS RELATED TO ETL (EAT TRUCK LOVE) ZONE SETUP</w:t>
      </w:r>
    </w:p>
    <w:p>
      <w:pPr>
        <w:spacing w:before="0" w:after="120" w:line="264" w:lineRule="auto"/>
        <w:jc w:val="both"/>
      </w:pPr>
      <w:r>
        <w:rPr>
          <w:rFonts w:ascii="Arial" w:hAnsi="Arial" w:cs="Arial" w:eastAsia="Arial"/>
          <w:b w:val="0"/>
          <w:i w:val="0"/>
          <w:color w:val="000000"/>
          <w:sz w:val="22"/>
        </w:rPr>
        <w:t>These factors vary by location and influence the model selected and the commercial terms:</w:t>
      </w:r>
    </w:p>
    <w:p>
      <w:pPr>
        <w:tabs>
          <w:tab w:pos="520" w:val="left"/>
        </w:tabs>
        <w:spacing w:before="0" w:after="120" w:line="264" w:lineRule="auto"/>
        <w:ind w:left="520" w:hanging="520"/>
        <w:jc w:val="both"/>
      </w:pPr>
      <w:r>
        <w:rPr>
          <w:rFonts w:ascii="Arial" w:hAnsi="Arial" w:cs="Arial" w:eastAsia="Arial"/>
          <w:b/>
          <w:i w:val="0"/>
          <w:color w:val="000000"/>
          <w:sz w:val="22"/>
        </w:rPr>
        <w:t>1.</w:t>
      </w:r>
      <w:r>
        <w:rPr>
          <w:rFonts w:ascii="Arial" w:hAnsi="Arial" w:cs="Arial" w:eastAsia="Arial"/>
          <w:b/>
          <w:i w:val="0"/>
          <w:color w:val="000000"/>
          <w:sz w:val="22"/>
        </w:rPr>
        <w:tab/>
      </w:r>
      <w:r>
        <w:rPr>
          <w:rFonts w:ascii="Arial" w:hAnsi="Arial" w:cs="Arial" w:eastAsia="Arial"/>
          <w:b/>
          <w:i w:val="0"/>
          <w:color w:val="000000"/>
          <w:sz w:val="22"/>
        </w:rPr>
        <w:t xml:space="preserve">Scope of Work — </w:t>
      </w:r>
      <w:r>
        <w:rPr>
          <w:rFonts w:ascii="Arial" w:hAnsi="Arial" w:cs="Arial" w:eastAsia="Arial"/>
          <w:b w:val="0"/>
          <w:i w:val="0"/>
          <w:color w:val="000000"/>
          <w:sz w:val="22"/>
        </w:rPr>
        <w:t>The size and layout of the zone, the number of units and outlets, seating and common areas, and the infrastructure ETL provides versus the property owner.</w:t>
      </w:r>
    </w:p>
    <w:p>
      <w:pPr>
        <w:tabs>
          <w:tab w:pos="520" w:val="left"/>
        </w:tabs>
        <w:spacing w:before="0" w:after="120" w:line="264" w:lineRule="auto"/>
        <w:ind w:left="520" w:hanging="520"/>
        <w:jc w:val="both"/>
      </w:pPr>
      <w:r>
        <w:rPr>
          <w:rFonts w:ascii="Arial" w:hAnsi="Arial" w:cs="Arial" w:eastAsia="Arial"/>
          <w:b/>
          <w:i w:val="0"/>
          <w:color w:val="000000"/>
          <w:sz w:val="22"/>
        </w:rPr>
        <w:t>2.</w:t>
      </w:r>
      <w:r>
        <w:rPr>
          <w:rFonts w:ascii="Arial" w:hAnsi="Arial" w:cs="Arial" w:eastAsia="Arial"/>
          <w:b/>
          <w:i w:val="0"/>
          <w:color w:val="000000"/>
          <w:sz w:val="22"/>
        </w:rPr>
        <w:tab/>
      </w:r>
      <w:r>
        <w:rPr>
          <w:rFonts w:ascii="Arial" w:hAnsi="Arial" w:cs="Arial" w:eastAsia="Arial"/>
          <w:b/>
          <w:i w:val="0"/>
          <w:color w:val="000000"/>
          <w:sz w:val="22"/>
        </w:rPr>
        <w:t xml:space="preserve">Capital Influx — </w:t>
      </w:r>
      <w:r>
        <w:rPr>
          <w:rFonts w:ascii="Arial" w:hAnsi="Arial" w:cs="Arial" w:eastAsia="Arial"/>
          <w:b w:val="0"/>
          <w:i w:val="0"/>
          <w:color w:val="000000"/>
          <w:sz w:val="22"/>
        </w:rPr>
        <w:t>The capital required to set up and operationalise the zone — site and civil work, utilities, unit fabrication and branding — and how it is funded between the parties.</w:t>
      </w:r>
    </w:p>
    <w:p>
      <w:pPr>
        <w:tabs>
          <w:tab w:pos="520" w:val="left"/>
        </w:tabs>
        <w:spacing w:before="0" w:after="120" w:line="264" w:lineRule="auto"/>
        <w:ind w:left="520" w:hanging="520"/>
        <w:jc w:val="both"/>
      </w:pPr>
      <w:r>
        <w:rPr>
          <w:rFonts w:ascii="Arial" w:hAnsi="Arial" w:cs="Arial" w:eastAsia="Arial"/>
          <w:b/>
          <w:i w:val="0"/>
          <w:color w:val="000000"/>
          <w:sz w:val="22"/>
        </w:rPr>
        <w:t>3.</w:t>
      </w:r>
      <w:r>
        <w:rPr>
          <w:rFonts w:ascii="Arial" w:hAnsi="Arial" w:cs="Arial" w:eastAsia="Arial"/>
          <w:b/>
          <w:i w:val="0"/>
          <w:color w:val="000000"/>
          <w:sz w:val="22"/>
        </w:rPr>
        <w:tab/>
      </w:r>
      <w:r>
        <w:rPr>
          <w:rFonts w:ascii="Arial" w:hAnsi="Arial" w:cs="Arial" w:eastAsia="Arial"/>
          <w:b/>
          <w:i w:val="0"/>
          <w:color w:val="000000"/>
          <w:sz w:val="22"/>
        </w:rPr>
        <w:t xml:space="preserve">Brands – Integration — </w:t>
      </w:r>
      <w:r>
        <w:rPr>
          <w:rFonts w:ascii="Arial" w:hAnsi="Arial" w:cs="Arial" w:eastAsia="Arial"/>
          <w:b w:val="0"/>
          <w:i w:val="0"/>
          <w:color w:val="000000"/>
          <w:sz w:val="22"/>
        </w:rPr>
        <w:t>Curating the right mix of food &amp; beverage brands for the location’s audience and onboarding them onto the appropriate ETL units to create a compelling food destination.</w:t>
      </w:r>
    </w:p>
    <w:sectPr w:rsidR="00FC693F" w:rsidRPr="0006063C" w:rsidSect="00034616">
      <w:headerReference w:type="default" r:id="rId9"/>
      <w:footerReference w:type="default" r:id="rId10"/>
      <w:pgSz w:w="12240" w:h="15840"/>
      <w:pgMar w:top="2160" w:right="1440" w:bottom="2232"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40" w:before="0"/>
      <w:jc w:val="center"/>
    </w:pPr>
    <w:r>
      <w:drawing>
        <wp:inline xmlns:a="http://schemas.openxmlformats.org/drawingml/2006/main" xmlns:pic="http://schemas.openxmlformats.org/drawingml/2006/picture">
          <wp:extent cx="1325880" cy="747513"/>
          <wp:docPr id="1" name="Picture 1"/>
          <wp:cNvGraphicFramePr>
            <a:graphicFrameLocks noChangeAspect="1"/>
          </wp:cNvGraphicFramePr>
          <a:graphic>
            <a:graphicData uri="http://schemas.openxmlformats.org/drawingml/2006/picture">
              <pic:pic>
                <pic:nvPicPr>
                  <pic:cNvPr id="0" name="image2.png"/>
                  <pic:cNvPicPr/>
                </pic:nvPicPr>
                <pic:blipFill>
                  <a:blip r:embed="rId1"/>
                  <a:stretch>
                    <a:fillRect/>
                  </a:stretch>
                </pic:blipFill>
                <pic:spPr>
                  <a:xfrm>
                    <a:off x="0" y="0"/>
                    <a:ext cx="1325880" cy="747513"/>
                  </a:xfrm>
                  <a:prstGeom prst="rect"/>
                </pic:spPr>
              </pic:pic>
            </a:graphicData>
          </a:graphic>
        </wp:inline>
      </w:drawing>
    </w:r>
  </w:p>
  <w:p>
    <w:pPr>
      <w:spacing w:after="0" w:line="240" w:lineRule="auto"/>
      <w:jc w:val="center"/>
    </w:pPr>
    <w:r>
      <w:rPr>
        <w:rFonts w:ascii="Arial" w:hAnsi="Arial" w:cs="Arial" w:eastAsia="Arial"/>
        <w:b/>
        <w:i w:val="0"/>
        <w:color w:val="000000"/>
        <w:sz w:val="18"/>
      </w:rPr>
      <w:t>AZIMUTH BUSINESS ON WHEELS</w:t>
    </w:r>
  </w:p>
  <w:p>
    <w:pPr>
      <w:spacing w:after="0" w:line="240" w:lineRule="auto"/>
      <w:jc w:val="center"/>
    </w:pPr>
    <w:r>
      <w:rPr>
        <w:rFonts w:ascii="Arial" w:hAnsi="Arial" w:cs="Arial" w:eastAsia="Arial"/>
        <w:b w:val="0"/>
        <w:i w:val="0"/>
        <w:color w:val="000000"/>
        <w:sz w:val="17"/>
      </w:rPr>
      <w:t>INDIA’S LEADING MOBILE INFRASTRUCTURE COMPANY</w:t>
    </w:r>
  </w:p>
  <w:p>
    <w:pPr>
      <w:spacing w:after="0" w:line="240" w:lineRule="auto"/>
      <w:jc w:val="center"/>
    </w:pPr>
    <w:hyperlink r:id="rId2">
      <w:r>
        <w:rPr>
          <w:rFonts w:ascii="Arial" w:hAnsi="Arial" w:cs="Arial" w:eastAsia="Arial"/>
          <w:b/>
          <w:color w:val="1155CC"/>
          <w:sz w:val="17"/>
          <w:u w:val="single"/>
        </w:rPr>
        <w:t>www.oneazimuth.co.in</w:t>
      </w:r>
    </w:hyperlink>
    <w:r>
      <w:rPr>
        <w:rFonts w:ascii="Arial" w:hAnsi="Arial" w:cs="Arial" w:eastAsia="Arial"/>
        <w:b w:val="0"/>
        <w:i w:val="0"/>
        <w:color w:val="000000"/>
        <w:sz w:val="17"/>
      </w:rPr>
      <w:t xml:space="preserve">   |   +91 922047820, +91 8130531566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drawing>
        <wp:inline xmlns:a="http://schemas.openxmlformats.org/drawingml/2006/main" xmlns:pic="http://schemas.openxmlformats.org/drawingml/2006/picture">
          <wp:extent cx="1143000" cy="966081"/>
          <wp:docPr id="1" name="Picture 1"/>
          <wp:cNvGraphicFramePr>
            <a:graphicFrameLocks noChangeAspect="1"/>
          </wp:cNvGraphicFramePr>
          <a:graphic>
            <a:graphicData uri="http://schemas.openxmlformats.org/drawingml/2006/picture">
              <pic:pic>
                <pic:nvPicPr>
                  <pic:cNvPr id="0" name="image1.png"/>
                  <pic:cNvPicPr/>
                </pic:nvPicPr>
                <pic:blipFill>
                  <a:blip r:embed="rId1"/>
                  <a:stretch>
                    <a:fillRect/>
                  </a:stretch>
                </pic:blipFill>
                <pic:spPr>
                  <a:xfrm>
                    <a:off x="0" y="0"/>
                    <a:ext cx="1143000" cy="96608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http://www.oneazimuth.co.i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