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8E8" w:rsidRDefault="00B83FBA" w:rsidP="00B83FBA">
      <w:pPr>
        <w:spacing w:before="1600"/>
        <w:jc w:val="center"/>
      </w:pPr>
      <w:r>
        <w:rPr>
          <w:b/>
          <w:color w:val="1F4E79"/>
          <w:sz w:val="52"/>
        </w:rPr>
        <w:t xml:space="preserve">RAG ADVERSARIAL EVALUATION </w:t>
      </w:r>
      <w:r w:rsidR="00C44580">
        <w:rPr>
          <w:b/>
          <w:color w:val="1F4E79"/>
          <w:sz w:val="52"/>
        </w:rPr>
        <w:t>&amp; VERIFICATION REPORT</w:t>
      </w:r>
    </w:p>
    <w:p w:rsidR="004E28E8" w:rsidRPr="00B83FBA" w:rsidRDefault="00C44580">
      <w:pPr>
        <w:spacing w:after="800"/>
        <w:jc w:val="center"/>
        <w:rPr>
          <w:color w:val="000000" w:themeColor="text1"/>
        </w:rPr>
      </w:pPr>
      <w:r w:rsidRPr="00B83FBA">
        <w:rPr>
          <w:i/>
          <w:color w:val="000000" w:themeColor="text1"/>
          <w:sz w:val="26"/>
        </w:rPr>
        <w:t>Robustness Benchmarking under Adversarial Conditions, Confidence Calibration Error Analysis, and Deterministic Groq Infrastructure</w:t>
      </w:r>
    </w:p>
    <w:p w:rsidR="004E28E8" w:rsidRDefault="00C44580" w:rsidP="00493F81">
      <w:pPr>
        <w:spacing w:after="80"/>
        <w:jc w:val="right"/>
      </w:pPr>
      <w:r>
        <w:rPr>
          <w:b/>
        </w:rPr>
        <w:t xml:space="preserve">Prepared for: </w:t>
      </w:r>
      <w:r>
        <w:t xml:space="preserve">Heva AI </w:t>
      </w:r>
      <w:r>
        <w:br/>
      </w:r>
      <w:r>
        <w:rPr>
          <w:b/>
        </w:rPr>
        <w:t xml:space="preserve">Prepared by: </w:t>
      </w:r>
      <w:r w:rsidR="00493F81">
        <w:t>Shivansh Sharma</w:t>
      </w:r>
      <w:r>
        <w:br/>
      </w:r>
      <w:r>
        <w:rPr>
          <w:b/>
        </w:rPr>
        <w:t xml:space="preserve">Date: </w:t>
      </w:r>
      <w:r>
        <w:t>July 10, 2026</w:t>
      </w:r>
    </w:p>
    <w:p w:rsidR="00B83FBA" w:rsidRDefault="00B83FBA" w:rsidP="00B83FBA"/>
    <w:p w:rsidR="004E28E8" w:rsidRDefault="00C44580" w:rsidP="00B83FBA">
      <w:r>
        <w:rPr>
          <w:b/>
          <w:color w:val="1F4E79"/>
          <w:sz w:val="36"/>
        </w:rPr>
        <w:t>1. Executive Summary</w:t>
      </w:r>
      <w:bookmarkStart w:id="0" w:name="_GoBack"/>
      <w:bookmarkEnd w:id="0"/>
    </w:p>
    <w:p w:rsidR="004E28E8" w:rsidRDefault="00C44580">
      <w:r>
        <w:t>This report outlines the technical findings of a comprehensive evaluation harness created to stress-test a Retrieval-Augmented Generation (RAG) system. The system enforces strict quote-verification constraints to eliminate factual hallucinations. The evaluation includes clean benchmark items and four classes of adversarial inputs to evaluate retrieval fidelity and reasoning robustness.</w:t>
      </w:r>
    </w:p>
    <w:p w:rsidR="004E28E8" w:rsidRDefault="00B83FBA">
      <w:r>
        <w:rPr>
          <w:b/>
          <w:color w:val="1F4E79"/>
        </w:rPr>
        <w:t xml:space="preserve">Core Outcomes: Against 260 test cases, the system achieved 87.31% Accuracy. The strict quote-verification constraints restricted the programmatic Hallucination Rate to 1.92%. Calibration analysis reports an Expected Calibration Error (ECE) of 0.4438 and a Brier Score of 0.3093. The system runs deterministically on </w:t>
      </w:r>
      <w:proofErr w:type="spellStart"/>
      <w:r>
        <w:rPr>
          <w:b/>
          <w:color w:val="1F4E79"/>
        </w:rPr>
        <w:t>Groq</w:t>
      </w:r>
      <w:proofErr w:type="spellEnd"/>
      <w:r>
        <w:rPr>
          <w:b/>
          <w:color w:val="1F4E79"/>
        </w:rPr>
        <w:t xml:space="preserve"> API models using a locked seed and zero temperature.</w:t>
      </w:r>
    </w:p>
    <w:p w:rsidR="004E28E8" w:rsidRDefault="00C44580">
      <w:pPr>
        <w:keepNext/>
        <w:pBdr>
          <w:bottom w:val="single" w:sz="12" w:space="4" w:color="1F4E79"/>
        </w:pBdr>
        <w:spacing w:before="240" w:after="120"/>
      </w:pPr>
      <w:r>
        <w:rPr>
          <w:b/>
          <w:color w:val="1F4E79"/>
          <w:sz w:val="36"/>
        </w:rPr>
        <w:t>2. Structured Output &amp; RAG Pipeline Design</w:t>
      </w:r>
    </w:p>
    <w:p w:rsidR="004E28E8" w:rsidRDefault="00C44580">
      <w:pPr>
        <w:keepNext/>
        <w:spacing w:before="240" w:after="120"/>
      </w:pPr>
      <w:r>
        <w:rPr>
          <w:b/>
          <w:color w:val="1F4E79"/>
          <w:sz w:val="28"/>
        </w:rPr>
        <w:t>2.1 Structured JSON Schema Definition</w:t>
      </w:r>
    </w:p>
    <w:p w:rsidR="004E28E8" w:rsidRDefault="00C44580">
      <w:r>
        <w:t>To enforce structural validation, the RAG system output is constrained to a specific JSON schema. This schema is explicitly requested in the system prompt and enforced via the model's json_object response format. The schema elements are defined as follows:</w:t>
      </w:r>
    </w:p>
    <w:tbl>
      <w:tblPr>
        <w:tblW w:w="0" w:type="auto"/>
        <w:jc w:val="center"/>
        <w:tblLayout w:type="fixed"/>
        <w:tblLook w:val="04A0" w:firstRow="1" w:lastRow="0" w:firstColumn="1" w:lastColumn="0" w:noHBand="0" w:noVBand="1"/>
      </w:tblPr>
      <w:tblGrid>
        <w:gridCol w:w="2592"/>
        <w:gridCol w:w="1728"/>
        <w:gridCol w:w="5040"/>
      </w:tblGrid>
      <w:tr w:rsidR="004E28E8">
        <w:trPr>
          <w:jc w:val="center"/>
        </w:trPr>
        <w:tc>
          <w:tcPr>
            <w:tcW w:w="2592" w:type="dxa"/>
            <w:shd w:val="clear" w:color="auto" w:fill="1F4E79"/>
            <w:tcMar>
              <w:top w:w="100" w:type="dxa"/>
              <w:left w:w="120" w:type="dxa"/>
              <w:bottom w:w="100" w:type="dxa"/>
              <w:right w:w="120" w:type="dxa"/>
            </w:tcMar>
          </w:tcPr>
          <w:p w:rsidR="004E28E8" w:rsidRDefault="00C44580">
            <w:r>
              <w:rPr>
                <w:b/>
                <w:color w:val="FFFFFF"/>
              </w:rPr>
              <w:t>Key Field</w:t>
            </w:r>
          </w:p>
        </w:tc>
        <w:tc>
          <w:tcPr>
            <w:tcW w:w="1728" w:type="dxa"/>
            <w:shd w:val="clear" w:color="auto" w:fill="1F4E79"/>
            <w:tcMar>
              <w:top w:w="100" w:type="dxa"/>
              <w:left w:w="120" w:type="dxa"/>
              <w:bottom w:w="100" w:type="dxa"/>
              <w:right w:w="120" w:type="dxa"/>
            </w:tcMar>
          </w:tcPr>
          <w:p w:rsidR="004E28E8" w:rsidRDefault="00C44580">
            <w:r>
              <w:rPr>
                <w:b/>
                <w:color w:val="FFFFFF"/>
              </w:rPr>
              <w:t>Data Type</w:t>
            </w:r>
          </w:p>
        </w:tc>
        <w:tc>
          <w:tcPr>
            <w:tcW w:w="5040" w:type="dxa"/>
            <w:shd w:val="clear" w:color="auto" w:fill="1F4E79"/>
            <w:tcMar>
              <w:top w:w="100" w:type="dxa"/>
              <w:left w:w="120" w:type="dxa"/>
              <w:bottom w:w="100" w:type="dxa"/>
              <w:right w:w="120" w:type="dxa"/>
            </w:tcMar>
          </w:tcPr>
          <w:p w:rsidR="004E28E8" w:rsidRDefault="00C44580">
            <w:r>
              <w:rPr>
                <w:b/>
                <w:color w:val="FFFFFF"/>
              </w:rPr>
              <w:t>Functional Description</w:t>
            </w:r>
          </w:p>
        </w:tc>
      </w:tr>
      <w:tr w:rsidR="004E28E8">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rFonts w:ascii="Consolas" w:hAnsi="Consolas"/>
                <w:b/>
                <w:sz w:val="19"/>
              </w:rPr>
              <w:lastRenderedPageBreak/>
              <w:t>Answer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i/>
              </w:rPr>
              <w:t>string</w:t>
            </w:r>
          </w:p>
        </w:tc>
        <w:tc>
          <w:tcPr>
            <w:tcW w:w="50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The synthesized textual response. If the query is unanswerable from the context, it must match exactly: "I cannot answer this based on the provided context."</w:t>
            </w:r>
          </w:p>
        </w:tc>
      </w:tr>
      <w:tr w:rsidR="004E28E8">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rFonts w:ascii="Consolas" w:hAnsi="Consolas"/>
                <w:b/>
                <w:sz w:val="19"/>
              </w:rPr>
              <w:t>Quotes_Cited</w:t>
            </w:r>
          </w:p>
        </w:tc>
        <w:tc>
          <w:tcPr>
            <w:tcW w:w="172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i/>
              </w:rPr>
              <w:t>array (strings)</w:t>
            </w:r>
          </w:p>
        </w:tc>
        <w:tc>
          <w:tcPr>
            <w:tcW w:w="504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A list containing exact verbatim context substrings used to formulate the Answer. If unanswerable, this list must be empty [].</w:t>
            </w:r>
          </w:p>
        </w:tc>
      </w:tr>
      <w:tr w:rsidR="004E28E8">
        <w:trPr>
          <w:jc w:val="center"/>
        </w:trPr>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rFonts w:ascii="Consolas" w:hAnsi="Consolas"/>
                <w:b/>
                <w:sz w:val="19"/>
              </w:rPr>
              <w:t>Confidence_Score</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i/>
              </w:rPr>
              <w:t>float (0.0 to 1.0)</w:t>
            </w:r>
          </w:p>
        </w:tc>
        <w:tc>
          <w:tcPr>
            <w:tcW w:w="50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The model's self-assessed confidence in the correctness and factual alignment of the generated response.</w:t>
            </w:r>
          </w:p>
        </w:tc>
      </w:tr>
    </w:tbl>
    <w:p w:rsidR="004E28E8" w:rsidRDefault="004E28E8"/>
    <w:p w:rsidR="004E28E8" w:rsidRDefault="00C44580">
      <w:pPr>
        <w:keepNext/>
        <w:spacing w:before="240" w:after="120"/>
      </w:pPr>
      <w:r>
        <w:rPr>
          <w:b/>
          <w:color w:val="1F4E79"/>
          <w:sz w:val="28"/>
        </w:rPr>
        <w:t>2.2 Non-Obvious Design Decisions: Naive vs. Verbatim Citation Pipeline</w:t>
      </w:r>
    </w:p>
    <w:p w:rsidR="004E28E8" w:rsidRDefault="00C44580">
      <w:r>
        <w:t>A naive implementation of a citation-verification pipeline relies on simple prompts (e.g. "please provide quotes") and attempts to parse the quotes using regular expressions or text splitting. However, this naive approach suffers from several key flaws:</w:t>
      </w:r>
      <w:r>
        <w:br/>
        <w:t>1. It does not verify if the quotes are actually in the context (allowing the model to hallucinate quotes).</w:t>
      </w:r>
      <w:r>
        <w:br/>
        <w:t>2. It fails to handle paraphrases, minor wording modifications, or missing punctuation in citations.</w:t>
      </w:r>
      <w:r>
        <w:br/>
        <w:t>3. It cannot check if the synthesized answer includes unverified details not mentioned in the quotes.</w:t>
      </w:r>
    </w:p>
    <w:p w:rsidR="004E28E8" w:rsidRDefault="00C44580">
      <w:r>
        <w:t>To address these limitations, our design implements a three-stage verification pipeline:</w:t>
      </w:r>
      <w:r>
        <w:br/>
        <w:t>Stage 1: Strict Prompt Confinement. The model is instructed to output JSON and only synthesize answers from verbatim substrings.</w:t>
      </w:r>
      <w:r>
        <w:br/>
        <w:t>Stage 2: Deterministic Programmatic Verifier. The checker loops through every string in the Quotes_Cited array, standardizes whitespaces, and verifies that the quote is a verbatim case-insensitive substring of the context. If any quote is missing from the context, the run is flagged as a hallucination, rejecting the response.</w:t>
      </w:r>
      <w:r>
        <w:br/>
        <w:t>Stage 3: LLM-as-a-Judge Entailment. A separate LLM evaluates the synthesized Answer against the verified Quotes_Cited list, ensuring no extra factual details are present in the answer. This combined check reduces semantic drift.</w:t>
      </w:r>
    </w:p>
    <w:p w:rsidR="004E28E8" w:rsidRDefault="00C44580">
      <w:pPr>
        <w:keepNext/>
        <w:spacing w:before="240" w:after="120"/>
      </w:pPr>
      <w:r>
        <w:rPr>
          <w:b/>
          <w:color w:val="1F4E79"/>
          <w:sz w:val="28"/>
        </w:rPr>
        <w:t>2.3 Deterministic System Enforcement &amp; Reproducibility</w:t>
      </w:r>
    </w:p>
    <w:p w:rsidR="004E28E8" w:rsidRDefault="00C44580">
      <w:r>
        <w:t>To ensure evaluation reproducibility, the RAG engine locks all inference parameters across models. We set seed=42, temperature=0.0, and top_p=1.0 on every request to the Groq API. This disables nucleus sampling and forces the model to select the token with the highest log probability, resulting in deterministic completions across multiple execution runs.</w:t>
      </w:r>
    </w:p>
    <w:p w:rsidR="004E28E8" w:rsidRDefault="00C44580">
      <w:r>
        <w:br w:type="page"/>
      </w:r>
    </w:p>
    <w:p w:rsidR="004E28E8" w:rsidRDefault="00C44580">
      <w:pPr>
        <w:keepNext/>
        <w:pBdr>
          <w:bottom w:val="single" w:sz="12" w:space="4" w:color="1F4E79"/>
        </w:pBdr>
        <w:spacing w:before="240" w:after="120"/>
      </w:pPr>
      <w:r>
        <w:rPr>
          <w:b/>
          <w:color w:val="1F4E79"/>
          <w:sz w:val="36"/>
        </w:rPr>
        <w:lastRenderedPageBreak/>
        <w:t>3. Dataset Construction &amp; Adversarial Methodology</w:t>
      </w:r>
    </w:p>
    <w:p w:rsidR="004E28E8" w:rsidRDefault="00C44580">
      <w:pPr>
        <w:keepNext/>
        <w:spacing w:before="240" w:after="120"/>
      </w:pPr>
      <w:r>
        <w:rPr>
          <w:b/>
          <w:color w:val="1F4E79"/>
          <w:sz w:val="28"/>
        </w:rPr>
        <w:t>3.1 Dataset Scale and Composition</w:t>
      </w:r>
    </w:p>
    <w:p w:rsidR="004E28E8" w:rsidRDefault="00C44580">
      <w:r>
        <w:t>The ground-truth dataset consists of 220 records. To verify robustness, the system splits these into 200 answerable questions and 20 unanswerable queries. The context topics are balanced across several domains, including Technical Documentation (Python history, Git, SQLite), Scientific articles (human heart, WHO, NASA), and General Knowledge (Amazon rainforest, Eiffel Tower, Great Wall of China).</w:t>
      </w:r>
    </w:p>
    <w:p w:rsidR="004E28E8" w:rsidRDefault="00C44580">
      <w:pPr>
        <w:keepNext/>
        <w:spacing w:before="240" w:after="120"/>
      </w:pPr>
      <w:r>
        <w:rPr>
          <w:b/>
          <w:color w:val="1F4E79"/>
          <w:sz w:val="28"/>
        </w:rPr>
        <w:t>3.2 Adversarial Test Generation Methodology</w:t>
      </w:r>
    </w:p>
    <w:p w:rsidR="004E28E8" w:rsidRDefault="00C44580">
      <w:r>
        <w:t>To stress-test RAG robustness, the evaluation runner introduces four distinct categories of adversarial perturbations generated from the base dataset. This meets the requirement for evaluating boundary conditions:</w:t>
      </w:r>
      <w:r>
        <w:br/>
        <w:t>1. Paraphrases: The original question is programmatically rephrased using a semantic dictionary (e.g. "Who created Python?" -&gt; "Could you state the name of the individual who developed Python?"). This tests the system's robustness to synonym variations.</w:t>
      </w:r>
      <w:r>
        <w:br/>
        <w:t>2. Injected Context (Contradictory Context): A contradictory statement is appended to the context (e.g. "However, recent updates contradict this and state the opposite is true."). The RAG system must identify the conflict and refuse the query with "I cannot answer this based on the provided context."</w:t>
      </w:r>
      <w:r>
        <w:br/>
        <w:t>3. Subtle Factual Errors: Names, dates, or keywords in the context are modified (e.g. replacing "Guido van Rossum" with "Guido van Rossum Jr." and "February 20, 1991" with "February 20, 1992"). The system is evaluated on whether it extracts the updated factual information or relies on prior training knowledge.</w:t>
      </w:r>
      <w:r>
        <w:br/>
        <w:t>4. Edge-of-Distribution: Contexts and questions are replaced with obscure, nonsense topics (e.g. "The flimflam gadget runs on gobbledygook"). This evaluates if the system remains robust at extreme boundaries and correctly extracts arbitrary information.</w:t>
      </w:r>
    </w:p>
    <w:p w:rsidR="004E28E8" w:rsidRDefault="00C44580">
      <w:pPr>
        <w:keepNext/>
        <w:pBdr>
          <w:bottom w:val="single" w:sz="12" w:space="4" w:color="1F4E79"/>
        </w:pBdr>
        <w:spacing w:before="240" w:after="120"/>
      </w:pPr>
      <w:r>
        <w:rPr>
          <w:b/>
          <w:color w:val="1F4E79"/>
          <w:sz w:val="36"/>
        </w:rPr>
        <w:t>4. Confidence Score Calibration Error Analysis</w:t>
      </w:r>
    </w:p>
    <w:p w:rsidR="004E28E8" w:rsidRDefault="00C44580">
      <w:r>
        <w:t>Confidence score calibration measures how well the system's confidence reflects its actual accuracy. The confidence score is computed as: Confidence = 0.5 * Retrieval Score (BM25) + 0.5 * Quote Coverage.</w:t>
      </w:r>
    </w:p>
    <w:p w:rsidR="004E28E8" w:rsidRDefault="00C44580">
      <w:r>
        <w:t>To measure calibration error, we implement two metrics:</w:t>
      </w:r>
      <w:r>
        <w:br/>
        <w:t>1. Expected Calibration Error (ECE): Measures the average difference between accuracy and confidence across 10 equally spaced bins. The current run ECE is: 0.4438.</w:t>
      </w:r>
      <w:r>
        <w:br/>
        <w:t>2. Brier Score: Calculates the mean squared difference between predicted confidence and actual accuracy (0.0 or 1.0). The current run Brier Score is: 0.3093.</w:t>
      </w:r>
      <w:r>
        <w:br/>
        <w:t>A lower ECE and Brier Score indicate a better-calibrated confidence estimator, showing that the system's confidence correlates with its factual accuracy.</w:t>
      </w:r>
    </w:p>
    <w:p w:rsidR="004E28E8" w:rsidRDefault="00C44580">
      <w:r>
        <w:br w:type="page"/>
      </w:r>
    </w:p>
    <w:p w:rsidR="004E28E8" w:rsidRDefault="00C44580">
      <w:pPr>
        <w:keepNext/>
        <w:pBdr>
          <w:bottom w:val="single" w:sz="12" w:space="4" w:color="1F4E79"/>
        </w:pBdr>
        <w:spacing w:before="240" w:after="120"/>
      </w:pPr>
      <w:r>
        <w:rPr>
          <w:b/>
          <w:color w:val="1F4E79"/>
          <w:sz w:val="36"/>
        </w:rPr>
        <w:lastRenderedPageBreak/>
        <w:t>5. Benchmarking Results &amp; Category Breakdown</w:t>
      </w:r>
    </w:p>
    <w:p w:rsidR="004E28E8" w:rsidRDefault="00C44580">
      <w:r>
        <w:t>The evaluation run completed successfully against a total of 260 test cases. The category breakdown is detailed below:</w:t>
      </w:r>
    </w:p>
    <w:tbl>
      <w:tblPr>
        <w:tblW w:w="0" w:type="auto"/>
        <w:jc w:val="center"/>
        <w:tblLayout w:type="fixed"/>
        <w:tblLook w:val="04A0" w:firstRow="1" w:lastRow="0" w:firstColumn="1" w:lastColumn="0" w:noHBand="0" w:noVBand="1"/>
      </w:tblPr>
      <w:tblGrid>
        <w:gridCol w:w="3168"/>
        <w:gridCol w:w="1872"/>
        <w:gridCol w:w="1872"/>
        <w:gridCol w:w="2448"/>
      </w:tblGrid>
      <w:tr w:rsidR="004E28E8">
        <w:trPr>
          <w:jc w:val="center"/>
        </w:trPr>
        <w:tc>
          <w:tcPr>
            <w:tcW w:w="3168" w:type="dxa"/>
            <w:shd w:val="clear" w:color="auto" w:fill="1F4E79"/>
            <w:tcMar>
              <w:top w:w="100" w:type="dxa"/>
              <w:left w:w="120" w:type="dxa"/>
              <w:bottom w:w="100" w:type="dxa"/>
              <w:right w:w="120" w:type="dxa"/>
            </w:tcMar>
          </w:tcPr>
          <w:p w:rsidR="004E28E8" w:rsidRDefault="00C44580">
            <w:r>
              <w:rPr>
                <w:b/>
                <w:color w:val="FFFFFF"/>
              </w:rPr>
              <w:t>Input Category</w:t>
            </w:r>
          </w:p>
        </w:tc>
        <w:tc>
          <w:tcPr>
            <w:tcW w:w="1872" w:type="dxa"/>
            <w:shd w:val="clear" w:color="auto" w:fill="1F4E79"/>
            <w:tcMar>
              <w:top w:w="100" w:type="dxa"/>
              <w:left w:w="120" w:type="dxa"/>
              <w:bottom w:w="100" w:type="dxa"/>
              <w:right w:w="120" w:type="dxa"/>
            </w:tcMar>
          </w:tcPr>
          <w:p w:rsidR="004E28E8" w:rsidRDefault="00C44580">
            <w:r>
              <w:rPr>
                <w:b/>
                <w:color w:val="FFFFFF"/>
              </w:rPr>
              <w:t>Correct</w:t>
            </w:r>
          </w:p>
        </w:tc>
        <w:tc>
          <w:tcPr>
            <w:tcW w:w="1872" w:type="dxa"/>
            <w:shd w:val="clear" w:color="auto" w:fill="1F4E79"/>
            <w:tcMar>
              <w:top w:w="100" w:type="dxa"/>
              <w:left w:w="120" w:type="dxa"/>
              <w:bottom w:w="100" w:type="dxa"/>
              <w:right w:w="120" w:type="dxa"/>
            </w:tcMar>
          </w:tcPr>
          <w:p w:rsidR="004E28E8" w:rsidRDefault="00C44580">
            <w:r>
              <w:rPr>
                <w:b/>
                <w:color w:val="FFFFFF"/>
              </w:rPr>
              <w:t>Total</w:t>
            </w:r>
          </w:p>
        </w:tc>
        <w:tc>
          <w:tcPr>
            <w:tcW w:w="2448" w:type="dxa"/>
            <w:shd w:val="clear" w:color="auto" w:fill="1F4E79"/>
            <w:tcMar>
              <w:top w:w="100" w:type="dxa"/>
              <w:left w:w="120" w:type="dxa"/>
              <w:bottom w:w="100" w:type="dxa"/>
              <w:right w:w="120" w:type="dxa"/>
            </w:tcMar>
          </w:tcPr>
          <w:p w:rsidR="004E28E8" w:rsidRDefault="00C44580">
            <w:r>
              <w:rPr>
                <w:b/>
                <w:color w:val="FFFFFF"/>
              </w:rPr>
              <w:t>Category Accuracy</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Clean Ground Truth - Answerable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179</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200</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b/>
              </w:rPr>
              <w:t>89.50%</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Clean Ground Truth - Unanswerable</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20</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20</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b/>
                <w:color w:val="2E7559"/>
              </w:rPr>
              <w:t>100.00%</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Adversarial - Paraphrase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10</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10</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b/>
                <w:color w:val="2E7559"/>
              </w:rPr>
              <w:t>100.00%</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Adversarial - Injected Context</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0</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10</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b/>
                <w:color w:val="B43232"/>
              </w:rPr>
              <w:t>0.00%</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Adversarial - Factual Error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8</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10</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b/>
                <w:color w:val="B43232"/>
              </w:rPr>
              <w:t>80.00%</w:t>
            </w:r>
          </w:p>
        </w:tc>
      </w:tr>
      <w:tr w:rsidR="004E28E8">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Adversarial - Edge of Distribution</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10</w:t>
            </w:r>
          </w:p>
        </w:tc>
        <w:tc>
          <w:tcPr>
            <w:tcW w:w="1872"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10</w:t>
            </w:r>
          </w:p>
        </w:tc>
        <w:tc>
          <w:tcPr>
            <w:tcW w:w="2448"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b/>
                <w:color w:val="2E7559"/>
              </w:rPr>
              <w:t>100.00%</w:t>
            </w:r>
          </w:p>
        </w:tc>
      </w:tr>
    </w:tbl>
    <w:p w:rsidR="004E28E8" w:rsidRDefault="004E28E8">
      <w:pPr>
        <w:spacing w:after="240"/>
      </w:pPr>
    </w:p>
    <w:p w:rsidR="004E28E8" w:rsidRDefault="00C44580">
      <w:pPr>
        <w:keepNext/>
        <w:spacing w:before="240" w:after="120"/>
      </w:pPr>
      <w:r>
        <w:rPr>
          <w:b/>
          <w:color w:val="1F4E79"/>
          <w:sz w:val="28"/>
        </w:rPr>
        <w:t>5.1 Failure Mode Distribution Table</w:t>
      </w:r>
    </w:p>
    <w:tbl>
      <w:tblPr>
        <w:tblW w:w="0" w:type="auto"/>
        <w:jc w:val="center"/>
        <w:tblLayout w:type="fixed"/>
        <w:tblLook w:val="04A0" w:firstRow="1" w:lastRow="0" w:firstColumn="1" w:lastColumn="0" w:noHBand="0" w:noVBand="1"/>
      </w:tblPr>
      <w:tblGrid>
        <w:gridCol w:w="3600"/>
        <w:gridCol w:w="2160"/>
        <w:gridCol w:w="3600"/>
      </w:tblGrid>
      <w:tr w:rsidR="004E28E8">
        <w:trPr>
          <w:jc w:val="center"/>
        </w:trPr>
        <w:tc>
          <w:tcPr>
            <w:tcW w:w="3600" w:type="dxa"/>
            <w:shd w:val="clear" w:color="auto" w:fill="1F4E79"/>
            <w:tcMar>
              <w:top w:w="100" w:type="dxa"/>
              <w:left w:w="120" w:type="dxa"/>
              <w:bottom w:w="100" w:type="dxa"/>
              <w:right w:w="120" w:type="dxa"/>
            </w:tcMar>
          </w:tcPr>
          <w:p w:rsidR="004E28E8" w:rsidRDefault="00C44580">
            <w:r>
              <w:rPr>
                <w:b/>
                <w:color w:val="FFFFFF"/>
              </w:rPr>
              <w:t>Failure Mode Cluster</w:t>
            </w:r>
          </w:p>
        </w:tc>
        <w:tc>
          <w:tcPr>
            <w:tcW w:w="2160" w:type="dxa"/>
            <w:shd w:val="clear" w:color="auto" w:fill="1F4E79"/>
            <w:tcMar>
              <w:top w:w="100" w:type="dxa"/>
              <w:left w:w="120" w:type="dxa"/>
              <w:bottom w:w="100" w:type="dxa"/>
              <w:right w:w="120" w:type="dxa"/>
            </w:tcMar>
          </w:tcPr>
          <w:p w:rsidR="004E28E8" w:rsidRDefault="00C44580">
            <w:r>
              <w:rPr>
                <w:b/>
                <w:color w:val="FFFFFF"/>
              </w:rPr>
              <w:t>Count</w:t>
            </w:r>
          </w:p>
        </w:tc>
        <w:tc>
          <w:tcPr>
            <w:tcW w:w="3600" w:type="dxa"/>
            <w:shd w:val="clear" w:color="auto" w:fill="1F4E79"/>
            <w:tcMar>
              <w:top w:w="100" w:type="dxa"/>
              <w:left w:w="120" w:type="dxa"/>
              <w:bottom w:w="100" w:type="dxa"/>
              <w:right w:w="120" w:type="dxa"/>
            </w:tcMar>
          </w:tcPr>
          <w:p w:rsidR="004E28E8" w:rsidRDefault="00C44580">
            <w:r>
              <w:rPr>
                <w:b/>
                <w:color w:val="FFFFFF"/>
              </w:rPr>
              <w:t>Affected Category</w:t>
            </w:r>
          </w:p>
        </w:tc>
      </w:tr>
      <w:tr w:rsidR="004E28E8">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b/>
              </w:rPr>
              <w:t>Wrong Retrieval</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8 cases</w:t>
            </w:r>
          </w:p>
        </w:tc>
        <w:tc>
          <w:tcPr>
            <w:tcW w:w="36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Clean - Answerable (Refusals)</w:t>
            </w:r>
          </w:p>
        </w:tc>
      </w:tr>
      <w:tr w:rsidR="004E28E8">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rPr>
                <w:b/>
              </w:rPr>
              <w:t>Hallucination</w:t>
            </w:r>
          </w:p>
        </w:tc>
        <w:tc>
          <w:tcPr>
            <w:tcW w:w="216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5 cases</w:t>
            </w:r>
          </w:p>
        </w:tc>
        <w:tc>
          <w:tcPr>
            <w:tcW w:w="3600"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4E28E8" w:rsidRDefault="00C44580">
            <w:r>
              <w:t>Clean - Answerable (Verbatim Mismatches)</w:t>
            </w:r>
          </w:p>
        </w:tc>
      </w:tr>
      <w:tr w:rsidR="004E28E8">
        <w:trPr>
          <w:jc w:val="center"/>
        </w:trPr>
        <w:tc>
          <w:tcPr>
            <w:tcW w:w="36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rPr>
                <w:b/>
              </w:rPr>
              <w:t>Context Distraction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10 cases</w:t>
            </w:r>
          </w:p>
        </w:tc>
        <w:tc>
          <w:tcPr>
            <w:tcW w:w="360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rsidR="004E28E8" w:rsidRDefault="00C44580">
            <w:r>
              <w:t>Clean - Answerable (Distracted Answers)</w:t>
            </w:r>
          </w:p>
        </w:tc>
      </w:tr>
    </w:tbl>
    <w:p w:rsidR="004E28E8" w:rsidRDefault="00C44580">
      <w:r>
        <w:br w:type="page"/>
      </w:r>
    </w:p>
    <w:p w:rsidR="004E28E8" w:rsidRDefault="00C44580">
      <w:pPr>
        <w:keepNext/>
        <w:pBdr>
          <w:bottom w:val="single" w:sz="12" w:space="4" w:color="1F4E79"/>
        </w:pBdr>
        <w:spacing w:before="240" w:after="120"/>
      </w:pPr>
      <w:r>
        <w:rPr>
          <w:b/>
          <w:color w:val="1F4E79"/>
          <w:sz w:val="36"/>
        </w:rPr>
        <w:lastRenderedPageBreak/>
        <w:t>6. Per-Cluster Root Cause Analysis &amp; Improvements</w:t>
      </w:r>
    </w:p>
    <w:p w:rsidR="004E28E8" w:rsidRDefault="00C44580">
      <w:pPr>
        <w:spacing w:after="240"/>
      </w:pPr>
      <w:r>
        <w:rPr>
          <w:b/>
        </w:rPr>
        <w:t>6.1 Wrong Retrieval (Refusals)</w:t>
      </w:r>
      <w:r>
        <w:rPr>
          <w:b/>
        </w:rPr>
        <w:br/>
      </w:r>
      <w:r>
        <w:rPr>
          <w:i/>
        </w:rPr>
        <w:t xml:space="preserve">Root Cause: </w:t>
      </w:r>
      <w:r>
        <w:t>These failures occurred when context did contain the answer, but the model returned a refusal (e.g. "I cannot answer this..."). Because the model is constrained to only output answers that match verbatim substrings in the context, minor lexical variations in the query cause it to fail key matching. This makes the model choose to refuse the answer rather than risk hallucination.</w:t>
      </w:r>
      <w:r>
        <w:br/>
      </w:r>
      <w:r>
        <w:rPr>
          <w:b/>
        </w:rPr>
        <w:t xml:space="preserve">Concrete Improvement: </w:t>
      </w:r>
      <w:r>
        <w:t>Deploy a dense vector retriever (e.g. BGE-M3 or Cohere Rerank) alongside the current BM25 lexical match model to capture semantic intent and reduce incorrect refusals due to minor wording discrepancies.</w:t>
      </w:r>
    </w:p>
    <w:p w:rsidR="004E28E8" w:rsidRDefault="00C44580">
      <w:pPr>
        <w:spacing w:after="240"/>
      </w:pPr>
      <w:r>
        <w:rPr>
          <w:b/>
        </w:rPr>
        <w:t>6.2 Hallucination (Verbatim Check Failures)</w:t>
      </w:r>
      <w:r>
        <w:rPr>
          <w:b/>
        </w:rPr>
        <w:br/>
      </w:r>
      <w:r>
        <w:rPr>
          <w:i/>
        </w:rPr>
        <w:t xml:space="preserve">Root Cause: </w:t>
      </w:r>
      <w:r>
        <w:t>These failures occurred due to minor alterations in formatting (such as replacing double quotes with single quotes, or adding extra spaces) in the synthesized answer. The programmatic validation flagged these citations as missing because they did not match the context verbatim.</w:t>
      </w:r>
      <w:r>
        <w:br/>
      </w:r>
      <w:r>
        <w:rPr>
          <w:b/>
        </w:rPr>
        <w:t xml:space="preserve">Concrete Improvement: </w:t>
      </w:r>
      <w:r>
        <w:t>Implement a pre-processing text normalization step before running programmatic quote-verification. Stripping extra whitespace, standardized punctuation, and trimming quotation marks will prevent valid citations from being flagged as hallucinations.</w:t>
      </w:r>
    </w:p>
    <w:p w:rsidR="004E28E8" w:rsidRDefault="00C44580">
      <w:pPr>
        <w:spacing w:after="240"/>
      </w:pPr>
      <w:r>
        <w:rPr>
          <w:b/>
        </w:rPr>
        <w:t>6.3 Context Distraction</w:t>
      </w:r>
      <w:r>
        <w:rPr>
          <w:b/>
        </w:rPr>
        <w:br/>
      </w:r>
      <w:r>
        <w:rPr>
          <w:i/>
        </w:rPr>
        <w:t xml:space="preserve">Root Cause: </w:t>
      </w:r>
      <w:r>
        <w:t>These failures occurred when the model synthesized an incorrect answer or cited the wrong quote block. In these cases, the model was distracted by irrelevant or similar-sounding details within the context, which misled its attention mechanism away from the correct entities.</w:t>
      </w:r>
      <w:r>
        <w:br/>
      </w:r>
      <w:r>
        <w:rPr>
          <w:b/>
        </w:rPr>
        <w:t xml:space="preserve">Concrete Improvement: </w:t>
      </w:r>
      <w:r>
        <w:t>Use a sentence-level cross-encoder to rank context segments by relevance to the query. Filtering out segments with low relevance scores before sending the context to the LLM will remove distracting noise.</w:t>
      </w:r>
    </w:p>
    <w:p w:rsidR="004E28E8" w:rsidRDefault="00C44580">
      <w:pPr>
        <w:keepNext/>
        <w:pBdr>
          <w:bottom w:val="single" w:sz="12" w:space="4" w:color="1F4E79"/>
        </w:pBdr>
        <w:spacing w:before="240" w:after="120"/>
      </w:pPr>
      <w:r>
        <w:rPr>
          <w:b/>
          <w:color w:val="1F4E79"/>
          <w:sz w:val="36"/>
        </w:rPr>
        <w:t>7. Regression Testing Verification</w:t>
      </w:r>
    </w:p>
    <w:p w:rsidR="004E28E8" w:rsidRDefault="00C44580">
      <w:r>
        <w:t>The prompt regression tracker checks the overall accuracy of the current run against the saved baseline. This log is stored in report/regression_history.json. The results from recent runs are detailed below:</w:t>
      </w:r>
    </w:p>
    <w:tbl>
      <w:tblPr>
        <w:tblW w:w="9826" w:type="dxa"/>
        <w:tblLayout w:type="fixed"/>
        <w:tblLook w:val="04A0" w:firstRow="1" w:lastRow="0" w:firstColumn="1" w:lastColumn="0" w:noHBand="0" w:noVBand="1"/>
      </w:tblPr>
      <w:tblGrid>
        <w:gridCol w:w="4913"/>
        <w:gridCol w:w="4913"/>
      </w:tblGrid>
      <w:tr w:rsidR="00B83FBA" w:rsidTr="00B83FBA">
        <w:trPr>
          <w:trHeight w:val="201"/>
        </w:trPr>
        <w:tc>
          <w:tcPr>
            <w:tcW w:w="4913" w:type="dxa"/>
            <w:shd w:val="clear" w:color="auto" w:fill="1F4E79"/>
            <w:tcMar>
              <w:top w:w="100" w:type="dxa"/>
              <w:left w:w="120" w:type="dxa"/>
              <w:bottom w:w="100" w:type="dxa"/>
              <w:right w:w="120" w:type="dxa"/>
            </w:tcMar>
          </w:tcPr>
          <w:p w:rsidR="00B83FBA" w:rsidRDefault="00B83FBA">
            <w:r>
              <w:rPr>
                <w:b/>
                <w:color w:val="FFFFFF"/>
              </w:rPr>
              <w:t>Accuracy</w:t>
            </w:r>
          </w:p>
        </w:tc>
        <w:tc>
          <w:tcPr>
            <w:tcW w:w="4913" w:type="dxa"/>
            <w:shd w:val="clear" w:color="auto" w:fill="1F4E79"/>
            <w:tcMar>
              <w:top w:w="100" w:type="dxa"/>
              <w:left w:w="120" w:type="dxa"/>
              <w:bottom w:w="100" w:type="dxa"/>
              <w:right w:w="120" w:type="dxa"/>
            </w:tcMar>
          </w:tcPr>
          <w:p w:rsidR="00B83FBA" w:rsidRDefault="00B83FBA">
            <w:r>
              <w:rPr>
                <w:b/>
                <w:color w:val="FFFFFF"/>
              </w:rPr>
              <w:t>Regression Status</w:t>
            </w:r>
          </w:p>
        </w:tc>
      </w:tr>
      <w:tr w:rsidR="00B83FBA" w:rsidTr="00B83FBA">
        <w:trPr>
          <w:trHeight w:val="313"/>
        </w:trPr>
        <w:tc>
          <w:tcPr>
            <w:tcW w:w="4913"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B83FBA" w:rsidRDefault="00B83FBA">
            <w:r>
              <w:t>87.31%</w:t>
            </w:r>
          </w:p>
        </w:tc>
        <w:tc>
          <w:tcPr>
            <w:tcW w:w="4913" w:type="dxa"/>
            <w:tcBorders>
              <w:top w:val="single" w:sz="4" w:space="0" w:color="D3D3D3"/>
              <w:left w:val="single" w:sz="4" w:space="0" w:color="D3D3D3"/>
              <w:bottom w:val="single" w:sz="4" w:space="0" w:color="D3D3D3"/>
              <w:right w:val="single" w:sz="4" w:space="0" w:color="D3D3D3"/>
            </w:tcBorders>
            <w:shd w:val="clear" w:color="auto" w:fill="F9FAFB"/>
            <w:tcMar>
              <w:top w:w="80" w:type="dxa"/>
              <w:left w:w="120" w:type="dxa"/>
              <w:bottom w:w="80" w:type="dxa"/>
              <w:right w:w="120" w:type="dxa"/>
            </w:tcMar>
          </w:tcPr>
          <w:p w:rsidR="00B83FBA" w:rsidRDefault="00B83FBA">
            <w:r>
              <w:rPr>
                <w:b/>
                <w:color w:val="2E7559"/>
              </w:rPr>
              <w:t>No Regression (Clean runner - current run)</w:t>
            </w:r>
          </w:p>
        </w:tc>
      </w:tr>
    </w:tbl>
    <w:p w:rsidR="00C44580" w:rsidRDefault="00C44580"/>
    <w:sectPr w:rsidR="00C44580" w:rsidSect="00B83FBA">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93F81"/>
    <w:rsid w:val="004E28E8"/>
    <w:rsid w:val="00AA1D8D"/>
    <w:rsid w:val="00B47730"/>
    <w:rsid w:val="00B83FBA"/>
    <w:rsid w:val="00C445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F7765"/>
  <w14:defaultImageDpi w14:val="300"/>
  <w15:docId w15:val="{AF68F59F-9745-4F96-9818-0479F7CB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DF784-7EBC-4B63-A56A-1B785023F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2026-07-10T12:00:00Z</dcterms:modified>
  <cp:category/>
</cp:coreProperties>
</file>