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2A47" w:sz="18" w:space="8"/>
        </w:pBdr>
        <w:spacing w:after="120"/>
      </w:pPr>
    </w:p>
    <w:p>
      <w:pPr>
        <w:spacing w:after="80" w:before="80"/>
        <w:jc w:val="center"/>
      </w:pPr>
      <w:r>
        <w:rPr>
          <w:rFonts w:ascii="Times New Roman" w:cs="Times New Roman" w:eastAsia="Times New Roman" w:hAnsi="Times New Roman"/>
          <w:b/>
          <w:bCs/>
          <w:color w:val="0F2A47"/>
          <w:spacing w:val="60"/>
          <w:sz w:val="28"/>
          <w:szCs w:val="28"/>
        </w:rPr>
        <w:t xml:space="preserve">REVIEW – III  ·  FINAL REPORT</w:t>
      </w:r>
    </w:p>
    <w:p>
      <w:pPr>
        <w:spacing w:after="200"/>
        <w:jc w:val="center"/>
      </w:pPr>
      <w:r>
        <w:rPr>
          <w:rFonts w:ascii="Times New Roman" w:cs="Times New Roman" w:eastAsia="Times New Roman" w:hAnsi="Times New Roman"/>
          <w:i/>
          <w:iCs/>
          <w:color w:val="4A5560"/>
          <w:sz w:val="24"/>
          <w:szCs w:val="24"/>
        </w:rPr>
        <w:t xml:space="preserve">Final Demonstration and Innovation</w:t>
      </w:r>
    </w:p>
    <w:p>
      <w:pPr>
        <w:spacing w:after="80" w:before="360"/>
        <w:jc w:val="center"/>
      </w:pPr>
      <w:r>
        <w:rPr>
          <w:rFonts w:ascii="Times New Roman" w:cs="Times New Roman" w:eastAsia="Times New Roman" w:hAnsi="Times New Roman"/>
          <w:b/>
          <w:bCs/>
          <w:color w:val="0F2A47"/>
          <w:sz w:val="36"/>
          <w:szCs w:val="36"/>
        </w:rPr>
        <w:t xml:space="preserve">GraphRAG-Powered Cyber Threat Intelligence Platform:</w:t>
      </w:r>
    </w:p>
    <w:p>
      <w:pPr>
        <w:spacing w:after="360"/>
        <w:jc w:val="center"/>
      </w:pPr>
      <w:r>
        <w:rPr>
          <w:rFonts w:ascii="Times New Roman" w:cs="Times New Roman" w:eastAsia="Times New Roman" w:hAnsi="Times New Roman"/>
          <w:b/>
          <w:bCs/>
          <w:color w:val="0F2A47"/>
          <w:sz w:val="36"/>
          <w:szCs w:val="36"/>
        </w:rPr>
        <w:t xml:space="preserve">A Multi-Model NoSQL Approach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2"/>
                <w:szCs w:val="22"/>
              </w:rPr>
              <w:t xml:space="preserve">Deliverable</w:t>
            </w:r>
          </w:p>
        </w:tc>
        <w:tc>
          <w:tcPr>
            <w:tcW w:type="dxa" w:w="66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2"/>
                <w:szCs w:val="22"/>
              </w:rPr>
              <w:t xml:space="preserve">Review – III  (10 marks): final demonstration and innovation</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Team</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Shivansh Sharma (23BCE0254)</w:t>
            </w:r>
          </w:p>
          <w:p>
            <w:pPr>
              <w:spacing w:after="0" w:line="260"/>
              <w:jc w:val="left"/>
            </w:pPr>
            <w:r>
              <w:rPr>
                <w:rFonts w:ascii="Times New Roman" w:cs="Times New Roman" w:eastAsia="Times New Roman" w:hAnsi="Times New Roman"/>
                <w:b w:val="false"/>
                <w:bCs w:val="false"/>
                <w:sz w:val="22"/>
                <w:szCs w:val="22"/>
              </w:rPr>
              <w:t xml:space="preserve">Himali Sharma (23BCE0317)</w:t>
            </w:r>
          </w:p>
          <w:p>
            <w:pPr>
              <w:spacing w:after="0" w:line="260"/>
              <w:jc w:val="left"/>
            </w:pPr>
            <w:r>
              <w:rPr>
                <w:rFonts w:ascii="Times New Roman" w:cs="Times New Roman" w:eastAsia="Times New Roman" w:hAnsi="Times New Roman"/>
                <w:b w:val="false"/>
                <w:bCs w:val="false"/>
                <w:sz w:val="22"/>
                <w:szCs w:val="22"/>
              </w:rPr>
              <w:t xml:space="preserve">Aayush Sinha (23BCE0558)</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Institution</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VIT Vellore</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Guide</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Dr. Lydia Jane G</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Repository</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github.com/Shivansharmaaaa/graphrag</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Date</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October 2026</w:t>
            </w:r>
          </w:p>
        </w:tc>
      </w:tr>
    </w:tbl>
    <w:p>
      <w:pPr>
        <w:spacing w:after="360"/>
      </w:pPr>
    </w:p>
    <w:p>
      <w:pPr>
        <w:spacing w:after="100"/>
        <w:jc w:val="center"/>
      </w:pPr>
      <w:r>
        <w:rPr>
          <w:rFonts w:ascii="Times New Roman" w:cs="Times New Roman" w:eastAsia="Times New Roman" w:hAnsi="Times New Roman"/>
          <w:b/>
          <w:bCs/>
          <w:color w:val="0F2A47"/>
          <w:sz w:val="22"/>
          <w:szCs w:val="22"/>
        </w:rPr>
        <w:t xml:space="preserve">Deliverables covered</w:t>
      </w:r>
    </w:p>
    <w:p>
      <w:pPr>
        <w:spacing w:after="50"/>
        <w:jc w:val="center"/>
      </w:pPr>
      <w:r>
        <w:rPr>
          <w:rFonts w:ascii="Times New Roman" w:cs="Times New Roman" w:eastAsia="Times New Roman" w:hAnsi="Times New Roman"/>
          <w:b/>
          <w:bCs/>
          <w:sz w:val="21"/>
          <w:szCs w:val="21"/>
        </w:rPr>
        <w:t xml:space="preserve">Complete working system  </w:t>
      </w:r>
      <w:r>
        <w:rPr>
          <w:rFonts w:ascii="Times New Roman" w:cs="Times New Roman" w:eastAsia="Times New Roman" w:hAnsi="Times New Roman"/>
          <w:color w:val="4A5560"/>
          <w:sz w:val="21"/>
          <w:szCs w:val="21"/>
        </w:rPr>
        <w:t xml:space="preserve">— Sections 4–8; source in backend/ and frontend/</w:t>
      </w:r>
    </w:p>
    <w:p>
      <w:pPr>
        <w:spacing w:after="50"/>
        <w:jc w:val="center"/>
      </w:pPr>
      <w:r>
        <w:rPr>
          <w:rFonts w:ascii="Times New Roman" w:cs="Times New Roman" w:eastAsia="Times New Roman" w:hAnsi="Times New Roman"/>
          <w:b/>
          <w:bCs/>
          <w:sz w:val="21"/>
          <w:szCs w:val="21"/>
        </w:rPr>
        <w:t xml:space="preserve">Performance evaluation  </w:t>
      </w:r>
      <w:r>
        <w:rPr>
          <w:rFonts w:ascii="Times New Roman" w:cs="Times New Roman" w:eastAsia="Times New Roman" w:hAnsi="Times New Roman"/>
          <w:color w:val="4A5560"/>
          <w:sz w:val="21"/>
          <w:szCs w:val="21"/>
        </w:rPr>
        <w:t xml:space="preserve">— Section 9: SLOs, 1×–200× scalability, index ablations, ANN recall, load, LLM latency</w:t>
      </w:r>
    </w:p>
    <w:p>
      <w:pPr>
        <w:spacing w:after="50"/>
        <w:jc w:val="center"/>
      </w:pPr>
      <w:r>
        <w:rPr>
          <w:rFonts w:ascii="Times New Roman" w:cs="Times New Roman" w:eastAsia="Times New Roman" w:hAnsi="Times New Roman"/>
          <w:b/>
          <w:bCs/>
          <w:sz w:val="21"/>
          <w:szCs w:val="21"/>
        </w:rPr>
        <w:t xml:space="preserve">Final report  </w:t>
      </w:r>
      <w:r>
        <w:rPr>
          <w:rFonts w:ascii="Times New Roman" w:cs="Times New Roman" w:eastAsia="Times New Roman" w:hAnsi="Times New Roman"/>
          <w:color w:val="4A5560"/>
          <w:sz w:val="21"/>
          <w:szCs w:val="21"/>
        </w:rPr>
        <w:t xml:space="preserve">— this document</w:t>
      </w:r>
    </w:p>
    <w:p>
      <w:pPr>
        <w:spacing w:after="50"/>
        <w:jc w:val="center"/>
      </w:pPr>
      <w:r>
        <w:rPr>
          <w:rFonts w:ascii="Times New Roman" w:cs="Times New Roman" w:eastAsia="Times New Roman" w:hAnsi="Times New Roman"/>
          <w:b/>
          <w:bCs/>
          <w:sz w:val="21"/>
          <w:szCs w:val="21"/>
        </w:rPr>
        <w:t xml:space="preserve">User manual  </w:t>
      </w:r>
      <w:r>
        <w:rPr>
          <w:rFonts w:ascii="Times New Roman" w:cs="Times New Roman" w:eastAsia="Times New Roman" w:hAnsi="Times New Roman"/>
          <w:color w:val="4A5560"/>
          <w:sz w:val="21"/>
          <w:szCs w:val="21"/>
        </w:rPr>
        <w:t xml:space="preserve">— separate document: User_Manual_GraphRAG_CTI_Platform.pdf</w:t>
      </w:r>
    </w:p>
    <w:p>
      <w:pPr>
        <w:spacing w:after="50"/>
        <w:jc w:val="center"/>
      </w:pPr>
      <w:r>
        <w:rPr>
          <w:rFonts w:ascii="Times New Roman" w:cs="Times New Roman" w:eastAsia="Times New Roman" w:hAnsi="Times New Roman"/>
          <w:b/>
          <w:bCs/>
          <w:sz w:val="21"/>
          <w:szCs w:val="21"/>
        </w:rPr>
        <w:t xml:space="preserve">Presentation and demo  </w:t>
      </w:r>
      <w:r>
        <w:rPr>
          <w:rFonts w:ascii="Times New Roman" w:cs="Times New Roman" w:eastAsia="Times New Roman" w:hAnsi="Times New Roman"/>
          <w:color w:val="4A5560"/>
          <w:sz w:val="21"/>
          <w:szCs w:val="21"/>
        </w:rPr>
        <w:t xml:space="preserve">— slide deck and demo runbook in review3/</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2038"/>
      </w:tblGrid>
      <w:tr>
        <w:trPr>
          <w:cantSplit/>
          <w:tblHeader/>
        </w:trPr>
        <w:tc>
          <w:tcPr>
            <w:tcW w:type="dxa" w:w="76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2"/>
                <w:szCs w:val="22"/>
              </w:rPr>
              <w:t xml:space="preserve">Section</w:t>
            </w:r>
          </w:p>
        </w:tc>
        <w:tc>
          <w:tcPr>
            <w:tcW w:type="dxa" w:w="20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2"/>
                <w:szCs w:val="22"/>
              </w:rPr>
              <w:t xml:space="preserve">Page</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1.  Abstract</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3</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2.  Introduction</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3</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3.  Background and Related Work</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4</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4.  System Architecture</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6</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5.  Data Model</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7</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6.  Implementation</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9</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7.  Innovation and Technical Complexity</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12</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8.  Testing and Validation</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13</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9.  Performance Evaluation</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15</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10.  Requirement Traceability</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22</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11.  Limitations and Future Work</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22</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12.  Conclusion</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23</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References</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24</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Appendix A.  Reproducing the Results</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25</w:t>
            </w:r>
          </w:p>
        </w:tc>
      </w:tr>
    </w:tbl>
    <w:p>
      <w:pPr>
        <w:spacing w:after="200"/>
      </w:pPr>
    </w:p>
    <w:p>
      <w:pPr>
        <w:spacing w:after="160" w:line="340"/>
        <w:jc w:val="both"/>
      </w:pPr>
      <w:r>
        <w:rPr>
          <w:rFonts w:ascii="Times New Roman" w:cs="Times New Roman" w:eastAsia="Times New Roman" w:hAnsi="Times New Roman"/>
          <w:b/>
          <w:bCs/>
          <w:sz w:val="24"/>
          <w:szCs w:val="24"/>
        </w:rPr>
        <w:t xml:space="preserve">Figures</w:t>
      </w:r>
      <w:r>
        <w:rPr>
          <w:rFonts w:ascii="Times New Roman" w:cs="Times New Roman" w:eastAsia="Times New Roman" w:hAnsi="Times New Roman"/>
          <w:sz w:val="24"/>
          <w:szCs w:val="24"/>
        </w:rPr>
        <w:t xml:space="preserve"> (diagrams and charts) and </w:t>
      </w:r>
      <w:r>
        <w:rPr>
          <w:rFonts w:ascii="Times New Roman" w:cs="Times New Roman" w:eastAsia="Times New Roman" w:hAnsi="Times New Roman"/>
          <w:b/>
          <w:bCs/>
          <w:sz w:val="24"/>
          <w:szCs w:val="24"/>
        </w:rPr>
        <w:t xml:space="preserve">tables</w:t>
      </w:r>
      <w:r>
        <w:rPr>
          <w:rFonts w:ascii="Times New Roman" w:cs="Times New Roman" w:eastAsia="Times New Roman" w:hAnsi="Times New Roman"/>
          <w:sz w:val="24"/>
          <w:szCs w:val="24"/>
        </w:rPr>
        <w:t xml:space="preserve"> are numbered in order of appearance. All measured values in Sections 8 and 9 are generated from the JSON result files in </w:t>
      </w:r>
      <w:r>
        <w:rPr>
          <w:rFonts w:ascii="Courier New" w:cs="Courier New" w:eastAsia="Courier New" w:hAnsi="Courier New"/>
          <w:sz w:val="20"/>
          <w:szCs w:val="20"/>
        </w:rPr>
        <w:t xml:space="preserve">review3/performance/</w:t>
      </w:r>
      <w:r>
        <w:rPr>
          <w:rFonts w:ascii="Times New Roman" w:cs="Times New Roman" w:eastAsia="Times New Roman" w:hAnsi="Times New Roman"/>
          <w:sz w:val="24"/>
          <w:szCs w:val="24"/>
        </w:rPr>
        <w:t xml:space="preserve">, produced by </w:t>
      </w:r>
      <w:r>
        <w:rPr>
          <w:rFonts w:ascii="Courier New" w:cs="Courier New" w:eastAsia="Courier New" w:hAnsi="Courier New"/>
          <w:sz w:val="20"/>
          <w:szCs w:val="20"/>
        </w:rPr>
        <w:t xml:space="preserve">make eval</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make bench</w:t>
      </w:r>
      <w:r>
        <w:rPr>
          <w:rFonts w:ascii="Times New Roman" w:cs="Times New Roman" w:eastAsia="Times New Roman" w:hAnsi="Times New Roman"/>
          <w:sz w:val="24"/>
          <w:szCs w:val="24"/>
        </w:rPr>
        <w:t xml:space="preserve"> on 2026-10-25.</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1.  Abstract</w:t>
      </w:r>
    </w:p>
    <w:p>
      <w:pPr>
        <w:spacing w:after="160" w:line="340"/>
        <w:jc w:val="both"/>
      </w:pPr>
      <w:r>
        <w:rPr>
          <w:rFonts w:ascii="Times New Roman" w:cs="Times New Roman" w:eastAsia="Times New Roman" w:hAnsi="Times New Roman"/>
          <w:sz w:val="24"/>
          <w:szCs w:val="24"/>
        </w:rPr>
        <w:t xml:space="preserve">Cyber threat intelligence (CTI) is polyglot data. Relationships between threat actors, campaigns, malware and infrastructure form a graph; analyst reports are schema-variable documents; active indicators of compromise (IOCs) need millisecond lookups that expire on time; and analysts ask questions in natural language that need semantic recall. This project delivers a working CTI workstation that gives each workload its natural engine — Neo4j for the threat graph, MongoDB for reports, Redis for the IOC blocklist and Qdrant for report embeddings — and adds a GraphRAG layer that retrieves evidence from all four stores before a locally hosted LLM writes an answer in which every sentence must cite a graph edge, a passage, a report or an IOC state.</w:t>
      </w:r>
    </w:p>
    <w:p>
      <w:pPr>
        <w:spacing w:after="160" w:line="340"/>
        <w:jc w:val="both"/>
      </w:pPr>
      <w:r>
        <w:rPr>
          <w:rFonts w:ascii="Times New Roman" w:cs="Times New Roman" w:eastAsia="Times New Roman" w:hAnsi="Times New Roman"/>
          <w:sz w:val="24"/>
          <w:szCs w:val="24"/>
        </w:rPr>
        <w:t xml:space="preserve">Review III completes and evaluates the system. The platform ingests STIX 2.1 bundles and free-text reports, enforces Traffic Light Protocol (TLP) clearance on every read path, serves a fail-closed enforcement API to firewalls and EDR tools, and records every answer for replay. On the six acceptance questions it recalls 100% of the required graph facts and source reports; with the default </w:t>
      </w:r>
      <w:r>
        <w:rPr>
          <w:rFonts w:ascii="Courier New" w:cs="Courier New" w:eastAsia="Courier New" w:hAnsi="Courier New"/>
          <w:sz w:val="20"/>
          <w:szCs w:val="20"/>
        </w:rPr>
        <w:t xml:space="preserve">llama3.2:3b</w:t>
      </w:r>
      <w:r>
        <w:rPr>
          <w:rFonts w:ascii="Times New Roman" w:cs="Times New Roman" w:eastAsia="Times New Roman" w:hAnsi="Times New Roman"/>
          <w:sz w:val="24"/>
          <w:szCs w:val="24"/>
        </w:rPr>
        <w:t xml:space="preserve"> model the GraphRAG end-to-end p95 is </w:t>
      </w:r>
      <w:r>
        <w:rPr>
          <w:rFonts w:ascii="Times New Roman" w:cs="Times New Roman" w:eastAsia="Times New Roman" w:hAnsi="Times New Roman"/>
          <w:b/>
          <w:bCs/>
          <w:sz w:val="24"/>
          <w:szCs w:val="24"/>
        </w:rPr>
        <w:t xml:space="preserve">9.5 s</w:t>
      </w:r>
      <w:r>
        <w:rPr>
          <w:rFonts w:ascii="Times New Roman" w:cs="Times New Roman" w:eastAsia="Times New Roman" w:hAnsi="Times New Roman"/>
          <w:sz w:val="24"/>
          <w:szCs w:val="24"/>
        </w:rPr>
        <w:t xml:space="preserve"> against a 15 s target (down from 52.3 s in September). A new benchmark harness scales the corpus from 1× to 200× (15,012 nodes, 2,400 reports) and ablates the indexes of each store. It exposed four scalability defects — linear entity linking, an unbounded traversal with unindexed node lookups, a whole-graph join on ingest and a thread-safety bug under concurrent load — whose fixes cut GraphRAG retrieval p95 at 200× from </w:t>
      </w:r>
      <w:r>
        <w:rPr>
          <w:rFonts w:ascii="Times New Roman" w:cs="Times New Roman" w:eastAsia="Times New Roman" w:hAnsi="Times New Roman"/>
          <w:b/>
          <w:bCs/>
          <w:sz w:val="24"/>
          <w:szCs w:val="24"/>
        </w:rPr>
        <w:t xml:space="preserve">14.7 s</w:t>
      </w:r>
      <w:r>
        <w:rPr>
          <w:rFonts w:ascii="Times New Roman" w:cs="Times New Roman" w:eastAsia="Times New Roman" w:hAnsi="Times New Roman"/>
          <w:sz w:val="24"/>
          <w:szCs w:val="24"/>
        </w:rPr>
        <w:t xml:space="preserve"> to </w:t>
      </w:r>
      <w:r>
        <w:rPr>
          <w:rFonts w:ascii="Times New Roman" w:cs="Times New Roman" w:eastAsia="Times New Roman" w:hAnsi="Times New Roman"/>
          <w:b/>
          <w:bCs/>
          <w:sz w:val="24"/>
          <w:szCs w:val="24"/>
        </w:rPr>
        <w:t xml:space="preserve">185 ms</w:t>
      </w:r>
      <w:r>
        <w:rPr>
          <w:rFonts w:ascii="Times New Roman" w:cs="Times New Roman" w:eastAsia="Times New Roman" w:hAnsi="Times New Roman"/>
          <w:sz w:val="24"/>
          <w:szCs w:val="24"/>
        </w:rPr>
        <w:t xml:space="preserve"> and keep every store-level query within its service level.</w:t>
      </w:r>
    </w:p>
    <w:p>
      <w:pPr>
        <w:spacing w:after="160" w:line="34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cyber threat intelligence, polyglot persistence, NoSQL, graph database, vector search, retrieval-augmented generation, GraphRAG, performance evaluation.</w:t>
      </w:r>
    </w:p>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2.  Introduction</w:t>
      </w:r>
    </w:p>
    <w:p>
      <w:pPr>
        <w:pStyle w:val="Heading2"/>
        <w:keepNext/>
        <w:spacing w:after="120" w:before="240"/>
      </w:pPr>
      <w:r>
        <w:rPr>
          <w:rFonts w:ascii="Times New Roman" w:cs="Times New Roman" w:eastAsia="Times New Roman" w:hAnsi="Times New Roman"/>
          <w:b/>
          <w:bCs/>
          <w:color w:val="1B4F72"/>
          <w:sz w:val="26"/>
          <w:szCs w:val="26"/>
        </w:rPr>
        <w:t xml:space="preserve">2.1  Problem</w:t>
      </w:r>
    </w:p>
    <w:p>
      <w:pPr>
        <w:spacing w:after="160" w:line="340"/>
        <w:jc w:val="both"/>
      </w:pPr>
      <w:r>
        <w:rPr>
          <w:rFonts w:ascii="Times New Roman" w:cs="Times New Roman" w:eastAsia="Times New Roman" w:hAnsi="Times New Roman"/>
          <w:sz w:val="24"/>
          <w:szCs w:val="24"/>
        </w:rPr>
        <w:t xml:space="preserve">Security operations centres ask relational and semantic questions: which actors share command-and-control (C2) infrastructure, which campaigns reuse a commodity tool, which reports resemble a new phishing lure, and whether an indicator on the blocklist is still live. A single storage engine serves these workloads poorly [8], [9]: path queries become application-side joins in a document store, report bodies strain a graph store, and neither offers per-key expiry or approximate nearest-neighbour search. Retrieval-augmented generation (RAG) over CTI adds a second risk: a language model can produce fluent attributions that no stored evidence supports [21], [23].</w:t>
      </w:r>
    </w:p>
    <w:p>
      <w:pPr>
        <w:pStyle w:val="Heading2"/>
        <w:keepNext/>
        <w:spacing w:after="120" w:before="240"/>
      </w:pPr>
      <w:r>
        <w:rPr>
          <w:rFonts w:ascii="Times New Roman" w:cs="Times New Roman" w:eastAsia="Times New Roman" w:hAnsi="Times New Roman"/>
          <w:b/>
          <w:bCs/>
          <w:color w:val="1B4F72"/>
          <w:sz w:val="26"/>
          <w:szCs w:val="26"/>
        </w:rPr>
        <w:t xml:space="preserve">2.2  Objectives</w:t>
      </w:r>
    </w:p>
    <w:p>
      <w:pPr>
        <w:pStyle w:val="ListParagraph"/>
        <w:numPr>
          <w:ilvl w:val="0"/>
          <w:numId w:val="2"/>
        </w:numPr>
        <w:spacing w:after="70" w:line="300"/>
      </w:pPr>
      <w:r>
        <w:rPr>
          <w:rFonts w:ascii="Times New Roman" w:cs="Times New Roman" w:eastAsia="Times New Roman" w:hAnsi="Times New Roman"/>
          <w:b/>
          <w:bCs/>
          <w:sz w:val="24"/>
          <w:szCs w:val="24"/>
        </w:rPr>
        <w:t xml:space="preserve">O1</w:t>
      </w:r>
      <w:r>
        <w:rPr>
          <w:rFonts w:ascii="Times New Roman" w:cs="Times New Roman" w:eastAsia="Times New Roman" w:hAnsi="Times New Roman"/>
          <w:sz w:val="24"/>
          <w:szCs w:val="24"/>
        </w:rPr>
        <w:t xml:space="preserve"> Ingest STIX 2.1 bundles and free-text reports consistently into all four stores.</w:t>
      </w:r>
    </w:p>
    <w:p>
      <w:pPr>
        <w:pStyle w:val="ListParagraph"/>
        <w:numPr>
          <w:ilvl w:val="0"/>
          <w:numId w:val="2"/>
        </w:numPr>
        <w:spacing w:after="70" w:line="300"/>
      </w:pPr>
      <w:r>
        <w:rPr>
          <w:rFonts w:ascii="Times New Roman" w:cs="Times New Roman" w:eastAsia="Times New Roman" w:hAnsi="Times New Roman"/>
          <w:b/>
          <w:bCs/>
          <w:sz w:val="24"/>
          <w:szCs w:val="24"/>
        </w:rPr>
        <w:t xml:space="preserve">O2</w:t>
      </w:r>
      <w:r>
        <w:rPr>
          <w:rFonts w:ascii="Times New Roman" w:cs="Times New Roman" w:eastAsia="Times New Roman" w:hAnsi="Times New Roman"/>
          <w:sz w:val="24"/>
          <w:szCs w:val="24"/>
        </w:rPr>
        <w:t xml:space="preserve"> Answer multi-hop graph questions (shared infrastructure, shared tooling, common victims) natively in Neo4j.</w:t>
      </w:r>
    </w:p>
    <w:p>
      <w:pPr>
        <w:pStyle w:val="ListParagraph"/>
        <w:numPr>
          <w:ilvl w:val="0"/>
          <w:numId w:val="2"/>
        </w:numPr>
        <w:spacing w:after="70" w:line="300"/>
      </w:pPr>
      <w:r>
        <w:rPr>
          <w:rFonts w:ascii="Times New Roman" w:cs="Times New Roman" w:eastAsia="Times New Roman" w:hAnsi="Times New Roman"/>
          <w:b/>
          <w:bCs/>
          <w:sz w:val="24"/>
          <w:szCs w:val="24"/>
        </w:rPr>
        <w:t xml:space="preserve">O3</w:t>
      </w:r>
      <w:r>
        <w:rPr>
          <w:rFonts w:ascii="Times New Roman" w:cs="Times New Roman" w:eastAsia="Times New Roman" w:hAnsi="Times New Roman"/>
          <w:sz w:val="24"/>
          <w:szCs w:val="24"/>
        </w:rPr>
        <w:t xml:space="preserve"> Serve full, schema-variable reports from MongoDB with TLP-based access control.</w:t>
      </w:r>
    </w:p>
    <w:p>
      <w:pPr>
        <w:pStyle w:val="ListParagraph"/>
        <w:numPr>
          <w:ilvl w:val="0"/>
          <w:numId w:val="2"/>
        </w:numPr>
        <w:spacing w:after="70" w:line="300"/>
      </w:pPr>
      <w:r>
        <w:rPr>
          <w:rFonts w:ascii="Times New Roman" w:cs="Times New Roman" w:eastAsia="Times New Roman" w:hAnsi="Times New Roman"/>
          <w:b/>
          <w:bCs/>
          <w:sz w:val="24"/>
          <w:szCs w:val="24"/>
        </w:rPr>
        <w:t xml:space="preserve">O4</w:t>
      </w:r>
      <w:r>
        <w:rPr>
          <w:rFonts w:ascii="Times New Roman" w:cs="Times New Roman" w:eastAsia="Times New Roman" w:hAnsi="Times New Roman"/>
          <w:sz w:val="24"/>
          <w:szCs w:val="24"/>
        </w:rPr>
        <w:t xml:space="preserve"> Maintain a hot IOC blocklist in Redis with per-key TTL and a fail-closed enforcement API.</w:t>
      </w:r>
    </w:p>
    <w:p>
      <w:pPr>
        <w:pStyle w:val="ListParagraph"/>
        <w:numPr>
          <w:ilvl w:val="0"/>
          <w:numId w:val="2"/>
        </w:numPr>
        <w:spacing w:after="70" w:line="300"/>
      </w:pPr>
      <w:r>
        <w:rPr>
          <w:rFonts w:ascii="Times New Roman" w:cs="Times New Roman" w:eastAsia="Times New Roman" w:hAnsi="Times New Roman"/>
          <w:b/>
          <w:bCs/>
          <w:sz w:val="24"/>
          <w:szCs w:val="24"/>
        </w:rPr>
        <w:t xml:space="preserve">O5</w:t>
      </w:r>
      <w:r>
        <w:rPr>
          <w:rFonts w:ascii="Times New Roman" w:cs="Times New Roman" w:eastAsia="Times New Roman" w:hAnsi="Times New Roman"/>
          <w:sz w:val="24"/>
          <w:szCs w:val="24"/>
        </w:rPr>
        <w:t xml:space="preserve"> Answer natural-language questions with GraphRAG on a local LLM, with every sentence cited and auditable.</w:t>
      </w:r>
    </w:p>
    <w:p>
      <w:pPr>
        <w:pStyle w:val="ListParagraph"/>
        <w:numPr>
          <w:ilvl w:val="0"/>
          <w:numId w:val="2"/>
        </w:numPr>
        <w:spacing w:after="70" w:line="300"/>
      </w:pPr>
      <w:r>
        <w:rPr>
          <w:rFonts w:ascii="Times New Roman" w:cs="Times New Roman" w:eastAsia="Times New Roman" w:hAnsi="Times New Roman"/>
          <w:b/>
          <w:bCs/>
          <w:sz w:val="24"/>
          <w:szCs w:val="24"/>
        </w:rPr>
        <w:t xml:space="preserve">O6</w:t>
      </w:r>
      <w:r>
        <w:rPr>
          <w:rFonts w:ascii="Times New Roman" w:cs="Times New Roman" w:eastAsia="Times New Roman" w:hAnsi="Times New Roman"/>
          <w:sz w:val="24"/>
          <w:szCs w:val="24"/>
        </w:rPr>
        <w:t xml:space="preserve"> Demonstrate that the design meets its latency targets and scales, with reproducible measurements.</w:t>
      </w:r>
    </w:p>
    <w:p>
      <w:pPr>
        <w:pStyle w:val="Heading2"/>
        <w:keepNext/>
        <w:spacing w:after="120" w:before="240"/>
      </w:pPr>
      <w:r>
        <w:rPr>
          <w:rFonts w:ascii="Times New Roman" w:cs="Times New Roman" w:eastAsia="Times New Roman" w:hAnsi="Times New Roman"/>
          <w:b/>
          <w:bCs/>
          <w:color w:val="1B4F72"/>
          <w:sz w:val="26"/>
          <w:szCs w:val="26"/>
        </w:rPr>
        <w:t xml:space="preserve">2.3  What Review III adds</w:t>
      </w:r>
    </w:p>
    <w:p>
      <w:pPr>
        <w:spacing w:after="160" w:line="340"/>
        <w:jc w:val="both"/>
      </w:pPr>
      <w:r>
        <w:rPr>
          <w:rFonts w:ascii="Times New Roman" w:cs="Times New Roman" w:eastAsia="Times New Roman" w:hAnsi="Times New Roman"/>
          <w:sz w:val="24"/>
          <w:szCs w:val="24"/>
        </w:rPr>
        <w:t xml:space="preserve">Review I fixed the design and Review II delivered the first working build. This review closes the remaining gaps recorded in the progress report and evaluates the system as the rubric asks: a complete system with an analyst console of eight pages and 35 API endpoints; a performance evaluation covering query latency, scalability, indexing and benchmarking; and the documentation set (this report, a user manual, slides and a demo runbook). The main engineering contributions of this review are:</w:t>
      </w:r>
    </w:p>
    <w:p>
      <w:pPr>
        <w:pStyle w:val="ListParagraph"/>
        <w:numPr>
          <w:ilvl w:val="0"/>
          <w:numId w:val="2"/>
        </w:numPr>
        <w:spacing w:after="70" w:line="300"/>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prompt budget</w:t>
      </w:r>
      <w:r>
        <w:rPr>
          <w:rFonts w:ascii="Times New Roman" w:cs="Times New Roman" w:eastAsia="Times New Roman" w:hAnsi="Times New Roman"/>
          <w:sz w:val="24"/>
          <w:szCs w:val="24"/>
        </w:rPr>
        <w:t xml:space="preserve"> and model choice that bring GraphRAG p95 from 52.3 s to 9.5 s, meeting NFR2 on a laptop;</w:t>
      </w:r>
    </w:p>
    <w:p>
      <w:pPr>
        <w:pStyle w:val="ListParagraph"/>
        <w:numPr>
          <w:ilvl w:val="0"/>
          <w:numId w:val="2"/>
        </w:numPr>
        <w:spacing w:after="70" w:line="300"/>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groundedness-gate fix</w:t>
      </w:r>
      <w:r>
        <w:rPr>
          <w:rFonts w:ascii="Times New Roman" w:cs="Times New Roman" w:eastAsia="Times New Roman" w:hAnsi="Times New Roman"/>
          <w:sz w:val="24"/>
          <w:szCs w:val="24"/>
        </w:rPr>
        <w:t xml:space="preserve"> that stops valid citations written in variant forms from being discarded;</w:t>
      </w:r>
    </w:p>
    <w:p>
      <w:pPr>
        <w:pStyle w:val="ListParagraph"/>
        <w:numPr>
          <w:ilvl w:val="0"/>
          <w:numId w:val="2"/>
        </w:numPr>
        <w:spacing w:after="70" w:line="300"/>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benchmark harness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make bench</w:t>
      </w:r>
      <w:r>
        <w:rPr>
          <w:rFonts w:ascii="Times New Roman" w:cs="Times New Roman" w:eastAsia="Times New Roman" w:hAnsi="Times New Roman"/>
          <w:sz w:val="24"/>
          <w:szCs w:val="24"/>
        </w:rPr>
        <w:t xml:space="preserve">) for 1×–200× corpus scaling, index ablations, ANN recall and API load, which found </w:t>
      </w:r>
      <w:r>
        <w:rPr>
          <w:rFonts w:ascii="Times New Roman" w:cs="Times New Roman" w:eastAsia="Times New Roman" w:hAnsi="Times New Roman"/>
          <w:b/>
          <w:bCs/>
          <w:sz w:val="24"/>
          <w:szCs w:val="24"/>
        </w:rPr>
        <w:t xml:space="preserve">four scalability defects</w:t>
      </w:r>
      <w:r>
        <w:rPr>
          <w:rFonts w:ascii="Times New Roman" w:cs="Times New Roman" w:eastAsia="Times New Roman" w:hAnsi="Times New Roman"/>
          <w:sz w:val="24"/>
          <w:szCs w:val="24"/>
        </w:rPr>
        <w:t xml:space="preserve">, all fixed and re-measured;</w:t>
      </w:r>
    </w:p>
    <w:p>
      <w:pPr>
        <w:pStyle w:val="ListParagraph"/>
        <w:numPr>
          <w:ilvl w:val="0"/>
          <w:numId w:val="2"/>
        </w:numPr>
        <w:spacing w:after="70" w:line="300"/>
      </w:pPr>
      <w:r>
        <w:rPr>
          <w:rFonts w:ascii="Times New Roman" w:cs="Times New Roman" w:eastAsia="Times New Roman" w:hAnsi="Times New Roman"/>
          <w:b/>
          <w:bCs/>
          <w:sz w:val="24"/>
          <w:szCs w:val="24"/>
        </w:rPr>
        <w:t xml:space="preserve">15 integration tests</w:t>
      </w:r>
      <w:r>
        <w:rPr>
          <w:rFonts w:ascii="Times New Roman" w:cs="Times New Roman" w:eastAsia="Times New Roman" w:hAnsi="Times New Roman"/>
          <w:sz w:val="24"/>
          <w:szCs w:val="24"/>
        </w:rPr>
        <w:t xml:space="preserve">, an evaluation gate and </w:t>
      </w:r>
      <w:r>
        <w:rPr>
          <w:rFonts w:ascii="Times New Roman" w:cs="Times New Roman" w:eastAsia="Times New Roman" w:hAnsi="Times New Roman"/>
          <w:b/>
          <w:bCs/>
          <w:sz w:val="24"/>
          <w:szCs w:val="24"/>
        </w:rPr>
        <w:t xml:space="preserve">continuous integration</w:t>
      </w:r>
      <w:r>
        <w:rPr>
          <w:rFonts w:ascii="Times New Roman" w:cs="Times New Roman" w:eastAsia="Times New Roman" w:hAnsi="Times New Roman"/>
          <w:sz w:val="24"/>
          <w:szCs w:val="24"/>
        </w:rPr>
        <w:t xml:space="preserve"> that run the whole stack on every push.</w:t>
      </w:r>
    </w:p>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3.  Background and Related Work</w:t>
      </w:r>
    </w:p>
    <w:p>
      <w:pPr>
        <w:spacing w:after="160" w:line="340"/>
        <w:jc w:val="both"/>
      </w:pPr>
      <w:r>
        <w:rPr>
          <w:rFonts w:ascii="Times New Roman" w:cs="Times New Roman" w:eastAsia="Times New Roman" w:hAnsi="Times New Roman"/>
          <w:b/>
          <w:bCs/>
          <w:sz w:val="24"/>
          <w:szCs w:val="24"/>
        </w:rPr>
        <w:t xml:space="preserve">Threat intelligence and sharing.</w:t>
      </w:r>
      <w:r>
        <w:rPr>
          <w:rFonts w:ascii="Times New Roman" w:cs="Times New Roman" w:eastAsia="Times New Roman" w:hAnsi="Times New Roman"/>
          <w:sz w:val="24"/>
          <w:szCs w:val="24"/>
        </w:rPr>
        <w:t xml:space="preserve"> Technical CTI — indicators, malware artefacts and procedures — is what automated defences consume, and its value lies in correlation rather than lookup [1], [2], [6]. STIX 2.1 already models CTI as a graph of objects and relationships [3], and ATT&amp;CK gives a shared vocabulary of techniques [4]. MISP excels at disseminating events [5], [29] and OpenCTI offers a graph-backed product [16], but neither treats TTL-based enforcement, narrative similarity search and cited question answering as co-equal planes.</w:t>
      </w:r>
    </w:p>
    <w:p>
      <w:pPr>
        <w:spacing w:after="160" w:line="340"/>
        <w:jc w:val="both"/>
      </w:pPr>
      <w:r>
        <w:rPr>
          <w:rFonts w:ascii="Times New Roman" w:cs="Times New Roman" w:eastAsia="Times New Roman" w:hAnsi="Times New Roman"/>
          <w:b/>
          <w:bCs/>
          <w:sz w:val="24"/>
          <w:szCs w:val="24"/>
        </w:rPr>
        <w:t xml:space="preserve">Polyglot persistence.</w:t>
      </w:r>
      <w:r>
        <w:rPr>
          <w:rFonts w:ascii="Times New Roman" w:cs="Times New Roman" w:eastAsia="Times New Roman" w:hAnsi="Times New Roman"/>
          <w:sz w:val="24"/>
          <w:szCs w:val="24"/>
        </w:rPr>
        <w:t xml:space="preserve"> “One size fits all” no longer holds for data management [8]; the NoSQL families each optimise a different access pattern and trade consistency guarantees accordingly [9]–[11]. Graph databases make multi-hop traversal a local operation through index-free adjacency [12], [26], and cybersecurity knowledge graphs have been built from reports and alerts [13]–[15]. Document stores keep heterogeneous reports without migrations [17]; key–value stores give constant-time lookups with native expiry [18]; and vector databases answer approximate k-NN queries with graph-based indexes such as HNSW [19], [20], [30].</w:t>
      </w:r>
    </w:p>
    <w:p>
      <w:pPr>
        <w:spacing w:after="160" w:line="340"/>
        <w:jc w:val="both"/>
      </w:pPr>
      <w:r>
        <w:rPr>
          <w:rFonts w:ascii="Times New Roman" w:cs="Times New Roman" w:eastAsia="Times New Roman" w:hAnsi="Times New Roman"/>
          <w:b/>
          <w:bCs/>
          <w:sz w:val="24"/>
          <w:szCs w:val="24"/>
        </w:rPr>
        <w:t xml:space="preserve">From RAG to GraphRAG.</w:t>
      </w:r>
      <w:r>
        <w:rPr>
          <w:rFonts w:ascii="Times New Roman" w:cs="Times New Roman" w:eastAsia="Times New Roman" w:hAnsi="Times New Roman"/>
          <w:sz w:val="24"/>
          <w:szCs w:val="24"/>
        </w:rPr>
        <w:t xml:space="preserve"> RAG grounds generation in retrieved passages [21], [22], but passage retrieval alone cannot answer path questions. GraphRAG combines graph traversal with retrieval [23]–[25]; evaluation work stresses that answers must be faithful to their context [37] and that long, unprioritised contexts degrade model behaviour [36]. Benchmarks for serving systems [33], graph databases [34] and ANN indexes [35] motivate the measurement method in Section 9.</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1700"/>
        <w:gridCol w:w="1838"/>
      </w:tblGrid>
      <w:tr>
        <w:trPr>
          <w:cantSplit/>
          <w:tblHeader/>
        </w:trPr>
        <w:tc>
          <w:tcPr>
            <w:tcW w:type="dxa" w:w="2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Capability</w:t>
            </w:r>
          </w:p>
        </w:tc>
        <w:tc>
          <w:tcPr>
            <w:tcW w:type="dxa" w:w="1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MISP</w:t>
            </w:r>
          </w:p>
        </w:tc>
        <w:tc>
          <w:tcPr>
            <w:tcW w:type="dxa" w:w="1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OpenCTI</w:t>
            </w:r>
          </w:p>
        </w:tc>
        <w:tc>
          <w:tcPr>
            <w:tcW w:type="dxa" w:w="1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Vanilla RAG</w:t>
            </w:r>
          </w:p>
        </w:tc>
        <w:tc>
          <w:tcPr>
            <w:tcW w:type="dxa" w:w="18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This platform</w:t>
            </w:r>
          </w:p>
        </w:tc>
      </w:tr>
      <w:tr>
        <w:trPr>
          <w:cantSplit/>
          <w:tblHeader w:val="false"/>
        </w:trPr>
        <w:tc>
          <w:tcPr>
            <w:tcW w:type="dxa" w:w="2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Multi-hop graph queries</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limited</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yes</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no</w:t>
            </w:r>
          </w:p>
        </w:tc>
        <w:tc>
          <w:tcPr>
            <w:tcW w:type="dxa" w:w="18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yes (Neo4j)</w:t>
            </w:r>
          </w:p>
        </w:tc>
      </w:tr>
      <w:tr>
        <w:trPr>
          <w:cantSplit/>
          <w:tblHeader w:val="false"/>
        </w:trPr>
        <w:tc>
          <w:tcPr>
            <w:tcW w:type="dxa" w:w="2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Schema-variable reports</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events</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yes</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passages</w:t>
            </w:r>
          </w:p>
        </w:tc>
        <w:tc>
          <w:tcPr>
            <w:tcW w:type="dxa" w:w="18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yes (MongoDB)</w:t>
            </w:r>
          </w:p>
        </w:tc>
      </w:tr>
      <w:tr>
        <w:trPr>
          <w:cantSplit/>
          <w:tblHeader w:val="false"/>
        </w:trPr>
        <w:tc>
          <w:tcPr>
            <w:tcW w:type="dxa" w:w="2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Per-key IOC expiry + enforcement API</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no</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no</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no</w:t>
            </w:r>
          </w:p>
        </w:tc>
        <w:tc>
          <w:tcPr>
            <w:tcW w:type="dxa" w:w="18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yes (Redis, fail-closed)</w:t>
            </w:r>
          </w:p>
        </w:tc>
      </w:tr>
      <w:tr>
        <w:trPr>
          <w:cantSplit/>
          <w:tblHeader w:val="false"/>
        </w:trPr>
        <w:tc>
          <w:tcPr>
            <w:tcW w:type="dxa" w:w="2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Semantic search with payload filters</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no</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limited</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yes</w:t>
            </w:r>
          </w:p>
        </w:tc>
        <w:tc>
          <w:tcPr>
            <w:tcW w:type="dxa" w:w="18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yes (Qdrant)</w:t>
            </w:r>
          </w:p>
        </w:tc>
      </w:tr>
      <w:tr>
        <w:trPr>
          <w:cantSplit/>
          <w:tblHeader w:val="false"/>
        </w:trPr>
        <w:tc>
          <w:tcPr>
            <w:tcW w:type="dxa" w:w="2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Cited natural-language answers</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no</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no</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uncited</w:t>
            </w:r>
          </w:p>
        </w:tc>
        <w:tc>
          <w:tcPr>
            <w:tcW w:type="dxa" w:w="18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every sentence cited</w:t>
            </w:r>
          </w:p>
        </w:tc>
      </w:tr>
      <w:tr>
        <w:trPr>
          <w:cantSplit/>
          <w:tblHeader w:val="false"/>
        </w:trPr>
        <w:tc>
          <w:tcPr>
            <w:tcW w:type="dxa" w:w="2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Replay of an answer against the stores</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no</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no</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no</w:t>
            </w:r>
          </w:p>
        </w:tc>
        <w:tc>
          <w:tcPr>
            <w:tcW w:type="dxa" w:w="18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yes</w:t>
            </w:r>
          </w:p>
        </w:tc>
      </w:tr>
      <w:tr>
        <w:trPr>
          <w:cantSplit/>
          <w:tblHeader w:val="false"/>
        </w:trPr>
        <w:tc>
          <w:tcPr>
            <w:tcW w:type="dxa" w:w="2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Runs fully offline (local LLM)</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n/a</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n/a</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varies</w:t>
            </w:r>
          </w:p>
        </w:tc>
        <w:tc>
          <w:tcPr>
            <w:tcW w:type="dxa" w:w="18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yes</w:t>
            </w:r>
          </w:p>
        </w:tc>
      </w:tr>
    </w:tbl>
    <w:p>
      <w:pPr>
        <w:spacing w:after="240" w:before="60"/>
        <w:jc w:val="center"/>
      </w:pPr>
      <w:r>
        <w:rPr>
          <w:rFonts w:ascii="Times New Roman" w:cs="Times New Roman" w:eastAsia="Times New Roman" w:hAnsi="Times New Roman"/>
          <w:i/>
          <w:iCs/>
          <w:sz w:val="20"/>
          <w:szCs w:val="20"/>
        </w:rPr>
        <w:t xml:space="preserve">Table 1.  Positioning against existing CTI platforms and plain RAG (Review I gaps G1–G5).</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4.  System Architecture</w:t>
      </w:r>
    </w:p>
    <w:p>
      <w:pPr>
        <w:spacing w:after="160" w:line="340"/>
        <w:jc w:val="both"/>
      </w:pPr>
      <w:r>
        <w:rPr>
          <w:rFonts w:ascii="Times New Roman" w:cs="Times New Roman" w:eastAsia="Times New Roman" w:hAnsi="Times New Roman"/>
          <w:sz w:val="24"/>
          <w:szCs w:val="24"/>
        </w:rPr>
        <w:t xml:space="preserve">The implemented architecture matches the Review I design (Figure 1). A React console and downstream enforcement consumers are the only clients. A FastAPI service owns authentication, TLP policy, ingest, GraphRAG orchestration, audit and operations. Four NoSQL engines sit behind it, each with a closed set of operations, and a locally hosted LLM is called only by the GraphRAG orchestrator.</w:t>
      </w:r>
    </w:p>
    <w:p>
      <w:pPr>
        <w:keepNext/>
        <w:spacing w:after="40" w:before="120"/>
        <w:jc w:val="center"/>
      </w:pPr>
      <w:r>
        <w:drawing>
          <wp:inline distT="0" distB="0" distL="0" distR="0">
            <wp:extent cx="6096000" cy="3486150"/>
            <wp:effectExtent t="0" r="0" b="0" l="0"/>
            <wp:docPr id="1" name="Implemented architecture: clients, API and orchestration, four NoSQL stores and the local model." descr="Implemented architecture: clients, API and orchestration, four NoSQL stores and the local model." title="Implemented architecture: clients, API and orchestration, four NoSQL stores and the loc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4861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  Implemented architecture: clients, API and orchestration, four NoSQL stores and the local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2338"/>
      </w:tblGrid>
      <w:tr>
        <w:trPr>
          <w:cantSplit/>
          <w:tblHeader/>
        </w:trPr>
        <w:tc>
          <w:tcPr>
            <w:tcW w:type="dxa" w:w="1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Store</w:t>
            </w:r>
          </w:p>
        </w:tc>
        <w:tc>
          <w:tcPr>
            <w:tcW w:type="dxa" w:w="29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Owns</w:t>
            </w:r>
          </w:p>
        </w:tc>
        <w:tc>
          <w:tcPr>
            <w:tcW w:type="dxa" w:w="29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Operations used</w:t>
            </w:r>
          </w:p>
        </w:tc>
        <w:tc>
          <w:tcPr>
            <w:tcW w:type="dxa" w:w="23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Why not another store</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Neo4j 5</w:t>
            </w:r>
          </w:p>
        </w:tc>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threat knowledge graph (8 labels, 12 relationship types)</w:t>
            </w:r>
          </w:p>
        </w:tc>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MERGE by unique id; 1–3 hop paths with a hub budget; shortestPath</w:t>
            </w:r>
          </w:p>
        </w:tc>
        <w:tc>
          <w:tcPr>
            <w:tcW w:type="dxa" w:w="2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joins across documents are application code; Redis and Qdrant have no traversal</w:t>
            </w:r>
          </w:p>
        </w:tc>
      </w:tr>
      <w:tr>
        <w:trPr>
          <w:cantSplit/>
          <w:tblHeader w:val="false"/>
        </w:trPr>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MongoDB 7</w:t>
            </w:r>
          </w:p>
        </w:tc>
        <w:tc>
          <w:tcPr>
            <w:tcW w:type="dxa" w:w="2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reports, STIX bundles, users, audit log, ingest jobs</w:t>
            </w:r>
          </w:p>
        </w:tc>
        <w:tc>
          <w:tcPr>
            <w:tcW w:type="dxa" w:w="2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get / hydrate by _id; multikey indexes on actors and IOCs; TLP $in filter</w:t>
            </w:r>
          </w:p>
        </w:tc>
        <w:tc>
          <w:tcPr>
            <w:tcW w:type="dxa" w:w="2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a graph node cannot hold report bodies with arbitrary nested fields</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Redis 7</w:t>
            </w:r>
          </w:p>
        </w:tc>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hot IOC blocklist</w:t>
            </w:r>
          </w:p>
        </w:tc>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GET + TTL pipelined; SET EX; sorted-set expiry index</w:t>
            </w:r>
          </w:p>
        </w:tc>
        <w:tc>
          <w:tcPr>
            <w:tcW w:type="dxa" w:w="2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only Redis gives O(1) lookup with native per-key expiry</w:t>
            </w:r>
          </w:p>
        </w:tc>
      </w:tr>
      <w:tr>
        <w:trPr>
          <w:cantSplit/>
          <w:tblHeader w:val="false"/>
        </w:trPr>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Qdrant 1.13</w:t>
            </w:r>
          </w:p>
        </w:tc>
        <w:tc>
          <w:tcPr>
            <w:tcW w:type="dxa" w:w="2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report chunk embeddings</w:t>
            </w:r>
          </w:p>
        </w:tc>
        <w:tc>
          <w:tcPr>
            <w:tcW w:type="dxa" w:w="2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filtered k-NN (HNSW, cosine); payload indexes</w:t>
            </w:r>
          </w:p>
        </w:tc>
        <w:tc>
          <w:tcPr>
            <w:tcW w:type="dxa" w:w="2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no other store offers ANN search with payload filters</w:t>
            </w:r>
          </w:p>
        </w:tc>
      </w:tr>
    </w:tbl>
    <w:p>
      <w:pPr>
        <w:spacing w:after="240" w:before="60"/>
        <w:jc w:val="center"/>
      </w:pPr>
      <w:r>
        <w:rPr>
          <w:rFonts w:ascii="Times New Roman" w:cs="Times New Roman" w:eastAsia="Times New Roman" w:hAnsi="Times New Roman"/>
          <w:i/>
          <w:iCs/>
          <w:sz w:val="20"/>
          <w:szCs w:val="20"/>
        </w:rPr>
        <w:t xml:space="preserve">Table 2.  Responsibilities and closed operation set of each store.</w:t>
      </w:r>
    </w:p>
    <w:p>
      <w:pPr>
        <w:spacing w:after="160" w:line="340"/>
        <w:jc w:val="both"/>
      </w:pPr>
      <w:r>
        <w:rPr>
          <w:rFonts w:ascii="Times New Roman" w:cs="Times New Roman" w:eastAsia="Times New Roman" w:hAnsi="Times New Roman"/>
          <w:sz w:val="24"/>
          <w:szCs w:val="24"/>
        </w:rPr>
        <w:t xml:space="preserve">Three keys join the stores (Figures 2 and 3): a report's </w:t>
      </w:r>
      <w:r>
        <w:rPr>
          <w:rFonts w:ascii="Courier New" w:cs="Courier New" w:eastAsia="Courier New" w:hAnsi="Courier New"/>
          <w:sz w:val="20"/>
          <w:szCs w:val="20"/>
        </w:rPr>
        <w:t xml:space="preserve">_id</w:t>
      </w:r>
      <w:r>
        <w:rPr>
          <w:rFonts w:ascii="Times New Roman" w:cs="Times New Roman" w:eastAsia="Times New Roman" w:hAnsi="Times New Roman"/>
          <w:sz w:val="24"/>
          <w:szCs w:val="24"/>
        </w:rPr>
        <w:t xml:space="preserve"> in MongoDB is the </w:t>
      </w:r>
      <w:r>
        <w:rPr>
          <w:rFonts w:ascii="Courier New" w:cs="Courier New" w:eastAsia="Courier New" w:hAnsi="Courier New"/>
          <w:sz w:val="20"/>
          <w:szCs w:val="20"/>
        </w:rPr>
        <w:t xml:space="preserve">id</w:t>
      </w:r>
      <w:r>
        <w:rPr>
          <w:rFonts w:ascii="Times New Roman" w:cs="Times New Roman" w:eastAsia="Times New Roman" w:hAnsi="Times New Roman"/>
          <w:sz w:val="24"/>
          <w:szCs w:val="24"/>
        </w:rPr>
        <w:t xml:space="preserve"> of its </w:t>
      </w:r>
      <w:r>
        <w:rPr>
          <w:rFonts w:ascii="Courier New" w:cs="Courier New" w:eastAsia="Courier New" w:hAnsi="Courier New"/>
          <w:sz w:val="20"/>
          <w:szCs w:val="20"/>
        </w:rPr>
        <w:t xml:space="preserve">Report</w:t>
      </w:r>
      <w:r>
        <w:rPr>
          <w:rFonts w:ascii="Times New Roman" w:cs="Times New Roman" w:eastAsia="Times New Roman" w:hAnsi="Times New Roman"/>
          <w:sz w:val="24"/>
          <w:szCs w:val="24"/>
        </w:rPr>
        <w:t xml:space="preserve"> node and the </w:t>
      </w:r>
      <w:r>
        <w:rPr>
          <w:rFonts w:ascii="Courier New" w:cs="Courier New" w:eastAsia="Courier New" w:hAnsi="Courier New"/>
          <w:sz w:val="20"/>
          <w:szCs w:val="20"/>
        </w:rPr>
        <w:t xml:space="preserve">report_id</w:t>
      </w:r>
      <w:r>
        <w:rPr>
          <w:rFonts w:ascii="Times New Roman" w:cs="Times New Roman" w:eastAsia="Times New Roman" w:hAnsi="Times New Roman"/>
          <w:sz w:val="24"/>
          <w:szCs w:val="24"/>
        </w:rPr>
        <w:t xml:space="preserve"> in every Qdrant point payload; and an indicator's </w:t>
      </w:r>
      <w:r>
        <w:rPr>
          <w:rFonts w:ascii="Courier New" w:cs="Courier New" w:eastAsia="Courier New" w:hAnsi="Courier New"/>
          <w:sz w:val="20"/>
          <w:szCs w:val="20"/>
        </w:rPr>
        <w:t xml:space="preserve">(type, value)</w:t>
      </w:r>
      <w:r>
        <w:rPr>
          <w:rFonts w:ascii="Times New Roman" w:cs="Times New Roman" w:eastAsia="Times New Roman" w:hAnsi="Times New Roman"/>
          <w:sz w:val="24"/>
          <w:szCs w:val="24"/>
        </w:rPr>
        <w:t xml:space="preserve"> is both an </w:t>
      </w:r>
      <w:r>
        <w:rPr>
          <w:rFonts w:ascii="Courier New" w:cs="Courier New" w:eastAsia="Courier New" w:hAnsi="Courier New"/>
          <w:sz w:val="20"/>
          <w:szCs w:val="20"/>
        </w:rPr>
        <w:t xml:space="preserve">Indicator</w:t>
      </w:r>
      <w:r>
        <w:rPr>
          <w:rFonts w:ascii="Times New Roman" w:cs="Times New Roman" w:eastAsia="Times New Roman" w:hAnsi="Times New Roman"/>
          <w:sz w:val="24"/>
          <w:szCs w:val="24"/>
        </w:rPr>
        <w:t xml:space="preserve"> node key and the Redis key </w:t>
      </w:r>
      <w:r>
        <w:rPr>
          <w:rFonts w:ascii="Courier New" w:cs="Courier New" w:eastAsia="Courier New" w:hAnsi="Courier New"/>
          <w:sz w:val="20"/>
          <w:szCs w:val="20"/>
        </w:rPr>
        <w:t xml:space="preserve">ioc:{type}:{value}</w:t>
      </w:r>
      <w:r>
        <w:rPr>
          <w:rFonts w:ascii="Times New Roman" w:cs="Times New Roman" w:eastAsia="Times New Roman" w:hAnsi="Times New Roman"/>
          <w:sz w:val="24"/>
          <w:szCs w:val="24"/>
        </w:rPr>
        <w:t xml:space="preserve">. These joins are verified by the integrity check in Section 5.3.</w:t>
      </w:r>
    </w:p>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5.  Data Model</w:t>
      </w:r>
    </w:p>
    <w:p>
      <w:pPr>
        <w:pStyle w:val="Heading2"/>
        <w:keepNext/>
        <w:spacing w:after="120" w:before="240"/>
      </w:pPr>
      <w:r>
        <w:rPr>
          <w:rFonts w:ascii="Times New Roman" w:cs="Times New Roman" w:eastAsia="Times New Roman" w:hAnsi="Times New Roman"/>
          <w:b/>
          <w:bCs/>
          <w:color w:val="1B4F72"/>
          <w:sz w:val="26"/>
          <w:szCs w:val="26"/>
        </w:rPr>
        <w:t xml:space="preserve">5.1  Threat knowledge graph</w:t>
      </w:r>
    </w:p>
    <w:p>
      <w:pPr>
        <w:spacing w:after="160" w:line="340"/>
        <w:jc w:val="both"/>
      </w:pPr>
      <w:r>
        <w:rPr>
          <w:rFonts w:ascii="Times New Roman" w:cs="Times New Roman" w:eastAsia="Times New Roman" w:hAnsi="Times New Roman"/>
          <w:sz w:val="24"/>
          <w:szCs w:val="24"/>
        </w:rPr>
        <w:t xml:space="preserve">Figure 2 shows the property graph as implemented. Identifiers are unique per label (constraints), commodity tools such as Mimikatz and Cobalt Strike are deliberately shared nodes, and </w:t>
      </w:r>
      <w:r>
        <w:rPr>
          <w:rFonts w:ascii="Courier New" w:cs="Courier New" w:eastAsia="Courier New" w:hAnsi="Courier New"/>
          <w:sz w:val="20"/>
          <w:szCs w:val="20"/>
        </w:rPr>
        <w:t xml:space="preserve">Indicator</w:t>
      </w:r>
      <w:r>
        <w:rPr>
          <w:rFonts w:ascii="Times New Roman" w:cs="Times New Roman" w:eastAsia="Times New Roman" w:hAnsi="Times New Roman"/>
          <w:sz w:val="24"/>
          <w:szCs w:val="24"/>
        </w:rPr>
        <w:t xml:space="preserve"> nodes persist after their Redis key expires so that history and enforcement can disagree — the basis of use case UC4. The seed corpus loads 87 nodes and 162 relationships.</w:t>
      </w:r>
    </w:p>
    <w:p>
      <w:pPr>
        <w:keepNext/>
        <w:spacing w:after="40" w:before="120"/>
        <w:jc w:val="center"/>
      </w:pPr>
      <w:r>
        <w:drawing>
          <wp:inline distT="0" distB="0" distL="0" distR="0">
            <wp:extent cx="5715000" cy="3571875"/>
            <wp:effectExtent t="0" r="0" b="0" l="0"/>
            <wp:docPr id="1" name="Graph schema (Neo4j): labels, key properties and relationship types." descr="Graph schema (Neo4j): labels, key properties and relationship types." title="Graph schema (Neo4j): labels, key properties and relationship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  Graph schema (Neo4j): labels, key properties and relationship types.</w:t>
      </w:r>
    </w:p>
    <w:p>
      <w:pPr>
        <w:pStyle w:val="Heading2"/>
        <w:keepNext/>
        <w:spacing w:after="120" w:before="240"/>
      </w:pPr>
      <w:r>
        <w:rPr>
          <w:rFonts w:ascii="Times New Roman" w:cs="Times New Roman" w:eastAsia="Times New Roman" w:hAnsi="Times New Roman"/>
          <w:b/>
          <w:bCs/>
          <w:color w:val="1B4F72"/>
          <w:sz w:val="26"/>
          <w:szCs w:val="26"/>
        </w:rPr>
        <w:t xml:space="preserve">5.2  Document, vector and key–value schemas</w:t>
      </w:r>
    </w:p>
    <w:p>
      <w:pPr>
        <w:spacing w:after="160" w:line="340"/>
        <w:jc w:val="both"/>
      </w:pPr>
      <w:r>
        <w:rPr>
          <w:rFonts w:ascii="Times New Roman" w:cs="Times New Roman" w:eastAsia="Times New Roman" w:hAnsi="Times New Roman"/>
          <w:sz w:val="24"/>
          <w:szCs w:val="24"/>
        </w:rPr>
        <w:t xml:space="preserve">Reports share a small core envelope and diverge in report-specific fields (</w:t>
      </w:r>
      <w:r>
        <w:rPr>
          <w:rFonts w:ascii="Courier New" w:cs="Courier New" w:eastAsia="Courier New" w:hAnsi="Courier New"/>
          <w:sz w:val="20"/>
          <w:szCs w:val="20"/>
        </w:rPr>
        <w:t xml:space="preserve">attribution</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build_pipeline</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ics_protocols</w:t>
      </w:r>
      <w:r>
        <w:rPr>
          <w:rFonts w:ascii="Times New Roman" w:cs="Times New Roman" w:eastAsia="Times New Roman" w:hAnsi="Times New Roman"/>
          <w:sz w:val="24"/>
          <w:szCs w:val="24"/>
        </w:rPr>
        <w:t xml:space="preserve">), stored without migrations. Each report body is split into chunks of at most 420 characters; each chunk is a Qdrant point whose payload carries the fields that filters need. The Redis plane holds one string key per live IOC, expiring with </w:t>
      </w:r>
      <w:r>
        <w:rPr>
          <w:rFonts w:ascii="Courier New" w:cs="Courier New" w:eastAsia="Courier New" w:hAnsi="Courier New"/>
          <w:sz w:val="20"/>
          <w:szCs w:val="20"/>
        </w:rPr>
        <w:t xml:space="preserve">EX</w:t>
      </w:r>
      <w:r>
        <w:rPr>
          <w:rFonts w:ascii="Times New Roman" w:cs="Times New Roman" w:eastAsia="Times New Roman" w:hAnsi="Times New Roman"/>
          <w:sz w:val="24"/>
          <w:szCs w:val="24"/>
        </w:rPr>
        <w:t xml:space="preserve">, plus a sorted set scored by expiry time for the hot-set view.</w:t>
      </w:r>
    </w:p>
    <w:p>
      <w:pPr>
        <w:keepNext/>
        <w:spacing w:after="40" w:before="120"/>
        <w:jc w:val="center"/>
      </w:pPr>
      <w:r>
        <w:drawing>
          <wp:inline distT="0" distB="0" distL="0" distR="0">
            <wp:extent cx="6096000" cy="1676400"/>
            <wp:effectExtent t="0" r="0" b="0" l="0"/>
            <wp:docPr id="1" name="Document (MongoDB), vector (Qdrant) and key–value (Redis) schemas with their indexes." descr="Document (MongoDB), vector (Qdrant) and key–value (Redis) schemas with their indexes." title="Document (MongoDB), vector (Qdrant) and key–value (Redis) schemas with their inde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6764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3.  Document (MongoDB), vector (Qdrant) and key–value (Redis) schemas with their indexes.</w:t>
      </w:r>
    </w:p>
    <w:p>
      <w:pPr>
        <w:pStyle w:val="Heading2"/>
        <w:keepNext/>
        <w:spacing w:after="120" w:before="240"/>
      </w:pPr>
      <w:r>
        <w:rPr>
          <w:rFonts w:ascii="Times New Roman" w:cs="Times New Roman" w:eastAsia="Times New Roman" w:hAnsi="Times New Roman"/>
          <w:b/>
          <w:bCs/>
          <w:color w:val="1B4F72"/>
          <w:sz w:val="26"/>
          <w:szCs w:val="26"/>
        </w:rPr>
        <w:t xml:space="preserve">5.3  Indexes, constraints and cross-store integrity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738"/>
      </w:tblGrid>
      <w:tr>
        <w:trPr>
          <w:cantSplit/>
          <w:tblHeader/>
        </w:trPr>
        <w:tc>
          <w:tcPr>
            <w:tcW w:type="dxa" w:w="1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Store</w:t>
            </w:r>
          </w:p>
        </w:tc>
        <w:tc>
          <w:tcPr>
            <w:tcW w:type="dxa" w:w="44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Index or constraint</w:t>
            </w:r>
          </w:p>
        </w:tc>
        <w:tc>
          <w:tcPr>
            <w:tcW w:type="dxa" w:w="37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Serves</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Neo4j</w:t>
            </w:r>
          </w:p>
        </w:tc>
        <w:tc>
          <w:tcPr>
            <w:tcW w:type="dxa" w:w="4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unique id on ThreatActor, Campaign, Malware, Infrastructure, Technique, Victim, Report; unique (type, value) on Indicator; range indexes on Infrastructure.value, Indicator.value, Indicator.id</w:t>
            </w:r>
          </w:p>
        </w:tc>
        <w:tc>
          <w:tcPr>
            <w:tcW w:type="dxa" w:w="37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MERGE during ingest; id lookups (index seek); IOC → graph lookups</w:t>
            </w:r>
          </w:p>
        </w:tc>
      </w:tr>
      <w:tr>
        <w:trPr>
          <w:cantSplit/>
          <w:tblHeader w:val="false"/>
        </w:trPr>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MongoDB</w:t>
            </w:r>
          </w:p>
        </w:tc>
        <w:tc>
          <w:tcPr>
            <w:tcW w:type="dxa" w:w="4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reports: actors, iocs (multikey), date (desc), tlp; audit_log.ts; ingest_jobs.created_at; users.username (unique)</w:t>
            </w:r>
          </w:p>
        </w:tc>
        <w:tc>
          <w:tcPr>
            <w:tcW w:type="dxa" w:w="37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TLP-filtered listing; IOC history (UC4); newest-first views</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Qdrant</w:t>
            </w:r>
          </w:p>
        </w:tc>
        <w:tc>
          <w:tcPr>
            <w:tcW w:type="dxa" w:w="4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HNSW (m = 16, ef_construct = 100); keyword payload indexes report_id, actors, tlp; integer date_ts</w:t>
            </w:r>
          </w:p>
        </w:tc>
        <w:tc>
          <w:tcPr>
            <w:tcW w:type="dxa" w:w="37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filtered k-NN; delete chunks of a report</w:t>
            </w:r>
          </w:p>
        </w:tc>
      </w:tr>
      <w:tr>
        <w:trPr>
          <w:cantSplit/>
          <w:tblHeader w:val="false"/>
        </w:trPr>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Redis</w:t>
            </w:r>
          </w:p>
        </w:tc>
        <w:tc>
          <w:tcPr>
            <w:tcW w:type="dxa" w:w="4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key ioc:{type}:{value}; ZSET ioc:index</w:t>
            </w:r>
          </w:p>
        </w:tc>
        <w:tc>
          <w:tcPr>
            <w:tcW w:type="dxa" w:w="37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O(1) enforcement lookup; hot set and expiry listing</w:t>
            </w:r>
          </w:p>
        </w:tc>
      </w:tr>
    </w:tbl>
    <w:p>
      <w:pPr>
        <w:spacing w:after="240" w:before="60"/>
        <w:jc w:val="center"/>
      </w:pPr>
      <w:r>
        <w:rPr>
          <w:rFonts w:ascii="Times New Roman" w:cs="Times New Roman" w:eastAsia="Times New Roman" w:hAnsi="Times New Roman"/>
          <w:i/>
          <w:iCs/>
          <w:sz w:val="20"/>
          <w:szCs w:val="20"/>
        </w:rPr>
        <w:t xml:space="preserve">Table 3.  Indexes and constraints (schema version 2, created at start-up by ensure_schema).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1600"/>
        <w:gridCol w:w="2638"/>
      </w:tblGrid>
      <w:tr>
        <w:trPr>
          <w:cantSplit/>
          <w:tblHeader/>
        </w:trPr>
        <w:tc>
          <w:tcPr>
            <w:tcW w:type="dxa" w:w="54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Integrity rule (Section 8.5 of Review I)</w:t>
            </w:r>
          </w:p>
        </w:tc>
        <w:tc>
          <w:tcPr>
            <w:tcW w:type="dxa" w:w="16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Kind</w:t>
            </w:r>
          </w:p>
        </w:tc>
        <w:tc>
          <w:tcPr>
            <w:tcW w:type="dxa" w:w="26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Effect if violated</w:t>
            </w:r>
          </w:p>
        </w:tc>
      </w:tr>
      <w:tr>
        <w:trPr>
          <w:cantSplit/>
          <w:tblHeader w:val="false"/>
        </w:trPr>
        <w:tc>
          <w:tcPr>
            <w:tcW w:type="dxa" w:w="5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Every MongoDB report has a Report node</w:t>
            </w:r>
          </w:p>
        </w:tc>
        <w:tc>
          <w:tcPr>
            <w:tcW w:type="dxa" w:w="1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hard</w:t>
            </w:r>
          </w:p>
        </w:tc>
        <w:tc>
          <w:tcPr>
            <w:tcW w:type="dxa" w:w="2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GraphRAG would cite a report with no graph context</w:t>
            </w:r>
          </w:p>
        </w:tc>
      </w:tr>
      <w:tr>
        <w:trPr>
          <w:cantSplit/>
          <w:tblHeader w:val="false"/>
        </w:trPr>
        <w:tc>
          <w:tcPr>
            <w:tcW w:type="dxa" w:w="5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Every Report node has a MongoDB document</w:t>
            </w:r>
          </w:p>
        </w:tc>
        <w:tc>
          <w:tcPr>
            <w:tcW w:type="dxa" w:w="1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hard</w:t>
            </w:r>
          </w:p>
        </w:tc>
        <w:tc>
          <w:tcPr>
            <w:tcW w:type="dxa" w:w="2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hydration fails</w:t>
            </w:r>
          </w:p>
        </w:tc>
      </w:tr>
      <w:tr>
        <w:trPr>
          <w:cantSplit/>
          <w:tblHeader w:val="false"/>
        </w:trPr>
        <w:tc>
          <w:tcPr>
            <w:tcW w:type="dxa" w:w="5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Every Qdrant point.report_id exists in MongoDB</w:t>
            </w:r>
          </w:p>
        </w:tc>
        <w:tc>
          <w:tcPr>
            <w:tcW w:type="dxa" w:w="1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hard</w:t>
            </w:r>
          </w:p>
        </w:tc>
        <w:tc>
          <w:tcPr>
            <w:tcW w:type="dxa" w:w="2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orphan chunks; GraphRAG refuses them</w:t>
            </w:r>
          </w:p>
        </w:tc>
      </w:tr>
      <w:tr>
        <w:trPr>
          <w:cantSplit/>
          <w:tblHeader w:val="false"/>
        </w:trPr>
        <w:tc>
          <w:tcPr>
            <w:tcW w:type="dxa" w:w="5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Every live Redis IOC traces to an Indicator node or a report</w:t>
            </w:r>
          </w:p>
        </w:tc>
        <w:tc>
          <w:tcPr>
            <w:tcW w:type="dxa" w:w="1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informational</w:t>
            </w:r>
          </w:p>
        </w:tc>
        <w:tc>
          <w:tcPr>
            <w:tcW w:type="dxa" w:w="2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operators may publish new IOCs (FR12)</w:t>
            </w:r>
          </w:p>
        </w:tc>
      </w:tr>
      <w:tr>
        <w:trPr>
          <w:cantSplit/>
          <w:tblHeader w:val="false"/>
        </w:trPr>
        <w:tc>
          <w:tcPr>
            <w:tcW w:type="dxa" w:w="5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Every MongoDB report has chunks in Qdrant</w:t>
            </w:r>
          </w:p>
        </w:tc>
        <w:tc>
          <w:tcPr>
            <w:tcW w:type="dxa" w:w="1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informational</w:t>
            </w:r>
          </w:p>
        </w:tc>
        <w:tc>
          <w:tcPr>
            <w:tcW w:type="dxa" w:w="2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report not reachable by semantic search</w:t>
            </w:r>
          </w:p>
        </w:tc>
      </w:tr>
    </w:tbl>
    <w:p>
      <w:pPr>
        <w:spacing w:after="240" w:before="60"/>
        <w:jc w:val="center"/>
      </w:pPr>
      <w:r>
        <w:rPr>
          <w:rFonts w:ascii="Times New Roman" w:cs="Times New Roman" w:eastAsia="Times New Roman" w:hAnsi="Times New Roman"/>
          <w:i/>
          <w:iCs/>
          <w:sz w:val="20"/>
          <w:szCs w:val="20"/>
        </w:rPr>
        <w:t xml:space="preserve">Table 4.  Cross-store integrity rules checked by GET /api/admin/integrity and by the evaluation gate.</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6.  Implementation</w:t>
      </w:r>
    </w:p>
    <w:p>
      <w:pPr>
        <w:pStyle w:val="Heading2"/>
        <w:keepNext/>
        <w:spacing w:after="120" w:before="240"/>
      </w:pPr>
      <w:r>
        <w:rPr>
          <w:rFonts w:ascii="Times New Roman" w:cs="Times New Roman" w:eastAsia="Times New Roman" w:hAnsi="Times New Roman"/>
          <w:b/>
          <w:bCs/>
          <w:color w:val="1B4F72"/>
          <w:sz w:val="26"/>
          <w:szCs w:val="26"/>
        </w:rPr>
        <w:t xml:space="preserve">6.1  Codebase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138"/>
      </w:tblGrid>
      <w:tr>
        <w:trPr>
          <w:cantSplit/>
          <w:tblHeader/>
        </w:trPr>
        <w:tc>
          <w:tcPr>
            <w:tcW w:type="dxa" w:w="2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Part</w:t>
            </w:r>
          </w:p>
        </w:tc>
        <w:tc>
          <w:tcPr>
            <w:tcW w:type="dxa" w:w="50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Contents</w:t>
            </w:r>
          </w:p>
        </w:tc>
        <w:tc>
          <w:tcPr>
            <w:tcW w:type="dxa" w:w="21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Size</w:t>
            </w:r>
          </w:p>
        </w:tc>
      </w:tr>
      <w:tr>
        <w:trPr>
          <w:cantSplit/>
          <w:tblHeader w:val="false"/>
        </w:trPr>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backend/app</w:t>
            </w:r>
          </w:p>
        </w:tc>
        <w:tc>
          <w:tcPr>
            <w:tcW w:type="dxa" w:w="5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FastAPI API, store clients, Cypher library, ingest, GraphRAG, security, metrics, seed corpus</w:t>
            </w:r>
          </w:p>
        </w:tc>
        <w:tc>
          <w:tcPr>
            <w:tcW w:type="dxa" w:w="21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3,520 lines of Python</w:t>
            </w:r>
          </w:p>
        </w:tc>
      </w:tr>
      <w:tr>
        <w:trPr>
          <w:cantSplit/>
          <w:tblHeader w:val="false"/>
        </w:trPr>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backend/scripts</w:t>
            </w:r>
          </w:p>
        </w:tc>
        <w:tc>
          <w:tcPr>
            <w:tcW w:type="dxa" w:w="5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evaluation gate (evaluate.py) and benchmark harness (benchmark.py)</w:t>
            </w:r>
          </w:p>
        </w:tc>
        <w:tc>
          <w:tcPr>
            <w:tcW w:type="dxa" w:w="21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696 lines</w:t>
            </w:r>
          </w:p>
        </w:tc>
      </w:tr>
      <w:tr>
        <w:trPr>
          <w:cantSplit/>
          <w:tblHeader w:val="false"/>
        </w:trPr>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backend/tests</w:t>
            </w:r>
          </w:p>
        </w:tc>
        <w:tc>
          <w:tcPr>
            <w:tcW w:type="dxa" w:w="5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16 unit tests and 15 integration tests</w:t>
            </w:r>
          </w:p>
        </w:tc>
        <w:tc>
          <w:tcPr>
            <w:tcW w:type="dxa" w:w="21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381 lines</w:t>
            </w:r>
          </w:p>
        </w:tc>
      </w:tr>
      <w:tr>
        <w:trPr>
          <w:cantSplit/>
          <w:tblHeader w:val="false"/>
        </w:trPr>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frontend/src</w:t>
            </w:r>
          </w:p>
        </w:tc>
        <w:tc>
          <w:tcPr>
            <w:tcW w:type="dxa" w:w="5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React + Vite analyst console, 8 pages and 6 shared components</w:t>
            </w:r>
          </w:p>
        </w:tc>
        <w:tc>
          <w:tcPr>
            <w:tcW w:type="dxa" w:w="21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2,003 lines</w:t>
            </w:r>
          </w:p>
        </w:tc>
      </w:tr>
      <w:tr>
        <w:trPr>
          <w:cantSplit/>
          <w:tblHeader w:val="false"/>
        </w:trPr>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deployment</w:t>
            </w:r>
          </w:p>
        </w:tc>
        <w:tc>
          <w:tcPr>
            <w:tcW w:type="dxa" w:w="5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docker-compose.yml (stores, app and llm profiles), docker-compose.bench.yml, Makefile, CI workflow</w:t>
            </w:r>
          </w:p>
        </w:tc>
        <w:tc>
          <w:tcPr>
            <w:tcW w:type="dxa" w:w="21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w:t>
            </w:r>
          </w:p>
        </w:tc>
      </w:tr>
    </w:tbl>
    <w:p>
      <w:pPr>
        <w:spacing w:after="240" w:before="60"/>
        <w:jc w:val="center"/>
      </w:pPr>
      <w:r>
        <w:rPr>
          <w:rFonts w:ascii="Times New Roman" w:cs="Times New Roman" w:eastAsia="Times New Roman" w:hAnsi="Times New Roman"/>
          <w:i/>
          <w:iCs/>
          <w:sz w:val="20"/>
          <w:szCs w:val="20"/>
        </w:rPr>
        <w:t xml:space="preserve">Table 5.  Code organisation.</w:t>
      </w:r>
    </w:p>
    <w:p>
      <w:pPr>
        <w:pStyle w:val="Heading2"/>
        <w:keepNext/>
        <w:spacing w:after="120" w:before="240"/>
      </w:pPr>
      <w:r>
        <w:rPr>
          <w:rFonts w:ascii="Times New Roman" w:cs="Times New Roman" w:eastAsia="Times New Roman" w:hAnsi="Times New Roman"/>
          <w:b/>
          <w:bCs/>
          <w:color w:val="1B4F72"/>
          <w:sz w:val="26"/>
          <w:szCs w:val="26"/>
        </w:rPr>
        <w:t xml:space="preserve">6.2  Ingest pipeline (FR1)</w:t>
      </w:r>
    </w:p>
    <w:p>
      <w:pPr>
        <w:spacing w:after="160" w:line="340"/>
        <w:jc w:val="both"/>
      </w:pPr>
      <w:r>
        <w:rPr>
          <w:rFonts w:ascii="Times New Roman" w:cs="Times New Roman" w:eastAsia="Times New Roman" w:hAnsi="Times New Roman"/>
          <w:sz w:val="24"/>
          <w:szCs w:val="24"/>
        </w:rPr>
        <w:t xml:space="preserve">An ingest job turns a STIX bundle or a free-text report into a plan — graph nodes and edges, report documents and indicators — and executes it against Neo4j, MongoDB, Qdrant and optionally Redis in that order (Figure 4). STIX objects are merged into existing nodes by name or alias, relationship types are mapped onto the graph vocabulary (for example </w:t>
      </w:r>
      <w:r>
        <w:rPr>
          <w:rFonts w:ascii="Courier New" w:cs="Courier New" w:eastAsia="Courier New" w:hAnsi="Courier New"/>
          <w:sz w:val="20"/>
          <w:szCs w:val="20"/>
        </w:rPr>
        <w:t xml:space="preserve">attributed-to</w:t>
      </w:r>
      <w:r>
        <w:rPr>
          <w:rFonts w:ascii="Times New Roman" w:cs="Times New Roman" w:eastAsia="Times New Roman" w:hAnsi="Times New Roman"/>
          <w:sz w:val="24"/>
          <w:szCs w:val="24"/>
        </w:rPr>
        <w:t xml:space="preserve"> is reversed into </w:t>
      </w:r>
      <w:r>
        <w:rPr>
          <w:rFonts w:ascii="Courier New" w:cs="Courier New" w:eastAsia="Courier New" w:hAnsi="Courier New"/>
          <w:sz w:val="20"/>
          <w:szCs w:val="20"/>
        </w:rPr>
        <w:t xml:space="preserve">ATTRIBUTED_TO_CAMPAIGN</w:t>
      </w:r>
      <w:r>
        <w:rPr>
          <w:rFonts w:ascii="Times New Roman" w:cs="Times New Roman" w:eastAsia="Times New Roman" w:hAnsi="Times New Roman"/>
          <w:sz w:val="24"/>
          <w:szCs w:val="24"/>
        </w:rPr>
        <w:t xml:space="preserve">), TLP comes from marking definitions, and indicator </w:t>
      </w:r>
      <w:r>
        <w:rPr>
          <w:rFonts w:ascii="Courier New" w:cs="Courier New" w:eastAsia="Courier New" w:hAnsi="Courier New"/>
          <w:sz w:val="20"/>
          <w:szCs w:val="20"/>
        </w:rPr>
        <w:t xml:space="preserve">valid_until</w:t>
      </w:r>
      <w:r>
        <w:rPr>
          <w:rFonts w:ascii="Times New Roman" w:cs="Times New Roman" w:eastAsia="Times New Roman" w:hAnsi="Times New Roman"/>
          <w:sz w:val="24"/>
          <w:szCs w:val="24"/>
        </w:rPr>
        <w:t xml:space="preserve"> becomes the Redis TTL. Free text is linked to graph entities, and defanged IOCs such as </w:t>
      </w:r>
      <w:r>
        <w:rPr>
          <w:rFonts w:ascii="Courier New" w:cs="Courier New" w:eastAsia="Courier New" w:hAnsi="Courier New"/>
          <w:sz w:val="20"/>
          <w:szCs w:val="20"/>
        </w:rPr>
        <w:t xml:space="preserve">hxxp://evil[.]com</w:t>
      </w:r>
      <w:r>
        <w:rPr>
          <w:rFonts w:ascii="Times New Roman" w:cs="Times New Roman" w:eastAsia="Times New Roman" w:hAnsi="Times New Roman"/>
          <w:sz w:val="24"/>
          <w:szCs w:val="24"/>
        </w:rPr>
        <w:t xml:space="preserve"> are refanged before extraction. There is no distributed transaction: each step is idempotent and recorded in </w:t>
      </w:r>
      <w:r>
        <w:rPr>
          <w:rFonts w:ascii="Courier New" w:cs="Courier New" w:eastAsia="Courier New" w:hAnsi="Courier New"/>
          <w:sz w:val="20"/>
          <w:szCs w:val="20"/>
        </w:rPr>
        <w:t xml:space="preserve">ingest_jobs</w:t>
      </w:r>
      <w:r>
        <w:rPr>
          <w:rFonts w:ascii="Times New Roman" w:cs="Times New Roman" w:eastAsia="Times New Roman" w:hAnsi="Times New Roman"/>
          <w:sz w:val="24"/>
          <w:szCs w:val="24"/>
        </w:rPr>
        <w:t xml:space="preserve">, so a failed job resumes from the first step that did not finish, and Qdrant refuses to index a document whose </w:t>
      </w:r>
      <w:r>
        <w:rPr>
          <w:rFonts w:ascii="Courier New" w:cs="Courier New" w:eastAsia="Courier New" w:hAnsi="Courier New"/>
          <w:sz w:val="20"/>
          <w:szCs w:val="20"/>
        </w:rPr>
        <w:t xml:space="preserve">Report</w:t>
      </w:r>
      <w:r>
        <w:rPr>
          <w:rFonts w:ascii="Times New Roman" w:cs="Times New Roman" w:eastAsia="Times New Roman" w:hAnsi="Times New Roman"/>
          <w:sz w:val="24"/>
          <w:szCs w:val="24"/>
        </w:rPr>
        <w:t xml:space="preserve"> node is missing.</w:t>
      </w:r>
    </w:p>
    <w:p>
      <w:pPr>
        <w:keepNext/>
        <w:spacing w:after="40" w:before="120"/>
        <w:jc w:val="center"/>
      </w:pPr>
      <w:r>
        <w:drawing>
          <wp:inline distT="0" distB="0" distL="0" distR="0">
            <wp:extent cx="6096000" cy="1790700"/>
            <wp:effectExtent t="0" r="0" b="0" l="0"/>
            <wp:docPr id="1" name="Ingest fan-out with a job log and idempotent retry." descr="Ingest fan-out with a job log and idempotent retry." title="Ingest fan-out with a job log and idempotent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7907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4.  Ingest fan-out with a job log and idempotent retry.</w:t>
      </w:r>
    </w:p>
    <w:p>
      <w:pPr>
        <w:pStyle w:val="Heading2"/>
        <w:keepNext/>
        <w:spacing w:after="120" w:before="240"/>
      </w:pPr>
      <w:r>
        <w:rPr>
          <w:rFonts w:ascii="Times New Roman" w:cs="Times New Roman" w:eastAsia="Times New Roman" w:hAnsi="Times New Roman"/>
          <w:b/>
          <w:bCs/>
          <w:color w:val="1B4F72"/>
          <w:sz w:val="26"/>
          <w:szCs w:val="26"/>
        </w:rPr>
        <w:t xml:space="preserve">6.3  GraphRAG orchestration (FR5, FR7, NFR4)</w:t>
      </w:r>
    </w:p>
    <w:p>
      <w:pPr>
        <w:spacing w:after="160" w:line="340"/>
        <w:jc w:val="both"/>
      </w:pPr>
      <w:r>
        <w:rPr>
          <w:rFonts w:ascii="Times New Roman" w:cs="Times New Roman" w:eastAsia="Times New Roman" w:hAnsi="Times New Roman"/>
          <w:sz w:val="24"/>
          <w:szCs w:val="24"/>
        </w:rPr>
        <w:t xml:space="preserve">Figure 5 traces one question. Entity linking maps names, aliases and IOCs in the question to graph ids. Four channels then retrieve evidence: Qdrant k-NN over chunks with the analyst's TLP as a payload filter; Neo4j expansion of one to three hops from the linked entities, which may end at but never pass through a hub node (degree above 12), so Mimikatz cannot pull in the whole graph; MongoDB hydration of the cited reports, again TLP-checked; and Redis state for every IOC in the evidence. Templated queries add the flagship findings (shared infrastructure, tool users) as citable edges.</w:t>
      </w:r>
    </w:p>
    <w:p>
      <w:pPr>
        <w:keepNext/>
        <w:spacing w:after="40" w:before="120"/>
        <w:jc w:val="center"/>
      </w:pPr>
      <w:r>
        <w:drawing>
          <wp:inline distT="0" distB="0" distL="0" distR="0">
            <wp:extent cx="6096000" cy="3429000"/>
            <wp:effectExtent t="0" r="0" b="0" l="0"/>
            <wp:docPr id="1" name="GraphRAG answer path: retrieval, context pack, prompt budget, local LLM and groundedness gate." descr="GraphRAG answer path: retrieval, context pack, prompt budget, local LLM and groundedness gate." title="GraphRAG answer path: retrieval, context pack, prompt budget, local LLM and groundedness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4290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5.  GraphRAG answer path: retrieval, context pack, prompt budget, local LLM and groundedness gate.</w:t>
      </w:r>
    </w:p>
    <w:p>
      <w:pPr>
        <w:spacing w:after="160" w:line="340"/>
        <w:jc w:val="both"/>
      </w:pPr>
      <w:r>
        <w:rPr>
          <w:rFonts w:ascii="Times New Roman" w:cs="Times New Roman" w:eastAsia="Times New Roman" w:hAnsi="Times New Roman"/>
          <w:sz w:val="24"/>
          <w:szCs w:val="24"/>
        </w:rPr>
        <w:t xml:space="preserve">Every evidence item receives a citation id — </w:t>
      </w:r>
      <w:r>
        <w:rPr>
          <w:rFonts w:ascii="Courier New" w:cs="Courier New" w:eastAsia="Courier New" w:hAnsi="Courier New"/>
          <w:sz w:val="20"/>
          <w:szCs w:val="20"/>
        </w:rPr>
        <w:t xml:space="preserve">[G#]</w:t>
      </w:r>
      <w:r>
        <w:rPr>
          <w:rFonts w:ascii="Times New Roman" w:cs="Times New Roman" w:eastAsia="Times New Roman" w:hAnsi="Times New Roman"/>
          <w:sz w:val="24"/>
          <w:szCs w:val="24"/>
        </w:rPr>
        <w:t xml:space="preserve"> edge, </w:t>
      </w:r>
      <w:r>
        <w:rPr>
          <w:rFonts w:ascii="Courier New" w:cs="Courier New" w:eastAsia="Courier New" w:hAnsi="Courier New"/>
          <w:sz w:val="20"/>
          <w:szCs w:val="20"/>
        </w:rPr>
        <w:t xml:space="preserve">[C#]</w:t>
      </w:r>
      <w:r>
        <w:rPr>
          <w:rFonts w:ascii="Times New Roman" w:cs="Times New Roman" w:eastAsia="Times New Roman" w:hAnsi="Times New Roman"/>
          <w:sz w:val="24"/>
          <w:szCs w:val="24"/>
        </w:rPr>
        <w:t xml:space="preserve"> chunk, </w:t>
      </w:r>
      <w:r>
        <w:rPr>
          <w:rFonts w:ascii="Courier New" w:cs="Courier New" w:eastAsia="Courier New" w:hAnsi="Courier New"/>
          <w:sz w:val="20"/>
          <w:szCs w:val="20"/>
        </w:rPr>
        <w:t xml:space="preserve">[R:id]</w:t>
      </w:r>
      <w:r>
        <w:rPr>
          <w:rFonts w:ascii="Times New Roman" w:cs="Times New Roman" w:eastAsia="Times New Roman" w:hAnsi="Times New Roman"/>
          <w:sz w:val="24"/>
          <w:szCs w:val="24"/>
        </w:rPr>
        <w:t xml:space="preserve"> report, </w:t>
      </w:r>
      <w:r>
        <w:rPr>
          <w:rFonts w:ascii="Courier New" w:cs="Courier New" w:eastAsia="Courier New" w:hAnsi="Courier New"/>
          <w:sz w:val="20"/>
          <w:szCs w:val="20"/>
        </w:rPr>
        <w:t xml:space="preserve">[I#]</w:t>
      </w:r>
      <w:r>
        <w:rPr>
          <w:rFonts w:ascii="Times New Roman" w:cs="Times New Roman" w:eastAsia="Times New Roman" w:hAnsi="Times New Roman"/>
          <w:sz w:val="24"/>
          <w:szCs w:val="24"/>
        </w:rPr>
        <w:t xml:space="preserve"> IOC state. The full pack drives the evidence panel and the audit log, while the LLM receives a trimmed pack (Section 9.8). The groundedness gate splits the answer into sentences, normalises citation variants (</w:t>
      </w:r>
      <w:r>
        <w:rPr>
          <w:rFonts w:ascii="Courier New" w:cs="Courier New" w:eastAsia="Courier New" w:hAnsi="Courier New"/>
          <w:sz w:val="20"/>
          <w:szCs w:val="20"/>
        </w:rPr>
        <w:t xml:space="preserve">[G1-G4]</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(G20)</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[rpt-001]</w:t>
      </w:r>
      <w:r>
        <w:rPr>
          <w:rFonts w:ascii="Times New Roman" w:cs="Times New Roman" w:eastAsia="Times New Roman" w:hAnsi="Times New Roman"/>
          <w:sz w:val="24"/>
          <w:szCs w:val="24"/>
        </w:rPr>
        <w:t xml:space="preserve">), keeps a sentence only if one of its tags exists in the pack, and refuses the answer when fewer than half of the sentences survive. A refused LLM answer falls back to a deterministic retrieve-only answer rendered from the same evidence, which is gated again; the same path serves when the LLM is unreachable. The answer inherits the highest TLP of the documents it cites.</w:t>
      </w:r>
    </w:p>
    <w:p>
      <w:pPr>
        <w:pStyle w:val="Heading2"/>
        <w:keepNext/>
        <w:spacing w:after="120" w:before="240"/>
      </w:pPr>
      <w:r>
        <w:rPr>
          <w:rFonts w:ascii="Times New Roman" w:cs="Times New Roman" w:eastAsia="Times New Roman" w:hAnsi="Times New Roman"/>
          <w:b/>
          <w:bCs/>
          <w:color w:val="1B4F72"/>
          <w:sz w:val="26"/>
          <w:szCs w:val="26"/>
        </w:rPr>
        <w:t xml:space="preserve">6.4  Security and access control (FR11, NFR3, NFR8)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Control</w:t>
            </w:r>
          </w:p>
        </w:tc>
        <w:tc>
          <w:tcPr>
            <w:tcW w:type="dxa" w:w="66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Implementation</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Authentication</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JWT (HS256, 8-hour expiry); PBKDF2-SHA256 password hashes with 200,000 iterations</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Roles</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analyst (query), lead (+ publish/revoke IOCs, ingest), admin (+ seed, reindex, delete reports, all audit entries)</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TLP clearance</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WHITE &lt; GREEN &lt; AMBER &lt; RED (CLEAR → WHITE, AMBER+STRICT → AMBER, unknown → AMBER); enforced on report lists, report detail (403), semantic search, GraphRAG context, answer labels and audit visibility</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Enforcement API</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separate API-key surface for firewalls, EDR and SIEM; reads Redis only; a miss is never resolved from MongoDB; Redis down → HTTP 503 with blocked: true (fail closed)</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Audit</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every answer stores its hops, chunks, documents and IOC states; replay re-verifies each against the live stores</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Data residency</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local LLM through Ollama and local embeddings; no cloud API is called (NFR1)</w:t>
            </w:r>
          </w:p>
        </w:tc>
      </w:tr>
    </w:tbl>
    <w:p>
      <w:pPr>
        <w:spacing w:after="240" w:before="60"/>
        <w:jc w:val="center"/>
      </w:pPr>
      <w:r>
        <w:rPr>
          <w:rFonts w:ascii="Times New Roman" w:cs="Times New Roman" w:eastAsia="Times New Roman" w:hAnsi="Times New Roman"/>
          <w:i/>
          <w:iCs/>
          <w:sz w:val="20"/>
          <w:szCs w:val="20"/>
        </w:rPr>
        <w:t xml:space="preserve">Table 6.  Security controls.</w:t>
      </w:r>
    </w:p>
    <w:p>
      <w:pPr>
        <w:pStyle w:val="Heading2"/>
        <w:keepNext/>
        <w:spacing w:after="120" w:before="240"/>
      </w:pPr>
      <w:r>
        <w:rPr>
          <w:rFonts w:ascii="Times New Roman" w:cs="Times New Roman" w:eastAsia="Times New Roman" w:hAnsi="Times New Roman"/>
          <w:b/>
          <w:bCs/>
          <w:color w:val="1B4F72"/>
          <w:sz w:val="26"/>
          <w:szCs w:val="26"/>
        </w:rPr>
        <w:t xml:space="preserve">6.5  Analyst console</w:t>
      </w:r>
    </w:p>
    <w:p>
      <w:pPr>
        <w:spacing w:after="160" w:line="340"/>
        <w:jc w:val="both"/>
      </w:pPr>
      <w:r>
        <w:rPr>
          <w:rFonts w:ascii="Times New Roman" w:cs="Times New Roman" w:eastAsia="Times New Roman" w:hAnsi="Times New Roman"/>
          <w:sz w:val="24"/>
          <w:szCs w:val="24"/>
        </w:rPr>
        <w:t xml:space="preserve">The console has eight pages: GraphRAG console, graph explorer, report browser, IOC blocklist, semantic search, ingest, audit and replay, and operations. Figure 6 shows the GraphRAG console answering acceptance question 4: citation chips link each sentence to its evidence, the commodity-hub caution appears beside the answer, and the evidence panel animates the cited hops. The user manual documents every page.</w:t>
      </w:r>
    </w:p>
    <w:p>
      <w:pPr>
        <w:keepNext/>
        <w:spacing w:after="40" w:before="120"/>
        <w:jc w:val="center"/>
      </w:pPr>
      <w:r>
        <w:drawing>
          <wp:inline distT="0" distB="0" distL="0" distR="0">
            <wp:extent cx="6096000" cy="3810000"/>
            <wp:effectExtent t="0" r="0" b="0" l="0"/>
            <wp:docPr id="1" name="GraphRAG console: cited answer, hub caution and the evidence panel (llama3.2:3b, 100% citation coverage)." descr="GraphRAG console: cited answer, hub caution and the evidence panel (llama3.2:3b, 100% citation coverage)." title="GraphRAG console: cited answer, hub caution and the evidence panel (llama3.2:3b, 100% citation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00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6.  GraphRAG console: cited answer, hub caution and the evidence panel (llama3.2:3b, 100% citation coverage).</w:t>
      </w:r>
    </w:p>
    <w:p>
      <w:pPr>
        <w:pStyle w:val="Heading2"/>
        <w:keepNext/>
        <w:spacing w:after="120" w:before="240"/>
      </w:pPr>
      <w:r>
        <w:rPr>
          <w:rFonts w:ascii="Times New Roman" w:cs="Times New Roman" w:eastAsia="Times New Roman" w:hAnsi="Times New Roman"/>
          <w:b/>
          <w:bCs/>
          <w:color w:val="1B4F72"/>
          <w:sz w:val="26"/>
          <w:szCs w:val="26"/>
        </w:rPr>
        <w:t xml:space="preserve">6.6  Deployment and operations</w:t>
      </w:r>
    </w:p>
    <w:p>
      <w:pPr>
        <w:spacing w:after="160" w:line="340"/>
        <w:jc w:val="both"/>
      </w:pPr>
      <w:r>
        <w:rPr>
          <w:rFonts w:ascii="Courier New" w:cs="Courier New" w:eastAsia="Courier New" w:hAnsi="Courier New"/>
          <w:sz w:val="20"/>
          <w:szCs w:val="20"/>
        </w:rPr>
        <w:t xml:space="preserve">docker compose up -d</w:t>
      </w:r>
      <w:r>
        <w:rPr>
          <w:rFonts w:ascii="Times New Roman" w:cs="Times New Roman" w:eastAsia="Times New Roman" w:hAnsi="Times New Roman"/>
          <w:sz w:val="24"/>
          <w:szCs w:val="24"/>
        </w:rPr>
        <w:t xml:space="preserve"> starts the four stores; the </w:t>
      </w:r>
      <w:r>
        <w:rPr>
          <w:rFonts w:ascii="Courier New" w:cs="Courier New" w:eastAsia="Courier New" w:hAnsi="Courier New"/>
          <w:sz w:val="20"/>
          <w:szCs w:val="20"/>
        </w:rPr>
        <w:t xml:space="preserve">app</w:t>
      </w:r>
      <w:r>
        <w:rPr>
          <w:rFonts w:ascii="Times New Roman" w:cs="Times New Roman" w:eastAsia="Times New Roman" w:hAnsi="Times New Roman"/>
          <w:sz w:val="24"/>
          <w:szCs w:val="24"/>
        </w:rPr>
        <w:t xml:space="preserve"> profile adds the API and an nginx-served console, and the </w:t>
      </w:r>
      <w:r>
        <w:rPr>
          <w:rFonts w:ascii="Courier New" w:cs="Courier New" w:eastAsia="Courier New" w:hAnsi="Courier New"/>
          <w:sz w:val="20"/>
          <w:szCs w:val="20"/>
        </w:rPr>
        <w:t xml:space="preserve">llm</w:t>
      </w:r>
      <w:r>
        <w:rPr>
          <w:rFonts w:ascii="Times New Roman" w:cs="Times New Roman" w:eastAsia="Times New Roman" w:hAnsi="Times New Roman"/>
          <w:sz w:val="24"/>
          <w:szCs w:val="24"/>
        </w:rPr>
        <w:t xml:space="preserve"> profile an Ollama container. On first start the API creates the schema and seeds an empty stack. The operations page shows store health, per-store latency percentiles against their SLOs and the integrity check. Dumps of all four stores and a restore script support reproducibility (NFR5), and GitHub Actions runs the test tiers against fresh service containers on every push.</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7.  Innovation and Technical Complexity</w:t>
      </w:r>
    </w:p>
    <w:p>
      <w:pPr>
        <w:pStyle w:val="Heading2"/>
        <w:keepNext/>
        <w:spacing w:after="120" w:before="240"/>
      </w:pPr>
      <w:r>
        <w:rPr>
          <w:rFonts w:ascii="Times New Roman" w:cs="Times New Roman" w:eastAsia="Times New Roman" w:hAnsi="Times New Roman"/>
          <w:b/>
          <w:bCs/>
          <w:color w:val="1B4F72"/>
          <w:sz w:val="26"/>
          <w:szCs w:val="26"/>
        </w:rPr>
        <w:t xml:space="preserve">7.1  Novel features</w:t>
      </w:r>
    </w:p>
    <w:p>
      <w:pPr>
        <w:pStyle w:val="ListParagraph"/>
        <w:numPr>
          <w:ilvl w:val="0"/>
          <w:numId w:val="2"/>
        </w:numPr>
        <w:spacing w:after="70" w:line="300"/>
      </w:pPr>
      <w:r>
        <w:rPr>
          <w:rFonts w:ascii="Times New Roman" w:cs="Times New Roman" w:eastAsia="Times New Roman" w:hAnsi="Times New Roman"/>
          <w:b/>
          <w:bCs/>
          <w:sz w:val="24"/>
          <w:szCs w:val="24"/>
        </w:rPr>
        <w:t xml:space="preserve">Four-store GraphRAG with typed citations. </w:t>
      </w:r>
      <w:r>
        <w:rPr>
          <w:rFonts w:ascii="Times New Roman" w:cs="Times New Roman" w:eastAsia="Times New Roman" w:hAnsi="Times New Roman"/>
          <w:sz w:val="24"/>
          <w:szCs w:val="24"/>
        </w:rPr>
        <w:t xml:space="preserve">Evidence from a graph, a document store, a vector index and a key–value cache is unified into one context pack where each item carries a store-specific citation id; the console resolves each id back to its store.</w:t>
      </w:r>
    </w:p>
    <w:p>
      <w:pPr>
        <w:pStyle w:val="ListParagraph"/>
        <w:numPr>
          <w:ilvl w:val="0"/>
          <w:numId w:val="2"/>
        </w:numPr>
        <w:spacing w:after="70" w:line="300"/>
      </w:pPr>
      <w:r>
        <w:rPr>
          <w:rFonts w:ascii="Times New Roman" w:cs="Times New Roman" w:eastAsia="Times New Roman" w:hAnsi="Times New Roman"/>
          <w:b/>
          <w:bCs/>
          <w:sz w:val="24"/>
          <w:szCs w:val="24"/>
        </w:rPr>
        <w:t xml:space="preserve">Groundedness gate with deterministic fallback. </w:t>
      </w:r>
      <w:r>
        <w:rPr>
          <w:rFonts w:ascii="Times New Roman" w:cs="Times New Roman" w:eastAsia="Times New Roman" w:hAnsi="Times New Roman"/>
          <w:sz w:val="24"/>
          <w:szCs w:val="24"/>
        </w:rPr>
        <w:t xml:space="preserve">Uncited sentences are removed, the answer is refused below 50% coverage, and a refused answer is replaced by evidence-only sentences rather than an unsupported one.</w:t>
      </w:r>
    </w:p>
    <w:p>
      <w:pPr>
        <w:pStyle w:val="ListParagraph"/>
        <w:numPr>
          <w:ilvl w:val="0"/>
          <w:numId w:val="2"/>
        </w:numPr>
        <w:spacing w:after="70" w:line="300"/>
      </w:pPr>
      <w:r>
        <w:rPr>
          <w:rFonts w:ascii="Times New Roman" w:cs="Times New Roman" w:eastAsia="Times New Roman" w:hAnsi="Times New Roman"/>
          <w:b/>
          <w:bCs/>
          <w:sz w:val="24"/>
          <w:szCs w:val="24"/>
        </w:rPr>
        <w:t xml:space="preserve">Hub-aware traversal. </w:t>
      </w:r>
      <w:r>
        <w:rPr>
          <w:rFonts w:ascii="Times New Roman" w:cs="Times New Roman" w:eastAsia="Times New Roman" w:hAnsi="Times New Roman"/>
          <w:sz w:val="24"/>
          <w:szCs w:val="24"/>
        </w:rPr>
        <w:t xml:space="preserve">Traversals stop at commodity hubs, bounding the evidence (60 edges at every corpus size in Section 9.3), and the answer must state that a commodity tool is a weak attribution signal (UC3).</w:t>
      </w:r>
    </w:p>
    <w:p>
      <w:pPr>
        <w:pStyle w:val="ListParagraph"/>
        <w:numPr>
          <w:ilvl w:val="0"/>
          <w:numId w:val="2"/>
        </w:numPr>
        <w:spacing w:after="70" w:line="300"/>
      </w:pPr>
      <w:r>
        <w:rPr>
          <w:rFonts w:ascii="Times New Roman" w:cs="Times New Roman" w:eastAsia="Times New Roman" w:hAnsi="Times New Roman"/>
          <w:b/>
          <w:bCs/>
          <w:sz w:val="24"/>
          <w:szCs w:val="24"/>
        </w:rPr>
        <w:t xml:space="preserve">TLP-aware retrieval and answer labelling. </w:t>
      </w:r>
      <w:r>
        <w:rPr>
          <w:rFonts w:ascii="Times New Roman" w:cs="Times New Roman" w:eastAsia="Times New Roman" w:hAnsi="Times New Roman"/>
          <w:sz w:val="24"/>
          <w:szCs w:val="24"/>
        </w:rPr>
        <w:t xml:space="preserve">Clearance is applied inside each store query — a Qdrant payload filter, a MongoDB $in, a graph filter — not after generation, and the answer is labelled with the highest TLP it cites.</w:t>
      </w:r>
    </w:p>
    <w:p>
      <w:pPr>
        <w:pStyle w:val="ListParagraph"/>
        <w:numPr>
          <w:ilvl w:val="0"/>
          <w:numId w:val="2"/>
        </w:numPr>
        <w:spacing w:after="70" w:line="300"/>
      </w:pPr>
      <w:r>
        <w:rPr>
          <w:rFonts w:ascii="Times New Roman" w:cs="Times New Roman" w:eastAsia="Times New Roman" w:hAnsi="Times New Roman"/>
          <w:b/>
          <w:bCs/>
          <w:sz w:val="24"/>
          <w:szCs w:val="24"/>
        </w:rPr>
        <w:t xml:space="preserve">Enforcement plane separate from the read path. </w:t>
      </w:r>
      <w:r>
        <w:rPr>
          <w:rFonts w:ascii="Times New Roman" w:cs="Times New Roman" w:eastAsia="Times New Roman" w:hAnsi="Times New Roman"/>
          <w:sz w:val="24"/>
          <w:szCs w:val="24"/>
        </w:rPr>
        <w:t xml:space="preserve">Consumers see only Redis, which fails closed, while the analyst read path degrades to retrieve-only answers when Redis or the LLM is down (NFR8).</w:t>
      </w:r>
    </w:p>
    <w:p>
      <w:pPr>
        <w:pStyle w:val="ListParagraph"/>
        <w:numPr>
          <w:ilvl w:val="0"/>
          <w:numId w:val="2"/>
        </w:numPr>
        <w:spacing w:after="70" w:line="300"/>
      </w:pPr>
      <w:r>
        <w:rPr>
          <w:rFonts w:ascii="Times New Roman" w:cs="Times New Roman" w:eastAsia="Times New Roman" w:hAnsi="Times New Roman"/>
          <w:b/>
          <w:bCs/>
          <w:sz w:val="24"/>
          <w:szCs w:val="24"/>
        </w:rPr>
        <w:t xml:space="preserve">Replayable answers. </w:t>
      </w:r>
      <w:r>
        <w:rPr>
          <w:rFonts w:ascii="Times New Roman" w:cs="Times New Roman" w:eastAsia="Times New Roman" w:hAnsi="Times New Roman"/>
          <w:sz w:val="24"/>
          <w:szCs w:val="24"/>
        </w:rPr>
        <w:t xml:space="preserve">An answer from weeks ago can be re-verified edge by edge, chunk by chunk and IOC by IOC against the current stores.</w:t>
      </w:r>
    </w:p>
    <w:p>
      <w:pPr>
        <w:pStyle w:val="ListParagraph"/>
        <w:numPr>
          <w:ilvl w:val="0"/>
          <w:numId w:val="2"/>
        </w:numPr>
        <w:spacing w:after="70" w:line="300"/>
      </w:pPr>
      <w:r>
        <w:rPr>
          <w:rFonts w:ascii="Times New Roman" w:cs="Times New Roman" w:eastAsia="Times New Roman" w:hAnsi="Times New Roman"/>
          <w:b/>
          <w:bCs/>
          <w:sz w:val="24"/>
          <w:szCs w:val="24"/>
        </w:rPr>
        <w:t xml:space="preserve">Local AI with a prompt budget. </w:t>
      </w:r>
      <w:r>
        <w:rPr>
          <w:rFonts w:ascii="Times New Roman" w:cs="Times New Roman" w:eastAsia="Times New Roman" w:hAnsi="Times New Roman"/>
          <w:sz w:val="24"/>
          <w:szCs w:val="24"/>
        </w:rPr>
        <w:t xml:space="preserve">The LLM sees a ranked, trimmed evidence pack sized for local inference, so a 3-billion-parameter model meets the interactive SLO without a GPU server.</w:t>
      </w:r>
    </w:p>
    <w:p>
      <w:pPr>
        <w:pStyle w:val="ListParagraph"/>
        <w:numPr>
          <w:ilvl w:val="0"/>
          <w:numId w:val="2"/>
        </w:numPr>
        <w:spacing w:after="70" w:line="300"/>
      </w:pPr>
      <w:r>
        <w:rPr>
          <w:rFonts w:ascii="Times New Roman" w:cs="Times New Roman" w:eastAsia="Times New Roman" w:hAnsi="Times New Roman"/>
          <w:b/>
          <w:bCs/>
          <w:sz w:val="24"/>
          <w:szCs w:val="24"/>
        </w:rPr>
        <w:t xml:space="preserve">Self-measuring system. </w:t>
      </w:r>
      <w:r>
        <w:rPr>
          <w:rFonts w:ascii="Times New Roman" w:cs="Times New Roman" w:eastAsia="Times New Roman" w:hAnsi="Times New Roman"/>
          <w:sz w:val="24"/>
          <w:szCs w:val="24"/>
        </w:rPr>
        <w:t xml:space="preserve">An evaluation gate and a benchmark harness are part of the code base; Section 9 shows they found and verified four performance fixes.</w:t>
      </w:r>
    </w:p>
    <w:p>
      <w:pPr>
        <w:pStyle w:val="Heading2"/>
        <w:keepNext/>
        <w:spacing w:after="120" w:before="240"/>
      </w:pPr>
      <w:r>
        <w:rPr>
          <w:rFonts w:ascii="Times New Roman" w:cs="Times New Roman" w:eastAsia="Times New Roman" w:hAnsi="Times New Roman"/>
          <w:b/>
          <w:bCs/>
          <w:color w:val="1B4F72"/>
          <w:sz w:val="26"/>
          <w:szCs w:val="26"/>
        </w:rPr>
        <w:t xml:space="preserve">7.2  Advanced NoSQL capabilities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Store</w:t>
            </w:r>
          </w:p>
        </w:tc>
        <w:tc>
          <w:tcPr>
            <w:tcW w:type="dxa" w:w="81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Capabilities beyond basic CRUD</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Neo4j</w:t>
            </w:r>
          </w:p>
        </w:tc>
        <w:tc>
          <w:tcPr>
            <w:tcW w:type="dxa" w:w="81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variable-length path patterns with COUNT {} subquery predicates (hub budget); weighted path ranking with reduce(); composite (type, value) uniqueness; UNION-of-labels lookups that turn label-less matches into index seeks; CALL … IN TRANSACTIONS for batched bulk writes; PROFILE-driven tuning</w:t>
            </w:r>
          </w:p>
        </w:tc>
      </w:tr>
      <w:tr>
        <w:trPr>
          <w:cantSplit/>
          <w:tblHeader w:val="false"/>
        </w:trPr>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MongoDB</w:t>
            </w:r>
          </w:p>
        </w:tc>
        <w:tc>
          <w:tcPr>
            <w:tcW w:type="dxa" w:w="81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schema-on-read documents with report-specific nested fields; multikey indexes on array fields; explain() plans used to verify index use; idempotent replace_one upserts; collStats for index sizing</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Redis</w:t>
            </w:r>
          </w:p>
        </w:tc>
        <w:tc>
          <w:tcPr>
            <w:tcW w:type="dxa" w:w="81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per-key TTL with SET EX; sorted-set expiry index (ZADD, ZRANGEBYSCORE, ZCOUNT); pipelined GET + TTL batches; AOF persistence so TTLs survive restarts</w:t>
            </w:r>
          </w:p>
        </w:tc>
      </w:tr>
      <w:tr>
        <w:trPr>
          <w:cantSplit/>
          <w:tblHeader w:val="false"/>
        </w:trPr>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Qdrant</w:t>
            </w:r>
          </w:p>
        </w:tc>
        <w:tc>
          <w:tcPr>
            <w:tcW w:type="dxa" w:w="81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HNSW with tunable search breadth (ef); keyword and integer payload indexes; filtered k-NN; filter-based deletes; exact search used as ground truth for recall</w:t>
            </w:r>
          </w:p>
        </w:tc>
      </w:tr>
    </w:tbl>
    <w:p>
      <w:pPr>
        <w:spacing w:after="240" w:before="60"/>
        <w:jc w:val="center"/>
      </w:pPr>
      <w:r>
        <w:rPr>
          <w:rFonts w:ascii="Times New Roman" w:cs="Times New Roman" w:eastAsia="Times New Roman" w:hAnsi="Times New Roman"/>
          <w:i/>
          <w:iCs/>
          <w:sz w:val="20"/>
          <w:szCs w:val="20"/>
        </w:rPr>
        <w:t xml:space="preserve">Table 7.  Advanced capabilities of each engine used by the platform.</w:t>
      </w:r>
    </w:p>
    <w:p>
      <w:pPr>
        <w:pStyle w:val="Heading2"/>
        <w:keepNext/>
        <w:spacing w:after="120" w:before="240"/>
      </w:pPr>
      <w:r>
        <w:rPr>
          <w:rFonts w:ascii="Times New Roman" w:cs="Times New Roman" w:eastAsia="Times New Roman" w:hAnsi="Times New Roman"/>
          <w:b/>
          <w:bCs/>
          <w:color w:val="1B4F72"/>
          <w:sz w:val="26"/>
          <w:szCs w:val="26"/>
        </w:rPr>
        <w:t xml:space="preserve">7.3  AI integration</w:t>
      </w:r>
    </w:p>
    <w:p>
      <w:pPr>
        <w:spacing w:after="160" w:line="340"/>
        <w:jc w:val="both"/>
      </w:pPr>
      <w:r>
        <w:rPr>
          <w:rFonts w:ascii="Times New Roman" w:cs="Times New Roman" w:eastAsia="Times New Roman" w:hAnsi="Times New Roman"/>
          <w:sz w:val="24"/>
          <w:szCs w:val="24"/>
        </w:rPr>
        <w:t xml:space="preserve">The LLM is used only to render retrieved evidence as prose; it never decides what is retrieved and never writes to a store. It runs locally through Ollama (</w:t>
      </w:r>
      <w:r>
        <w:rPr>
          <w:rFonts w:ascii="Courier New" w:cs="Courier New" w:eastAsia="Courier New" w:hAnsi="Courier New"/>
          <w:sz w:val="20"/>
          <w:szCs w:val="20"/>
        </w:rPr>
        <w:t xml:space="preserve">llama3.2:3b</w:t>
      </w:r>
      <w:r>
        <w:rPr>
          <w:rFonts w:ascii="Times New Roman" w:cs="Times New Roman" w:eastAsia="Times New Roman" w:hAnsi="Times New Roman"/>
          <w:sz w:val="24"/>
          <w:szCs w:val="24"/>
        </w:rPr>
        <w:t xml:space="preserve"> by default, </w:t>
      </w:r>
      <w:r>
        <w:rPr>
          <w:rFonts w:ascii="Courier New" w:cs="Courier New" w:eastAsia="Courier New" w:hAnsi="Courier New"/>
          <w:sz w:val="20"/>
          <w:szCs w:val="20"/>
        </w:rPr>
        <w:t xml:space="preserve">llama3.1:8b</w:t>
      </w:r>
      <w:r>
        <w:rPr>
          <w:rFonts w:ascii="Times New Roman" w:cs="Times New Roman" w:eastAsia="Times New Roman" w:hAnsi="Times New Roman"/>
          <w:sz w:val="24"/>
          <w:szCs w:val="24"/>
        </w:rPr>
        <w:t xml:space="preserve"> optional [31], [32]) under a system prompt that requires a citation on every sentence, forbids invented entities and offensive content, and requires an exact refusal string when evidence is missing. Embeddings default to a deterministic 64-dimensional TF-IDF + truncated-SVD model, with a neural model (</w:t>
      </w:r>
      <w:r>
        <w:rPr>
          <w:rFonts w:ascii="Courier New" w:cs="Courier New" w:eastAsia="Courier New" w:hAnsi="Courier New"/>
          <w:sz w:val="20"/>
          <w:szCs w:val="20"/>
        </w:rPr>
        <w:t xml:space="preserve">nomic-embed-text</w:t>
      </w:r>
      <w:r>
        <w:rPr>
          <w:rFonts w:ascii="Times New Roman" w:cs="Times New Roman" w:eastAsia="Times New Roman" w:hAnsi="Times New Roman"/>
          <w:sz w:val="24"/>
          <w:szCs w:val="24"/>
        </w:rPr>
        <w:t xml:space="preserve">) available through configuration.</w:t>
      </w:r>
    </w:p>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8.  Testing and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838"/>
      </w:tblGrid>
      <w:tr>
        <w:trPr>
          <w:cantSplit/>
          <w:tblHeader/>
        </w:trPr>
        <w:tc>
          <w:tcPr>
            <w:tcW w:type="dxa" w:w="23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Tier</w:t>
            </w:r>
          </w:p>
        </w:tc>
        <w:tc>
          <w:tcPr>
            <w:tcW w:type="dxa" w:w="1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Count</w:t>
            </w:r>
          </w:p>
        </w:tc>
        <w:tc>
          <w:tcPr>
            <w:tcW w:type="dxa" w:w="58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What it checks</w:t>
            </w:r>
          </w:p>
        </w:tc>
      </w:tr>
      <w:tr>
        <w:trPr>
          <w:cantSplit/>
          <w:tblHeader w:val="false"/>
        </w:trPr>
        <w:tc>
          <w:tcPr>
            <w:tcW w:type="dxa" w:w="2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Unit tests</w:t>
            </w:r>
          </w:p>
        </w:tc>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16</w:t>
            </w:r>
          </w:p>
        </w:tc>
        <w:tc>
          <w:tcPr>
            <w:tcW w:type="dxa" w:w="58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TLP ordering and clearance, password hashing, IOC extraction and refanging, entity linking (including equivalence of the indexed linker with the reference linker), STIX mapping, chunking, the groundedness gate and its citation forms</w:t>
            </w:r>
          </w:p>
        </w:tc>
      </w:tr>
      <w:tr>
        <w:trPr>
          <w:cantSplit/>
          <w:tblHeader w:val="false"/>
        </w:trPr>
        <w:tc>
          <w:tcPr>
            <w:tcW w:type="dxa" w:w="2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Integration tests</w:t>
            </w:r>
          </w:p>
        </w:tc>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15</w:t>
            </w:r>
          </w:p>
        </w:tc>
        <w:tc>
          <w:tcPr>
            <w:tcW w:type="dxa" w:w="58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the real API against the live stores: auth and roles, TLP on lists, search and GraphRAG context, publish → enforce → revoke, fail-closed enforcement, LLM-down fallback, audit replay, ingest fan-out, delete cascade, integrity</w:t>
            </w:r>
          </w:p>
        </w:tc>
      </w:tr>
      <w:tr>
        <w:trPr>
          <w:cantSplit/>
          <w:tblHeader w:val="false"/>
        </w:trPr>
        <w:tc>
          <w:tcPr>
            <w:tcW w:type="dxa" w:w="2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Evaluation gate</w:t>
            </w:r>
          </w:p>
        </w:tc>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6 questions</w:t>
            </w:r>
          </w:p>
        </w:tc>
        <w:tc>
          <w:tcPr>
            <w:tcW w:type="dxa" w:w="58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gold graph edges and reports, refusals, commodity caution, expiry probe, integrity; exits non-zero on any failure</w:t>
            </w:r>
          </w:p>
        </w:tc>
      </w:tr>
      <w:tr>
        <w:trPr>
          <w:cantSplit/>
          <w:tblHeader w:val="false"/>
        </w:trPr>
        <w:tc>
          <w:tcPr>
            <w:tcW w:type="dxa" w:w="2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Benchmarks</w:t>
            </w:r>
          </w:p>
        </w:tc>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6 experiments</w:t>
            </w:r>
          </w:p>
        </w:tc>
        <w:tc>
          <w:tcPr>
            <w:tcW w:type="dxa" w:w="58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scalability, load, Redis, MongoDB and Neo4j index ablations, Qdrant recall (Section 9)</w:t>
            </w:r>
          </w:p>
        </w:tc>
      </w:tr>
      <w:tr>
        <w:trPr>
          <w:cantSplit/>
          <w:tblHeader w:val="false"/>
        </w:trPr>
        <w:tc>
          <w:tcPr>
            <w:tcW w:type="dxa" w:w="2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Continuous integration</w:t>
            </w:r>
          </w:p>
        </w:tc>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every push</w:t>
            </w:r>
          </w:p>
        </w:tc>
        <w:tc>
          <w:tcPr>
            <w:tcW w:type="dxa" w:w="58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unit + integration + evaluation gate on fresh Neo4j, MongoDB, Redis and Qdrant containers; frontend build</w:t>
            </w:r>
          </w:p>
        </w:tc>
      </w:tr>
    </w:tbl>
    <w:p>
      <w:pPr>
        <w:spacing w:after="240" w:before="60"/>
        <w:jc w:val="center"/>
      </w:pPr>
      <w:r>
        <w:rPr>
          <w:rFonts w:ascii="Times New Roman" w:cs="Times New Roman" w:eastAsia="Times New Roman" w:hAnsi="Times New Roman"/>
          <w:i/>
          <w:iCs/>
          <w:sz w:val="20"/>
          <w:szCs w:val="20"/>
        </w:rPr>
        <w:t xml:space="preserve">Table 8.  Test tiers. Integration tests remove everything they write, so they run safely against the demo stack.</w:t>
      </w:r>
    </w:p>
    <w:p>
      <w:pPr>
        <w:pStyle w:val="Heading2"/>
        <w:keepNext/>
        <w:spacing w:after="120" w:before="240"/>
      </w:pPr>
      <w:r>
        <w:rPr>
          <w:rFonts w:ascii="Times New Roman" w:cs="Times New Roman" w:eastAsia="Times New Roman" w:hAnsi="Times New Roman"/>
          <w:b/>
          <w:bCs/>
          <w:color w:val="1B4F72"/>
          <w:sz w:val="26"/>
          <w:szCs w:val="26"/>
        </w:rPr>
        <w:t xml:space="preserve">8.1  Acceptance tests</w:t>
      </w:r>
    </w:p>
    <w:p>
      <w:pPr>
        <w:spacing w:after="160" w:line="340"/>
        <w:jc w:val="both"/>
      </w:pPr>
      <w:r>
        <w:rPr>
          <w:rFonts w:ascii="Times New Roman" w:cs="Times New Roman" w:eastAsia="Times New Roman" w:hAnsi="Times New Roman"/>
          <w:sz w:val="24"/>
          <w:szCs w:val="24"/>
        </w:rPr>
        <w:t xml:space="preserve">The six Appendix A questions of Review I are the acceptance tests. Each must retrieve specified gold edges and gold reports. Table 9 shows the final run with the default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650"/>
        <w:gridCol w:w="1000"/>
        <w:gridCol w:w="1000"/>
        <w:gridCol w:w="1000"/>
        <w:gridCol w:w="1088"/>
      </w:tblGrid>
      <w:tr>
        <w:trPr>
          <w:cantSplit/>
          <w:tblHeader/>
        </w:trPr>
        <w:tc>
          <w:tcPr>
            <w:tcW w:type="dxa" w:w="39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Question</w:t>
            </w:r>
          </w:p>
        </w:tc>
        <w:tc>
          <w:tcPr>
            <w:tcW w:type="dxa" w:w="165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Mode</w:t>
            </w:r>
          </w:p>
        </w:tc>
        <w:tc>
          <w:tcPr>
            <w:tcW w:type="dxa" w:w="10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Gold edges</w:t>
            </w:r>
          </w:p>
        </w:tc>
        <w:tc>
          <w:tcPr>
            <w:tcW w:type="dxa" w:w="10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Gold reports</w:t>
            </w:r>
          </w:p>
        </w:tc>
        <w:tc>
          <w:tcPr>
            <w:tcW w:type="dxa" w:w="10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Coverage</w:t>
            </w:r>
          </w:p>
        </w:tc>
        <w:tc>
          <w:tcPr>
            <w:tcW w:type="dxa" w:w="108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Latency</w:t>
            </w:r>
          </w:p>
        </w:tc>
      </w:tr>
      <w:tr>
        <w:trPr>
          <w:cantSplit/>
          <w:tblHeader w:val="false"/>
        </w:trPr>
        <w:tc>
          <w:tcPr>
            <w:tcW w:type="dxa" w:w="3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Which threat actors share command-and-control infrastructure, and what malware was hosted there?</w:t>
            </w:r>
          </w:p>
        </w:tc>
        <w:tc>
          <w:tcPr>
            <w:tcW w:type="dxa" w:w="165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LLM</w:t>
            </w:r>
          </w:p>
        </w:tc>
        <w:tc>
          <w:tcPr>
            <w:tcW w:type="dxa" w:w="1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2/2</w:t>
            </w:r>
          </w:p>
        </w:tc>
        <w:tc>
          <w:tcPr>
            <w:tcW w:type="dxa" w:w="1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0.50</w:t>
            </w:r>
          </w:p>
        </w:tc>
        <w:tc>
          <w:tcPr>
            <w:tcW w:type="dxa" w:w="108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7.8 s</w:t>
            </w:r>
          </w:p>
        </w:tc>
      </w:tr>
      <w:tr>
        <w:trPr>
          <w:cantSplit/>
          <w:tblHeader w:val="false"/>
        </w:trPr>
        <w:tc>
          <w:tcPr>
            <w:tcW w:type="dxa" w:w="3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How is APT29 connected to supply-chain compromises, and which reports describe SUNBURST?</w:t>
            </w:r>
          </w:p>
        </w:tc>
        <w:tc>
          <w:tcPr>
            <w:tcW w:type="dxa" w:w="165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retrieve-only (gate fallback)</w:t>
            </w:r>
          </w:p>
        </w:tc>
        <w:tc>
          <w:tcPr>
            <w:tcW w:type="dxa" w:w="1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1.00</w:t>
            </w:r>
          </w:p>
        </w:tc>
        <w:tc>
          <w:tcPr>
            <w:tcW w:type="dxa" w:w="108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9.5 s</w:t>
            </w:r>
          </w:p>
        </w:tc>
      </w:tr>
      <w:tr>
        <w:trPr>
          <w:cantSplit/>
          <w:tblHeader w:val="false"/>
        </w:trPr>
        <w:tc>
          <w:tcPr>
            <w:tcW w:type="dxa" w:w="3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Who else uses Cobalt Strike besides FIN7, and do they share any domains?</w:t>
            </w:r>
          </w:p>
        </w:tc>
        <w:tc>
          <w:tcPr>
            <w:tcW w:type="dxa" w:w="165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LLM</w:t>
            </w:r>
          </w:p>
        </w:tc>
        <w:tc>
          <w:tcPr>
            <w:tcW w:type="dxa" w:w="1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2/2</w:t>
            </w:r>
          </w:p>
        </w:tc>
        <w:tc>
          <w:tcPr>
            <w:tcW w:type="dxa" w:w="1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1.00</w:t>
            </w:r>
          </w:p>
        </w:tc>
        <w:tc>
          <w:tcPr>
            <w:tcW w:type="dxa" w:w="108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6.4 s</w:t>
            </w:r>
          </w:p>
        </w:tc>
      </w:tr>
      <w:tr>
        <w:trPr>
          <w:cantSplit/>
          <w:tblHeader w:val="false"/>
        </w:trPr>
        <w:tc>
          <w:tcPr>
            <w:tcW w:type="dxa" w:w="3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What destructive campaigns is Sandworm responsible for, and does it share any infrastructure with APT28?</w:t>
            </w:r>
          </w:p>
        </w:tc>
        <w:tc>
          <w:tcPr>
            <w:tcW w:type="dxa" w:w="165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LLM</w:t>
            </w:r>
          </w:p>
        </w:tc>
        <w:tc>
          <w:tcPr>
            <w:tcW w:type="dxa" w:w="1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2/2</w:t>
            </w:r>
          </w:p>
        </w:tc>
        <w:tc>
          <w:tcPr>
            <w:tcW w:type="dxa" w:w="1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1.00</w:t>
            </w:r>
          </w:p>
        </w:tc>
        <w:tc>
          <w:tcPr>
            <w:tcW w:type="dxa" w:w="108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6.1 s</w:t>
            </w:r>
          </w:p>
        </w:tc>
      </w:tr>
      <w:tr>
        <w:trPr>
          <w:cantSplit/>
          <w:tblHeader w:val="false"/>
        </w:trPr>
        <w:tc>
          <w:tcPr>
            <w:tcW w:type="dxa" w:w="3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Find activity similar to spearphishing against government and political organizations.</w:t>
            </w:r>
          </w:p>
        </w:tc>
        <w:tc>
          <w:tcPr>
            <w:tcW w:type="dxa" w:w="165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LLM</w:t>
            </w:r>
          </w:p>
        </w:tc>
        <w:tc>
          <w:tcPr>
            <w:tcW w:type="dxa" w:w="1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0/0</w:t>
            </w:r>
          </w:p>
        </w:tc>
        <w:tc>
          <w:tcPr>
            <w:tcW w:type="dxa" w:w="1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0.67</w:t>
            </w:r>
          </w:p>
        </w:tc>
        <w:tc>
          <w:tcPr>
            <w:tcW w:type="dxa" w:w="108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9.2 s</w:t>
            </w:r>
          </w:p>
        </w:tc>
      </w:tr>
      <w:tr>
        <w:trPr>
          <w:cantSplit/>
          <w:tblHeader w:val="false"/>
        </w:trPr>
        <w:tc>
          <w:tcPr>
            <w:tcW w:type="dxa" w:w="3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Why is Mimikatz a weak attribution signal, and which actors still use it?</w:t>
            </w:r>
          </w:p>
        </w:tc>
        <w:tc>
          <w:tcPr>
            <w:tcW w:type="dxa" w:w="165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LLM</w:t>
            </w:r>
          </w:p>
        </w:tc>
        <w:tc>
          <w:tcPr>
            <w:tcW w:type="dxa" w:w="1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2/2</w:t>
            </w:r>
          </w:p>
        </w:tc>
        <w:tc>
          <w:tcPr>
            <w:tcW w:type="dxa" w:w="1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1/1</w:t>
            </w:r>
          </w:p>
        </w:tc>
        <w:tc>
          <w:tcPr>
            <w:tcW w:type="dxa" w:w="1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0.60</w:t>
            </w:r>
          </w:p>
        </w:tc>
        <w:tc>
          <w:tcPr>
            <w:tcW w:type="dxa" w:w="108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9.4 s</w:t>
            </w:r>
          </w:p>
        </w:tc>
      </w:tr>
    </w:tbl>
    <w:p>
      <w:pPr>
        <w:spacing w:after="240" w:before="60"/>
        <w:jc w:val="center"/>
      </w:pPr>
      <w:r>
        <w:rPr>
          <w:rFonts w:ascii="Times New Roman" w:cs="Times New Roman" w:eastAsia="Times New Roman" w:hAnsi="Times New Roman"/>
          <w:i/>
          <w:iCs/>
          <w:sz w:val="20"/>
          <w:szCs w:val="20"/>
        </w:rPr>
        <w:t xml:space="preserve">Table 9.  Acceptance results (2026-10-25, llama3.2:3b). Gold edge recall 1.00, gold report recall 1.00, mean citation coverage 0.79.</w:t>
      </w:r>
    </w:p>
    <w:p>
      <w:pPr>
        <w:spacing w:after="160" w:line="340"/>
        <w:jc w:val="both"/>
      </w:pPr>
      <w:r>
        <w:rPr>
          <w:rFonts w:ascii="Times New Roman" w:cs="Times New Roman" w:eastAsia="Times New Roman" w:hAnsi="Times New Roman"/>
          <w:sz w:val="24"/>
          <w:szCs w:val="24"/>
        </w:rPr>
        <w:t xml:space="preserve">Every question retrieved all of its gold evidence and none was refused. In question 2 the model's draft fell below the coverage threshold and the gate replaced it with the deterministic evidence answer — the intended behaviour, not a failure. Question 6 carries the commodity-hub caution required by UC3. The same questions in retrieve-only mode, as run in CI, reach coverage 1.00 at about 50 ms per question.</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9.  Performance Evaluation</w:t>
      </w:r>
    </w:p>
    <w:p>
      <w:pPr>
        <w:pStyle w:val="Heading2"/>
        <w:keepNext/>
        <w:spacing w:after="120" w:before="240"/>
      </w:pPr>
      <w:r>
        <w:rPr>
          <w:rFonts w:ascii="Times New Roman" w:cs="Times New Roman" w:eastAsia="Times New Roman" w:hAnsi="Times New Roman"/>
          <w:b/>
          <w:bCs/>
          <w:color w:val="1B4F72"/>
          <w:sz w:val="26"/>
          <w:szCs w:val="26"/>
        </w:rPr>
        <w:t xml:space="preserve">9.1  Method</w:t>
      </w:r>
    </w:p>
    <w:p>
      <w:pPr>
        <w:spacing w:after="160" w:line="340"/>
        <w:jc w:val="both"/>
      </w:pPr>
      <w:r>
        <w:rPr>
          <w:rFonts w:ascii="Times New Roman" w:cs="Times New Roman" w:eastAsia="Times New Roman" w:hAnsi="Times New Roman"/>
          <w:sz w:val="24"/>
          <w:szCs w:val="24"/>
        </w:rPr>
        <w:t xml:space="preserve">Benchmarks run with </w:t>
      </w:r>
      <w:r>
        <w:rPr>
          <w:rFonts w:ascii="Courier New" w:cs="Courier New" w:eastAsia="Courier New" w:hAnsi="Courier New"/>
          <w:sz w:val="20"/>
          <w:szCs w:val="20"/>
        </w:rPr>
        <w:t xml:space="preserve">make bench</w:t>
      </w:r>
      <w:r>
        <w:rPr>
          <w:rFonts w:ascii="Times New Roman" w:cs="Times New Roman" w:eastAsia="Times New Roman" w:hAnsi="Times New Roman"/>
          <w:sz w:val="24"/>
          <w:szCs w:val="24"/>
        </w:rPr>
        <w:t xml:space="preserve"> against a throwaway stack (</w:t>
      </w:r>
      <w:r>
        <w:rPr>
          <w:rFonts w:ascii="Courier New" w:cs="Courier New" w:eastAsia="Courier New" w:hAnsi="Courier New"/>
          <w:sz w:val="20"/>
          <w:szCs w:val="20"/>
        </w:rPr>
        <w:t xml:space="preserve">docker-compose.bench.yml</w:t>
      </w:r>
      <w:r>
        <w:rPr>
          <w:rFonts w:ascii="Times New Roman" w:cs="Times New Roman" w:eastAsia="Times New Roman" w:hAnsi="Times New Roman"/>
          <w:sz w:val="24"/>
          <w:szCs w:val="24"/>
        </w:rPr>
        <w:t xml:space="preserve">) on alternate ports, so synthetic data never reaches the demo stores; the demo stack is paused for the run. Each latency figure is a client-side percentile over repeated calls after warm-up (30–2,000 samples per measurement), taken through the same Python functions the API uses. To scale the corpus, the seed corpus is cloned 10×–200× through the production seed loader: clones receive new ids, names and infrastructure values from the RFC 2544 benchmarking range, one cross-clone infrastructure edge per actor, and they share the ATT&amp;CK techniques and commodity tools, so hub degree grows with scale as it would in practice. Index experiments use dedicated synthetic collections. LLM measurements come from </w:t>
      </w:r>
      <w:r>
        <w:rPr>
          <w:rFonts w:ascii="Courier New" w:cs="Courier New" w:eastAsia="Courier New" w:hAnsi="Courier New"/>
          <w:sz w:val="20"/>
          <w:szCs w:val="20"/>
        </w:rPr>
        <w:t xml:space="preserve">make eval</w:t>
      </w:r>
      <w:r>
        <w:rPr>
          <w:rFonts w:ascii="Times New Roman" w:cs="Times New Roman" w:eastAsia="Times New Roman" w:hAnsi="Times New Roman"/>
          <w:sz w:val="24"/>
          <w:szCs w:val="24"/>
        </w:rPr>
        <w:t xml:space="preserve"> on the demo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Host</w:t>
            </w:r>
          </w:p>
        </w:tc>
        <w:tc>
          <w:tcPr>
            <w:tcW w:type="dxa" w:w="66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Apple M3 Pro, 18 GB RAM, macOS</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Docker VM</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2 vCPU, 3.8 GB shared by all containers</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Engines</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Neo4j 5.26.31 · MongoDB 7.0.43 · Redis 7.4.11 · Qdrant 1.13.4</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Runtime</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Python 3.11.7, FastAPI, one Uvicorn worker; Ollama on the host GPU (Metal)</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Corpus scales</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1× = 87 nodes / 12 reports; 10× = 762 nodes / 120 reports; 50× = 3,762 nodes / 600 reports; 100× = 7,512 nodes / 1,200 reports; 200× = 15,012 nodes / 2,400 reports</w:t>
            </w:r>
          </w:p>
        </w:tc>
      </w:tr>
    </w:tbl>
    <w:p>
      <w:pPr>
        <w:spacing w:after="240" w:before="60"/>
        <w:jc w:val="center"/>
      </w:pPr>
      <w:r>
        <w:rPr>
          <w:rFonts w:ascii="Times New Roman" w:cs="Times New Roman" w:eastAsia="Times New Roman" w:hAnsi="Times New Roman"/>
          <w:i/>
          <w:iCs/>
          <w:sz w:val="20"/>
          <w:szCs w:val="20"/>
        </w:rPr>
        <w:t xml:space="preserve">Table 10.  Benchmark environment.</w:t>
      </w:r>
    </w:p>
    <w:p>
      <w:pPr>
        <w:spacing w:after="160" w:line="340"/>
        <w:jc w:val="both"/>
      </w:pPr>
      <w:r>
        <w:rPr>
          <w:rFonts w:ascii="Times New Roman" w:cs="Times New Roman" w:eastAsia="Times New Roman" w:hAnsi="Times New Roman"/>
          <w:b/>
          <w:bCs/>
          <w:sz w:val="24"/>
          <w:szCs w:val="24"/>
        </w:rPr>
        <w:t xml:space="preserve">Threats to validity.</w:t>
      </w:r>
      <w:r>
        <w:rPr>
          <w:rFonts w:ascii="Times New Roman" w:cs="Times New Roman" w:eastAsia="Times New Roman" w:hAnsi="Times New Roman"/>
          <w:sz w:val="24"/>
          <w:szCs w:val="24"/>
        </w:rPr>
        <w:t xml:space="preserve"> All engines share two virtual CPUs, so absolute numbers are conservative for a server deployment but contention is real. The scaled corpus is synthetic and repetitive, which favours caches; the index experiments therefore use independent random data. Load is generated on the same host as the server.</w:t>
      </w:r>
    </w:p>
    <w:p>
      <w:pPr>
        <w:pStyle w:val="Heading2"/>
        <w:keepNext/>
        <w:spacing w:after="120" w:before="240"/>
      </w:pPr>
      <w:r>
        <w:rPr>
          <w:rFonts w:ascii="Times New Roman" w:cs="Times New Roman" w:eastAsia="Times New Roman" w:hAnsi="Times New Roman"/>
          <w:b/>
          <w:bCs/>
          <w:color w:val="1B4F72"/>
          <w:sz w:val="26"/>
          <w:szCs w:val="26"/>
        </w:rPr>
        <w:t xml:space="preserve">9.2  Service-level objectives (NFR2)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438"/>
      </w:tblGrid>
      <w:tr>
        <w:trPr>
          <w:cantSplit/>
          <w:tblHeader/>
        </w:trPr>
        <w:tc>
          <w:tcPr>
            <w:tcW w:type="dxa" w:w="32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Metric</w:t>
            </w:r>
          </w:p>
        </w:tc>
        <w:tc>
          <w:tcPr>
            <w:tcW w:type="dxa" w:w="18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Target</w:t>
            </w:r>
          </w:p>
        </w:tc>
        <w:tc>
          <w:tcPr>
            <w:tcW w:type="dxa" w:w="22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Measured</w:t>
            </w:r>
          </w:p>
        </w:tc>
        <w:tc>
          <w:tcPr>
            <w:tcW w:type="dxa" w:w="24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Result</w:t>
            </w:r>
          </w:p>
        </w:tc>
      </w:tr>
      <w:tr>
        <w:trPr>
          <w:cantSplit/>
          <w:tblHeader w:val="false"/>
        </w:trPr>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Redis blocklist GET p99</w:t>
            </w:r>
          </w:p>
        </w:tc>
        <w:tc>
          <w:tcPr>
            <w:tcW w:type="dxa" w:w="18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&lt; 5 ms</w:t>
            </w:r>
          </w:p>
        </w:tc>
        <w:tc>
          <w:tcPr>
            <w:tcW w:type="dxa" w:w="2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1.08 ms (500 calls); 0.534 ms at 500,000 keys</w:t>
            </w:r>
          </w:p>
        </w:tc>
        <w:tc>
          <w:tcPr>
            <w:tcW w:type="dxa" w:w="24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met</w:t>
            </w:r>
          </w:p>
        </w:tc>
      </w:tr>
      <w:tr>
        <w:trPr>
          <w:cantSplit/>
          <w:tblHeader w:val="false"/>
        </w:trPr>
        <w:tc>
          <w:tcPr>
            <w:tcW w:type="dxa" w:w="3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Neo4j 1 / 2 / 3-hop p95</w:t>
            </w:r>
          </w:p>
        </w:tc>
        <w:tc>
          <w:tcPr>
            <w:tcW w:type="dxa" w:w="18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&lt; 500 ms</w:t>
            </w:r>
          </w:p>
        </w:tc>
        <w:tc>
          <w:tcPr>
            <w:tcW w:type="dxa" w:w="2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12.39 / 35.52 / 15.73 ms</w:t>
            </w:r>
          </w:p>
        </w:tc>
        <w:tc>
          <w:tcPr>
            <w:tcW w:type="dxa" w:w="24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met</w:t>
            </w:r>
          </w:p>
        </w:tc>
      </w:tr>
      <w:tr>
        <w:trPr>
          <w:cantSplit/>
          <w:tblHeader w:val="false"/>
        </w:trPr>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Neo4j 2-hop p95 at 200×</w:t>
            </w:r>
          </w:p>
        </w:tc>
        <w:tc>
          <w:tcPr>
            <w:tcW w:type="dxa" w:w="18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&lt; 500 ms</w:t>
            </w:r>
          </w:p>
        </w:tc>
        <w:tc>
          <w:tcPr>
            <w:tcW w:type="dxa" w:w="2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10.8 ms</w:t>
            </w:r>
          </w:p>
        </w:tc>
        <w:tc>
          <w:tcPr>
            <w:tcW w:type="dxa" w:w="24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met</w:t>
            </w:r>
          </w:p>
        </w:tc>
      </w:tr>
      <w:tr>
        <w:trPr>
          <w:cantSplit/>
          <w:tblHeader w:val="false"/>
        </w:trPr>
        <w:tc>
          <w:tcPr>
            <w:tcW w:type="dxa" w:w="3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GraphRAG end-to-end p95 (with LLM)</w:t>
            </w:r>
          </w:p>
        </w:tc>
        <w:tc>
          <w:tcPr>
            <w:tcW w:type="dxa" w:w="18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&lt; 15 s</w:t>
            </w:r>
          </w:p>
        </w:tc>
        <w:tc>
          <w:tcPr>
            <w:tcW w:type="dxa" w:w="2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9.5 s (llama3.2:3b)</w:t>
            </w:r>
          </w:p>
        </w:tc>
        <w:tc>
          <w:tcPr>
            <w:tcW w:type="dxa" w:w="24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met</w:t>
            </w:r>
          </w:p>
        </w:tc>
      </w:tr>
      <w:tr>
        <w:trPr>
          <w:cantSplit/>
          <w:tblHeader w:val="false"/>
        </w:trPr>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GraphRAG retrieval p95 at 200× (no LLM)</w:t>
            </w:r>
          </w:p>
        </w:tc>
        <w:tc>
          <w:tcPr>
            <w:tcW w:type="dxa" w:w="18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w:t>
            </w:r>
          </w:p>
        </w:tc>
        <w:tc>
          <w:tcPr>
            <w:tcW w:type="dxa" w:w="2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185 ms</w:t>
            </w:r>
          </w:p>
        </w:tc>
        <w:tc>
          <w:tcPr>
            <w:tcW w:type="dxa" w:w="24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within budget</w:t>
            </w:r>
          </w:p>
        </w:tc>
      </w:tr>
    </w:tbl>
    <w:p>
      <w:pPr>
        <w:spacing w:after="240" w:before="60"/>
        <w:jc w:val="center"/>
      </w:pPr>
      <w:r>
        <w:rPr>
          <w:rFonts w:ascii="Times New Roman" w:cs="Times New Roman" w:eastAsia="Times New Roman" w:hAnsi="Times New Roman"/>
          <w:i/>
          <w:iCs/>
          <w:sz w:val="20"/>
          <w:szCs w:val="20"/>
        </w:rPr>
        <w:t xml:space="preserve">Table 11.  Service-level objectives.</w:t>
      </w:r>
    </w:p>
    <w:p>
      <w:pPr>
        <w:pStyle w:val="Heading2"/>
        <w:keepNext/>
        <w:spacing w:after="120" w:before="240"/>
      </w:pPr>
      <w:r>
        <w:rPr>
          <w:rFonts w:ascii="Times New Roman" w:cs="Times New Roman" w:eastAsia="Times New Roman" w:hAnsi="Times New Roman"/>
          <w:b/>
          <w:bCs/>
          <w:color w:val="1B4F72"/>
          <w:sz w:val="26"/>
          <w:szCs w:val="26"/>
        </w:rPr>
        <w:t xml:space="preserve">9.3  Scalability from 1× to 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600"/>
        <w:gridCol w:w="1300"/>
        <w:gridCol w:w="1300"/>
        <w:gridCol w:w="1200"/>
        <w:gridCol w:w="2038"/>
      </w:tblGrid>
      <w:tr>
        <w:trPr>
          <w:cantSplit/>
          <w:tblHeader/>
        </w:trPr>
        <w:tc>
          <w:tcPr>
            <w:tcW w:type="dxa" w:w="9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Scale</w:t>
            </w:r>
          </w:p>
        </w:tc>
        <w:tc>
          <w:tcPr>
            <w:tcW w:type="dxa" w:w="13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Nodes</w:t>
            </w:r>
          </w:p>
        </w:tc>
        <w:tc>
          <w:tcPr>
            <w:tcW w:type="dxa" w:w="16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Relationships</w:t>
            </w:r>
          </w:p>
        </w:tc>
        <w:tc>
          <w:tcPr>
            <w:tcW w:type="dxa" w:w="13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Reports</w:t>
            </w:r>
          </w:p>
        </w:tc>
        <w:tc>
          <w:tcPr>
            <w:tcW w:type="dxa" w:w="13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Chunks</w:t>
            </w:r>
          </w:p>
        </w:tc>
        <w:tc>
          <w:tcPr>
            <w:tcW w:type="dxa" w:w="12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IOCs</w:t>
            </w:r>
          </w:p>
        </w:tc>
        <w:tc>
          <w:tcPr>
            <w:tcW w:type="dxa" w:w="20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Load time (all stores)</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w:t>
            </w:r>
          </w:p>
        </w:tc>
        <w:tc>
          <w:tcPr>
            <w:tcW w:type="dxa" w:w="1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87</w:t>
            </w:r>
          </w:p>
        </w:tc>
        <w:tc>
          <w:tcPr>
            <w:tcW w:type="dxa" w:w="1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162</w:t>
            </w:r>
          </w:p>
        </w:tc>
        <w:tc>
          <w:tcPr>
            <w:tcW w:type="dxa" w:w="1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12</w:t>
            </w:r>
          </w:p>
        </w:tc>
        <w:tc>
          <w:tcPr>
            <w:tcW w:type="dxa" w:w="1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25</w:t>
            </w:r>
          </w:p>
        </w:tc>
        <w:tc>
          <w:tcPr>
            <w:tcW w:type="dxa" w:w="1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15</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1.5 s</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10×</w:t>
            </w:r>
          </w:p>
        </w:tc>
        <w:tc>
          <w:tcPr>
            <w:tcW w:type="dxa" w:w="1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762</w:t>
            </w:r>
          </w:p>
        </w:tc>
        <w:tc>
          <w:tcPr>
            <w:tcW w:type="dxa" w:w="1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1,665</w:t>
            </w:r>
          </w:p>
        </w:tc>
        <w:tc>
          <w:tcPr>
            <w:tcW w:type="dxa" w:w="1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120</w:t>
            </w:r>
          </w:p>
        </w:tc>
        <w:tc>
          <w:tcPr>
            <w:tcW w:type="dxa" w:w="1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250</w:t>
            </w:r>
          </w:p>
        </w:tc>
        <w:tc>
          <w:tcPr>
            <w:tcW w:type="dxa" w:w="1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150</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4.0 s</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50×</w:t>
            </w:r>
          </w:p>
        </w:tc>
        <w:tc>
          <w:tcPr>
            <w:tcW w:type="dxa" w:w="1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3,762</w:t>
            </w:r>
          </w:p>
        </w:tc>
        <w:tc>
          <w:tcPr>
            <w:tcW w:type="dxa" w:w="1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8,345</w:t>
            </w:r>
          </w:p>
        </w:tc>
        <w:tc>
          <w:tcPr>
            <w:tcW w:type="dxa" w:w="1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600</w:t>
            </w:r>
          </w:p>
        </w:tc>
        <w:tc>
          <w:tcPr>
            <w:tcW w:type="dxa" w:w="1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1,250</w:t>
            </w:r>
          </w:p>
        </w:tc>
        <w:tc>
          <w:tcPr>
            <w:tcW w:type="dxa" w:w="1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750</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15.8 s</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100×</w:t>
            </w:r>
          </w:p>
        </w:tc>
        <w:tc>
          <w:tcPr>
            <w:tcW w:type="dxa" w:w="1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7,512</w:t>
            </w:r>
          </w:p>
        </w:tc>
        <w:tc>
          <w:tcPr>
            <w:tcW w:type="dxa" w:w="1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16,695</w:t>
            </w:r>
          </w:p>
        </w:tc>
        <w:tc>
          <w:tcPr>
            <w:tcW w:type="dxa" w:w="1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1,200</w:t>
            </w:r>
          </w:p>
        </w:tc>
        <w:tc>
          <w:tcPr>
            <w:tcW w:type="dxa" w:w="1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2,500</w:t>
            </w:r>
          </w:p>
        </w:tc>
        <w:tc>
          <w:tcPr>
            <w:tcW w:type="dxa" w:w="1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1,500</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27.5 s</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200×</w:t>
            </w:r>
          </w:p>
        </w:tc>
        <w:tc>
          <w:tcPr>
            <w:tcW w:type="dxa" w:w="1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15,012</w:t>
            </w:r>
          </w:p>
        </w:tc>
        <w:tc>
          <w:tcPr>
            <w:tcW w:type="dxa" w:w="1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33,395</w:t>
            </w:r>
          </w:p>
        </w:tc>
        <w:tc>
          <w:tcPr>
            <w:tcW w:type="dxa" w:w="1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2,400</w:t>
            </w:r>
          </w:p>
        </w:tc>
        <w:tc>
          <w:tcPr>
            <w:tcW w:type="dxa" w:w="1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5,000</w:t>
            </w:r>
          </w:p>
        </w:tc>
        <w:tc>
          <w:tcPr>
            <w:tcW w:type="dxa" w:w="1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3,000</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54.5 s</w:t>
            </w:r>
          </w:p>
        </w:tc>
      </w:tr>
    </w:tbl>
    <w:p>
      <w:pPr>
        <w:spacing w:after="240" w:before="60"/>
        <w:jc w:val="center"/>
      </w:pPr>
      <w:r>
        <w:rPr>
          <w:rFonts w:ascii="Times New Roman" w:cs="Times New Roman" w:eastAsia="Times New Roman" w:hAnsi="Times New Roman"/>
          <w:i/>
          <w:iCs/>
          <w:sz w:val="20"/>
          <w:szCs w:val="20"/>
        </w:rPr>
        <w:t xml:space="preserve">Table 12.  Corpus at each scale, loaded through the production seed path.</w:t>
      </w:r>
    </w:p>
    <w:p>
      <w:pPr>
        <w:keepNext/>
        <w:spacing w:after="40" w:before="120"/>
        <w:jc w:val="center"/>
      </w:pPr>
      <w:r>
        <w:drawing>
          <wp:inline distT="0" distB="0" distL="0" distR="0">
            <wp:extent cx="6096000" cy="3228975"/>
            <wp:effectExtent t="0" r="0" b="0" l="0"/>
            <wp:docPr id="1" name="p95 latency of each store's GraphRAG query as the corpus grows 200× (after the fixes of Section 9.4)." descr="p95 latency of each store's GraphRAG query as the corpus grows 200× (after the fixes of Section 9.4)." title="p95 latency of each store's GraphRAG query as the corpus grows 200× (after the fixes of Sectio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2289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7.  p95 latency of each store's GraphRAG query as the corpus grows 200× (after the fixes of Section 9.4).</w:t>
      </w:r>
    </w:p>
    <w:p>
      <w:pPr>
        <w:spacing w:after="160" w:line="340"/>
        <w:jc w:val="both"/>
      </w:pPr>
      <w:r>
        <w:rPr>
          <w:rFonts w:ascii="Times New Roman" w:cs="Times New Roman" w:eastAsia="Times New Roman" w:hAnsi="Times New Roman"/>
          <w:sz w:val="24"/>
          <w:szCs w:val="24"/>
        </w:rPr>
        <w:t xml:space="preserve">Store-level latency is essentially flat across a 170-fold increase in graph size. A 2-hop neighbourhood stays near 9.51 ms–10.8 ms because traversal cost depends on the local neighbourhood, not on graph size (index-free adjacency), and the hub budget keeps the evidence at 60 edges and 10 documents at every scale. MongoDB reads by actor stay near 1.15 ms through the multikey index, Qdrant filtered k-NN near 5.58 ms, and Redis GET near 0.36 ms. Entity-linking p95 rises from 0.11 ms to 0.79 ms because a name such as APT28 has 200 near-duplicate clones to verify — still below a millisecond.</w:t>
      </w:r>
    </w:p>
    <w:p>
      <w:pPr>
        <w:pStyle w:val="Heading2"/>
        <w:keepNext/>
        <w:spacing w:after="120" w:before="240"/>
      </w:pPr>
      <w:r>
        <w:rPr>
          <w:rFonts w:ascii="Times New Roman" w:cs="Times New Roman" w:eastAsia="Times New Roman" w:hAnsi="Times New Roman"/>
          <w:b/>
          <w:bCs/>
          <w:color w:val="1B4F72"/>
          <w:sz w:val="26"/>
          <w:szCs w:val="26"/>
        </w:rPr>
        <w:t xml:space="preserve">9.4  Bottlenecks found and fixed</w:t>
      </w:r>
    </w:p>
    <w:p>
      <w:pPr>
        <w:spacing w:after="160" w:line="340"/>
        <w:jc w:val="both"/>
      </w:pPr>
      <w:r>
        <w:rPr>
          <w:rFonts w:ascii="Times New Roman" w:cs="Times New Roman" w:eastAsia="Times New Roman" w:hAnsi="Times New Roman"/>
          <w:sz w:val="24"/>
          <w:szCs w:val="24"/>
        </w:rPr>
        <w:t xml:space="preserve">The first scaling run did not look like Figure 7. GraphRAG retrieval grew roughly linearly with corpus size — median 26.8 ms at 1× to 675 ms at 200×, p95 14.7 s — and ingest throughput fell from 20.4 to 1.5 reports per second. Per-channel timing and Neo4j PROFILE output traced this to four defects, none visible on the 87-node seed corpus: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cantSplit/>
          <w:tblHeader/>
        </w:trPr>
        <w:tc>
          <w:tcPr>
            <w:tcW w:type="dxa" w:w="23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Defect</w:t>
            </w:r>
          </w:p>
        </w:tc>
        <w:tc>
          <w:tcPr>
            <w:tcW w:type="dxa" w:w="3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Cause</w:t>
            </w:r>
          </w:p>
        </w:tc>
        <w:tc>
          <w:tcPr>
            <w:tcW w:type="dxa" w:w="36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Fix</w:t>
            </w:r>
          </w:p>
        </w:tc>
      </w:tr>
      <w:tr>
        <w:trPr>
          <w:cantSplit/>
          <w:tblHeader w:val="false"/>
        </w:trPr>
        <w:tc>
          <w:tcPr>
            <w:tcW w:type="dxa" w:w="2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Linear entity linking</w:t>
            </w:r>
          </w:p>
        </w:tc>
        <w:tc>
          <w:tcPr>
            <w:tcW w:type="dxa" w:w="3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one regular-expression search per gazetteer surface form for every question and every ingest (≈30,000 at 200×)</w:t>
            </w:r>
          </w:p>
        </w:tc>
        <w:tc>
          <w:tcPr>
            <w:tcW w:type="dxa" w:w="3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inverted index from tokens and dotted runs to surface forms; candidates verified with the original word-boundary rule; a unit test proves identical results [39]</w:t>
            </w:r>
          </w:p>
        </w:tc>
      </w:tr>
      <w:tr>
        <w:trPr>
          <w:cantSplit/>
          <w:tblHeader w:val="false"/>
        </w:trPr>
        <w:tc>
          <w:tcPr>
            <w:tcW w:type="dxa" w:w="2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Unbounded global traversal + N+1 lookups</w:t>
            </w:r>
          </w:p>
        </w:tc>
        <w:tc>
          <w:tcPr>
            <w:tcW w:type="dxa" w:w="3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questions naming no actor listed every infrastructure-sharing pair, then fetched each missing node with a label-less MATCH (a full scan of all nodes, once per node)</w:t>
            </w:r>
          </w:p>
        </w:tc>
        <w:tc>
          <w:tcPr>
            <w:tcW w:type="dxa" w:w="3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LIMIT 25 ordered by shared-report evidence; one batched lookup via a UNION of labelled index seeks; an index on Indicator.id</w:t>
            </w:r>
          </w:p>
        </w:tc>
      </w:tr>
      <w:tr>
        <w:trPr>
          <w:cantSplit/>
          <w:tblHeader w:val="false"/>
        </w:trPr>
        <w:tc>
          <w:tcPr>
            <w:tcW w:type="dxa" w:w="2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Whole-graph join on ingest</w:t>
            </w:r>
          </w:p>
        </w:tc>
        <w:tc>
          <w:tcPr>
            <w:tcW w:type="dxa" w:w="3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every ingest re-linked OBSERVED_AS across all Infrastructure × Indicator pairs and invalidated the gazetteer</w:t>
            </w:r>
          </w:p>
        </w:tc>
        <w:tc>
          <w:tcPr>
            <w:tcW w:type="dxa" w:w="3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join restricted to the plan's values; gazetteer invalidated only when a job adds graph entities</w:t>
            </w:r>
          </w:p>
        </w:tc>
      </w:tr>
      <w:tr>
        <w:trPr>
          <w:cantSplit/>
          <w:tblHeader w:val="false"/>
        </w:trPr>
        <w:tc>
          <w:tcPr>
            <w:tcW w:type="dxa" w:w="2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Thread-unsafe vector client under load</w:t>
            </w:r>
          </w:p>
        </w:tc>
        <w:tc>
          <w:tcPr>
            <w:tcW w:type="dxa" w:w="3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one Qdrant REST client shared by FastAPI's worker threads: under 16 concurrent clients a socket was closed under another thread's read (HTTP 500)</w:t>
            </w:r>
          </w:p>
        </w:tc>
        <w:tc>
          <w:tcPr>
            <w:tcW w:type="dxa" w:w="3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one Qdrant client per worker thread; gazetteer refresh behind a lock</w:t>
            </w:r>
          </w:p>
        </w:tc>
      </w:tr>
    </w:tbl>
    <w:p>
      <w:pPr>
        <w:spacing w:after="240" w:before="60"/>
        <w:jc w:val="center"/>
      </w:pPr>
      <w:r>
        <w:rPr>
          <w:rFonts w:ascii="Times New Roman" w:cs="Times New Roman" w:eastAsia="Times New Roman" w:hAnsi="Times New Roman"/>
          <w:i/>
          <w:iCs/>
          <w:sz w:val="20"/>
          <w:szCs w:val="20"/>
        </w:rPr>
        <w:t xml:space="preserve">Table 13.  Scalability defects exposed by the benchmark and their fixes.</w:t>
      </w:r>
    </w:p>
    <w:p>
      <w:pPr>
        <w:keepNext/>
        <w:spacing w:after="40" w:before="120"/>
        <w:jc w:val="center"/>
      </w:pPr>
      <w:r>
        <w:drawing>
          <wp:inline distT="0" distB="0" distL="0" distR="0">
            <wp:extent cx="6096000" cy="2333625"/>
            <wp:effectExtent t="0" r="0" b="0" l="0"/>
            <wp:docPr id="1" name="Entity linking and GraphRAG retrieval latency before and after the fixes, 1× to 200×." descr="Entity linking and GraphRAG retrieval latency before and after the fixes, 1× to 200×." title="Entity linking and GraphRAG retrieval latency before and after the fixes, 1× to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3336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8.  Entity linking and GraphRAG retrieval latency before and after the fixes, 1× to 200×.</w:t>
      </w:r>
    </w:p>
    <w:p>
      <w:pPr>
        <w:spacing w:after="160" w:line="340"/>
        <w:jc w:val="both"/>
      </w:pPr>
      <w:r>
        <w:rPr>
          <w:rFonts w:ascii="Times New Roman" w:cs="Times New Roman" w:eastAsia="Times New Roman" w:hAnsi="Times New Roman"/>
          <w:sz w:val="24"/>
          <w:szCs w:val="24"/>
        </w:rPr>
        <w:t xml:space="preserve">At 200× the fixes reduce entity linking from 379 ms to 0.06 ms (median), GraphRAG retrieval from 675 ms to 65.4 ms (median) and from 14.7 s to 185 ms (p95), and raise ingest throughput from 1.5 to 31.6 reports per second (Figure 9). The full scale experiment now runs in 123.4 s instead of 331.8 s.</w:t>
      </w:r>
    </w:p>
    <w:p>
      <w:pPr>
        <w:keepNext/>
        <w:spacing w:after="40" w:before="120"/>
        <w:jc w:val="center"/>
      </w:pPr>
      <w:r>
        <w:drawing>
          <wp:inline distT="0" distB="0" distL="0" distR="0">
            <wp:extent cx="6096000" cy="2447925"/>
            <wp:effectExtent t="0" r="0" b="0" l="0"/>
            <wp:docPr id="1" name="Ingest throughput through the full four-store fan-out, before and after the fixes." descr="Ingest throughput through the full four-store fan-out, before and after the fixes." title="Ingest throughput through the full four-store fan-out, before and after the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4479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9.  Ingest throughput through the full four-store fan-out, before and after the fixes.</w:t>
      </w:r>
    </w:p>
    <w:p>
      <w:pPr>
        <w:pStyle w:val="Heading2"/>
        <w:keepNext/>
        <w:spacing w:after="120" w:before="240"/>
      </w:pPr>
      <w:r>
        <w:rPr>
          <w:rFonts w:ascii="Times New Roman" w:cs="Times New Roman" w:eastAsia="Times New Roman" w:hAnsi="Times New Roman"/>
          <w:b/>
          <w:bCs/>
          <w:color w:val="1B4F72"/>
          <w:sz w:val="26"/>
          <w:szCs w:val="26"/>
        </w:rPr>
        <w:t xml:space="preserve">9.5  Indexing</w:t>
      </w:r>
    </w:p>
    <w:p>
      <w:pPr>
        <w:spacing w:after="160" w:line="340"/>
        <w:jc w:val="both"/>
      </w:pPr>
      <w:r>
        <w:rPr>
          <w:rFonts w:ascii="Times New Roman" w:cs="Times New Roman" w:eastAsia="Times New Roman" w:hAnsi="Times New Roman"/>
          <w:sz w:val="24"/>
          <w:szCs w:val="24"/>
        </w:rPr>
        <w:t xml:space="preserve">Each store's indexes were ablated on dedicated data: 200,000 synthetic reports in MongoDB and 100,000 hosts in Neo4j. Figure 10 and Table 14 show latency together with the work the engine reports — documents and keys examined from MongoDB </w:t>
      </w:r>
      <w:r>
        <w:rPr>
          <w:rFonts w:ascii="Courier New" w:cs="Courier New" w:eastAsia="Courier New" w:hAnsi="Courier New"/>
          <w:sz w:val="20"/>
          <w:szCs w:val="20"/>
        </w:rPr>
        <w:t xml:space="preserve">explain()</w:t>
      </w:r>
      <w:r>
        <w:rPr>
          <w:rFonts w:ascii="Times New Roman" w:cs="Times New Roman" w:eastAsia="Times New Roman" w:hAnsi="Times New Roman"/>
          <w:sz w:val="24"/>
          <w:szCs w:val="24"/>
        </w:rPr>
        <w:t xml:space="preserve">, database hits from Neo4j </w:t>
      </w:r>
      <w:r>
        <w:rPr>
          <w:rFonts w:ascii="Courier New" w:cs="Courier New" w:eastAsia="Courier New" w:hAnsi="Courier New"/>
          <w:sz w:val="20"/>
          <w:szCs w:val="20"/>
        </w:rPr>
        <w:t xml:space="preserve">PROFILE</w:t>
      </w:r>
      <w:r>
        <w:rPr>
          <w:rFonts w:ascii="Times New Roman" w:cs="Times New Roman" w:eastAsia="Times New Roman" w:hAnsi="Times New Roman"/>
          <w:sz w:val="24"/>
          <w:szCs w:val="24"/>
        </w:rPr>
        <w:t xml:space="preserve">.</w:t>
      </w:r>
    </w:p>
    <w:p>
      <w:pPr>
        <w:keepNext/>
        <w:spacing w:after="40" w:before="120"/>
        <w:jc w:val="center"/>
      </w:pPr>
      <w:r>
        <w:drawing>
          <wp:inline distT="0" distB="0" distL="0" distR="0">
            <wp:extent cx="6096000" cy="2314575"/>
            <wp:effectExtent t="0" r="0" b="0" l="0"/>
            <wp:docPr id="1" name="Index ablation: MongoDB report queries and Neo4j property lookup, without and with indexes (median latency)." descr="Index ablation: MongoDB report queries and Neo4j property lookup, without and with indexes (median latency)." title="Index ablation: MongoDB report queries and Neo4j property lookup, without and with indexes (median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23145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10.  Index ablation: MongoDB report queries and Neo4j property lookup, without and with indexes (median latency).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700"/>
        <w:gridCol w:w="1700"/>
        <w:gridCol w:w="1638"/>
      </w:tblGrid>
      <w:tr>
        <w:trPr>
          <w:cantSplit/>
          <w:tblHeader/>
        </w:trPr>
        <w:tc>
          <w:tcPr>
            <w:tcW w:type="dxa" w:w="29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Query</w:t>
            </w:r>
          </w:p>
        </w:tc>
        <w:tc>
          <w:tcPr>
            <w:tcW w:type="dxa" w:w="1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Plan without → with</w:t>
            </w:r>
          </w:p>
        </w:tc>
        <w:tc>
          <w:tcPr>
            <w:tcW w:type="dxa" w:w="1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Docs examined</w:t>
            </w:r>
          </w:p>
        </w:tc>
        <w:tc>
          <w:tcPr>
            <w:tcW w:type="dxa" w:w="1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Median latency</w:t>
            </w:r>
          </w:p>
        </w:tc>
        <w:tc>
          <w:tcPr>
            <w:tcW w:type="dxa" w:w="16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Speed-up</w:t>
            </w:r>
          </w:p>
        </w:tc>
      </w:tr>
      <w:tr>
        <w:trPr>
          <w:cantSplit/>
          <w:tblHeader w:val="false"/>
        </w:trPr>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reports by actor (limit 100)</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COLLSCAN → IXSCAN</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37,181 → 100</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9.96 ms → 0.77 ms</w:t>
            </w:r>
          </w:p>
        </w:tc>
        <w:tc>
          <w:tcPr>
            <w:tcW w:type="dxa" w:w="1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13×</w:t>
            </w:r>
          </w:p>
        </w:tc>
      </w:tr>
      <w:tr>
        <w:trPr>
          <w:cantSplit/>
          <w:tblHeader w:val="false"/>
        </w:trPr>
        <w:tc>
          <w:tcPr>
            <w:tcW w:type="dxa" w:w="2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reports citing an IOC</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COLLSCAN → IXSCAN</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200,000 → 3</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54.7 ms → 0.53 ms</w:t>
            </w:r>
          </w:p>
        </w:tc>
        <w:tc>
          <w:tcPr>
            <w:tcW w:type="dxa" w:w="1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103×</w:t>
            </w:r>
          </w:p>
        </w:tc>
      </w:tr>
      <w:tr>
        <w:trPr>
          <w:cantSplit/>
          <w:tblHeader w:val="false"/>
        </w:trPr>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50 newest at TLP ≤ GREEN</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COLLSCAN → IXSCAN</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200,000 → 69</w:t>
            </w:r>
          </w:p>
        </w:tc>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49.9 ms → 0.53 ms</w:t>
            </w:r>
          </w:p>
        </w:tc>
        <w:tc>
          <w:tcPr>
            <w:tcW w:type="dxa" w:w="1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94×</w:t>
            </w:r>
          </w:p>
        </w:tc>
      </w:tr>
      <w:tr>
        <w:trPr>
          <w:cantSplit/>
          <w:tblHeader w:val="false"/>
        </w:trPr>
        <w:tc>
          <w:tcPr>
            <w:tcW w:type="dxa" w:w="2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Neo4j host by value</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NodeByLabelScan → NodeIndexSeek</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200,002 → 3 db hits</w:t>
            </w:r>
          </w:p>
        </w:tc>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18.6 ms → 0.66 ms</w:t>
            </w:r>
          </w:p>
        </w:tc>
        <w:tc>
          <w:tcPr>
            <w:tcW w:type="dxa" w:w="1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8"/>
                <w:szCs w:val="18"/>
              </w:rPr>
              <w:t xml:space="preserve">28×</w:t>
            </w:r>
          </w:p>
        </w:tc>
      </w:tr>
    </w:tbl>
    <w:p>
      <w:pPr>
        <w:spacing w:after="240" w:before="60"/>
        <w:jc w:val="center"/>
      </w:pPr>
      <w:r>
        <w:rPr>
          <w:rFonts w:ascii="Times New Roman" w:cs="Times New Roman" w:eastAsia="Times New Roman" w:hAnsi="Times New Roman"/>
          <w:i/>
          <w:iCs/>
          <w:sz w:val="20"/>
          <w:szCs w:val="20"/>
        </w:rPr>
        <w:t xml:space="preserve">Table 14.  Index ablation results.</w:t>
      </w:r>
    </w:p>
    <w:p>
      <w:pPr>
        <w:spacing w:after="160" w:line="340"/>
        <w:jc w:val="both"/>
      </w:pPr>
      <w:r>
        <w:rPr>
          <w:rFonts w:ascii="Times New Roman" w:cs="Times New Roman" w:eastAsia="Times New Roman" w:hAnsi="Times New Roman"/>
          <w:sz w:val="24"/>
          <w:szCs w:val="24"/>
        </w:rPr>
        <w:t xml:space="preserve">Without secondary indexes MongoDB scans the collection (COLLSCAN) and reads up to every document; the multikey indexes reduce this to the matching documents. The newest-first TLP query reads 69 documents through the date index and 50 with a compound (tlp, date) index — a small further gain we record but do not need at this scale. The production indexes cost 14.0 MB for 44 MB of data and build in 0.95 s. In Neo4j, a label scan touches every node; the range index turns the lookup into a seek with 3 database hits.</w:t>
      </w:r>
    </w:p>
    <w:p>
      <w:pPr>
        <w:pStyle w:val="Heading2"/>
        <w:keepNext/>
        <w:spacing w:after="120" w:before="240"/>
      </w:pPr>
      <w:r>
        <w:rPr>
          <w:rFonts w:ascii="Times New Roman" w:cs="Times New Roman" w:eastAsia="Times New Roman" w:hAnsi="Times New Roman"/>
          <w:b/>
          <w:bCs/>
          <w:color w:val="1B4F72"/>
          <w:sz w:val="26"/>
          <w:szCs w:val="26"/>
        </w:rPr>
        <w:t xml:space="preserve">9.6  Key–value enforcement plane</w:t>
      </w:r>
    </w:p>
    <w:p>
      <w:pPr>
        <w:keepNext/>
        <w:spacing w:after="40" w:before="120"/>
        <w:jc w:val="center"/>
      </w:pPr>
      <w:r>
        <w:drawing>
          <wp:inline distT="0" distB="0" distL="0" distR="0">
            <wp:extent cx="6096000" cy="2314575"/>
            <wp:effectExtent t="0" r="0" b="0" l="0"/>
            <wp:docPr id="1" name="Redis: blocklist lookup p99 against a full keyspace scan as the number of IOC keys grows to 500,000." descr="Redis: blocklist lookup p99 against a full keyspace scan as the number of IOC keys grows to 500,000." title="Redis: blocklist lookup p99 against a full keyspace scan as the number of IOC keys grows to 5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23145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11.  Redis: blocklist lookup p99 against a full keyspace scan as the number of IOC keys grows to 500,000.</w:t>
      </w:r>
    </w:p>
    <w:p>
      <w:pPr>
        <w:spacing w:after="160" w:line="340"/>
        <w:jc w:val="both"/>
      </w:pPr>
      <w:r>
        <w:rPr>
          <w:rFonts w:ascii="Times New Roman" w:cs="Times New Roman" w:eastAsia="Times New Roman" w:hAnsi="Times New Roman"/>
          <w:sz w:val="24"/>
          <w:szCs w:val="24"/>
        </w:rPr>
        <w:t xml:space="preserve">The enforcement lookup (pipelined GET + TTL) stays at 0.29 ms median and 0.53 ms p99 at 500,000 keys, while any lookup that is not by key — such as finding IOCs by actor — needs a full SCAN that grows linearly to 1.0 s. This is why the design never queries Redis by attribute (NFR3) and keeps attribute queries in MongoDB and Neo4j. Memory grows to 191.6 MB at 500,000 keys (about 402 bytes per IOC including the expiry index).</w:t>
      </w:r>
    </w:p>
    <w:p>
      <w:pPr>
        <w:pStyle w:val="Heading2"/>
        <w:keepNext/>
        <w:spacing w:after="120" w:before="240"/>
      </w:pPr>
      <w:r>
        <w:rPr>
          <w:rFonts w:ascii="Times New Roman" w:cs="Times New Roman" w:eastAsia="Times New Roman" w:hAnsi="Times New Roman"/>
          <w:b/>
          <w:bCs/>
          <w:color w:val="1B4F72"/>
          <w:sz w:val="26"/>
          <w:szCs w:val="26"/>
        </w:rPr>
        <w:t xml:space="preserve">9.7  Vector search: HNSW against exact search</w:t>
      </w:r>
    </w:p>
    <w:p>
      <w:pPr>
        <w:keepNext/>
        <w:spacing w:after="40" w:before="120"/>
        <w:jc w:val="center"/>
      </w:pPr>
      <w:r>
        <w:drawing>
          <wp:inline distT="0" distB="0" distL="0" distR="0">
            <wp:extent cx="6096000" cy="2266950"/>
            <wp:effectExtent t="0" r="0" b="0" l="0"/>
            <wp:docPr id="1" name="Qdrant: recall@10 of HNSW as search breadth grows, and median latency of HNSW and exact search as the collection grows." descr="Qdrant: recall@10 of HNSW as search breadth grows, and median latency of HNSW and exact search as the collection grows." title="Qdrant: recall@10 of HNSW as search breadth grows, and median latency of HNSW and exact search as the collection g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2669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12.  Qdrant: recall@10 of HNSW as search breadth grows, and median latency of HNSW and exact search as the collection grows.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2100"/>
        <w:gridCol w:w="2238"/>
      </w:tblGrid>
      <w:tr>
        <w:trPr>
          <w:cantSplit/>
          <w:tblHeader/>
        </w:trPr>
        <w:tc>
          <w:tcPr>
            <w:tcW w:type="dxa" w:w="1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Points</w:t>
            </w:r>
          </w:p>
        </w:tc>
        <w:tc>
          <w:tcPr>
            <w:tcW w:type="dxa" w:w="19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Exact (unfiltered)</w:t>
            </w:r>
          </w:p>
        </w:tc>
        <w:tc>
          <w:tcPr>
            <w:tcW w:type="dxa" w:w="19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HNSW ef = 64</w:t>
            </w:r>
          </w:p>
        </w:tc>
        <w:tc>
          <w:tcPr>
            <w:tcW w:type="dxa" w:w="21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Recall@10 ef = 64</w:t>
            </w:r>
          </w:p>
        </w:tc>
        <w:tc>
          <w:tcPr>
            <w:tcW w:type="dxa" w:w="22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Recall@10 ef = 128 (TLP filter)</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10,000</w:t>
            </w:r>
          </w:p>
        </w:tc>
        <w:tc>
          <w:tcPr>
            <w:tcW w:type="dxa" w:w="1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1.94 ms</w:t>
            </w:r>
          </w:p>
        </w:tc>
        <w:tc>
          <w:tcPr>
            <w:tcW w:type="dxa" w:w="1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1.78 ms</w:t>
            </w:r>
          </w:p>
        </w:tc>
        <w:tc>
          <w:tcPr>
            <w:tcW w:type="dxa" w:w="21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1.000</w:t>
            </w:r>
          </w:p>
        </w:tc>
        <w:tc>
          <w:tcPr>
            <w:tcW w:type="dxa" w:w="2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1.000</w:t>
            </w:r>
          </w:p>
        </w:tc>
      </w:tr>
      <w:tr>
        <w:trPr>
          <w:cantSplit/>
          <w:tblHeader w:val="false"/>
        </w:trPr>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50,000</w:t>
            </w:r>
          </w:p>
        </w:tc>
        <w:tc>
          <w:tcPr>
            <w:tcW w:type="dxa" w:w="1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2.99 ms</w:t>
            </w:r>
          </w:p>
        </w:tc>
        <w:tc>
          <w:tcPr>
            <w:tcW w:type="dxa" w:w="1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2.53 ms</w:t>
            </w:r>
          </w:p>
        </w:tc>
        <w:tc>
          <w:tcPr>
            <w:tcW w:type="dxa" w:w="21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1.000</w:t>
            </w:r>
          </w:p>
        </w:tc>
        <w:tc>
          <w:tcPr>
            <w:tcW w:type="dxa" w:w="2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1.000</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100,000</w:t>
            </w:r>
          </w:p>
        </w:tc>
        <w:tc>
          <w:tcPr>
            <w:tcW w:type="dxa" w:w="1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4.33 ms</w:t>
            </w:r>
          </w:p>
        </w:tc>
        <w:tc>
          <w:tcPr>
            <w:tcW w:type="dxa" w:w="1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2.26 ms</w:t>
            </w:r>
          </w:p>
        </w:tc>
        <w:tc>
          <w:tcPr>
            <w:tcW w:type="dxa" w:w="21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0.999</w:t>
            </w:r>
          </w:p>
        </w:tc>
        <w:tc>
          <w:tcPr>
            <w:tcW w:type="dxa" w:w="2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0.998</w:t>
            </w:r>
          </w:p>
        </w:tc>
      </w:tr>
    </w:tbl>
    <w:p>
      <w:pPr>
        <w:spacing w:after="240" w:before="60"/>
        <w:jc w:val="center"/>
      </w:pPr>
      <w:r>
        <w:rPr>
          <w:rFonts w:ascii="Times New Roman" w:cs="Times New Roman" w:eastAsia="Times New Roman" w:hAnsi="Times New Roman"/>
          <w:i/>
          <w:iCs/>
          <w:sz w:val="20"/>
          <w:szCs w:val="20"/>
        </w:rPr>
        <w:t xml:space="preserve">Table 15.  HNSW against exact search on 64-dimensional clustered vectors (100 queries, k = 10).</w:t>
      </w:r>
    </w:p>
    <w:p>
      <w:pPr>
        <w:spacing w:after="160" w:line="340"/>
        <w:jc w:val="both"/>
      </w:pPr>
      <w:r>
        <w:rPr>
          <w:rFonts w:ascii="Times New Roman" w:cs="Times New Roman" w:eastAsia="Times New Roman" w:hAnsi="Times New Roman"/>
          <w:sz w:val="24"/>
          <w:szCs w:val="24"/>
        </w:rPr>
        <w:t xml:space="preserve">Exact search grows linearly with the collection (1.94 ms → 4.33 ms) while HNSW stays near 2.26 ms with recall@10 of 0.999 at ef = 64. Filtering by TLP needs a wider search: at 100,000 points recall is 0.68 at ef = 16 but 0.998 at ef = 128. The platform's own collection (25 chunks, 5,000 at 200×) is below Qdrant's indexing threshold, so it is searched exactly — the optimal choice at that size.</w:t>
      </w:r>
    </w:p>
    <w:p>
      <w:pPr>
        <w:pStyle w:val="Heading2"/>
        <w:keepNext/>
        <w:spacing w:after="120" w:before="240"/>
      </w:pPr>
      <w:r>
        <w:rPr>
          <w:rFonts w:ascii="Times New Roman" w:cs="Times New Roman" w:eastAsia="Times New Roman" w:hAnsi="Times New Roman"/>
          <w:b/>
          <w:bCs/>
          <w:color w:val="1B4F72"/>
          <w:sz w:val="26"/>
          <w:szCs w:val="26"/>
        </w:rPr>
        <w:t xml:space="preserve">9.8  Concurrency</w:t>
      </w:r>
    </w:p>
    <w:p>
      <w:pPr>
        <w:keepNext/>
        <w:spacing w:after="40" w:before="120"/>
        <w:jc w:val="center"/>
      </w:pPr>
      <w:r>
        <w:drawing>
          <wp:inline distT="0" distB="0" distL="0" distR="0">
            <wp:extent cx="6096000" cy="2457450"/>
            <wp:effectExtent t="0" r="0" b="0" l="0"/>
            <wp:docPr id="1" name="API throughput and p95 latency from 1 to 64 concurrent clients (200× corpus, one Uvicorn worker)." descr="API throughput and p95 latency from 1 to 64 concurrent clients (200× corpus, one Uvicorn worker)." title="API throughput and p95 latency from 1 to 64 concurrent clients (200× corpus, one Uvicorn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24574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13.  API throughput and p95 latency from 1 to 64 concurrent clients (200× corpus, one Uvicorn worker).</w:t>
      </w:r>
    </w:p>
    <w:p>
      <w:pPr>
        <w:spacing w:after="160" w:line="340"/>
        <w:jc w:val="both"/>
      </w:pPr>
      <w:r>
        <w:rPr>
          <w:rFonts w:ascii="Times New Roman" w:cs="Times New Roman" w:eastAsia="Times New Roman" w:hAnsi="Times New Roman"/>
          <w:sz w:val="24"/>
          <w:szCs w:val="24"/>
        </w:rPr>
        <w:t xml:space="preserve">A single API worker peaks at 1,512 enforcement checks per second (4 clients) and 27.5 GraphRAG retrievals per second, with no errors at any level after the thread-safety fix. Beyond four clients throughput falls and tail latency rises sharply: the worker is bound by the Python interpreter lock and the two virtual CPUs it shares with the stores, so requests queue. Throughput therefore scales by adding Uvicorn workers or API replicas behind a load balancer — the stores are not the limit — and a deployment on dedicated cores would move the knee further out.</w:t>
      </w:r>
    </w:p>
    <w:p>
      <w:pPr>
        <w:pStyle w:val="Heading2"/>
        <w:keepNext/>
        <w:spacing w:after="120" w:before="240"/>
      </w:pPr>
      <w:r>
        <w:rPr>
          <w:rFonts w:ascii="Times New Roman" w:cs="Times New Roman" w:eastAsia="Times New Roman" w:hAnsi="Times New Roman"/>
          <w:b/>
          <w:bCs/>
          <w:color w:val="1B4F72"/>
          <w:sz w:val="26"/>
          <w:szCs w:val="26"/>
        </w:rPr>
        <w:t xml:space="preserve">9.9  LLM latency</w:t>
      </w:r>
    </w:p>
    <w:p>
      <w:pPr>
        <w:spacing w:after="160" w:line="340"/>
        <w:jc w:val="both"/>
      </w:pPr>
      <w:r>
        <w:rPr>
          <w:rFonts w:ascii="Times New Roman" w:cs="Times New Roman" w:eastAsia="Times New Roman" w:hAnsi="Times New Roman"/>
          <w:sz w:val="24"/>
          <w:szCs w:val="24"/>
        </w:rPr>
        <w:t xml:space="preserve">The GraphRAG SLO is the only one that depends on the language model. Profiling one call showed that with the full evidence pack (17,663 characters, 4,991 tokens) </w:t>
      </w:r>
      <w:r>
        <w:rPr>
          <w:rFonts w:ascii="Courier New" w:cs="Courier New" w:eastAsia="Courier New" w:hAnsi="Courier New"/>
          <w:sz w:val="20"/>
          <w:szCs w:val="20"/>
        </w:rPr>
        <w:t xml:space="preserve">llama3.1:8b</w:t>
      </w:r>
      <w:r>
        <w:rPr>
          <w:rFonts w:ascii="Times New Roman" w:cs="Times New Roman" w:eastAsia="Times New Roman" w:hAnsi="Times New Roman"/>
          <w:sz w:val="24"/>
          <w:szCs w:val="24"/>
        </w:rPr>
        <w:t xml:space="preserve"> spent 17 s evaluating the prompt and 7.4 s generating 117 tokens. A prompt budget — the top 30 non-MENTIONED_IN facts, six documents of 300 characters and 12 IOC states, about half the characters — plus an output cap and keep-alive brought </w:t>
      </w:r>
      <w:r>
        <w:rPr>
          <w:rFonts w:ascii="Courier New" w:cs="Courier New" w:eastAsia="Courier New" w:hAnsi="Courier New"/>
          <w:sz w:val="20"/>
          <w:szCs w:val="20"/>
        </w:rPr>
        <w:t xml:space="preserve">llama3.1</w:t>
      </w:r>
      <w:r>
        <w:rPr>
          <w:rFonts w:ascii="Times New Roman" w:cs="Times New Roman" w:eastAsia="Times New Roman" w:hAnsi="Times New Roman"/>
          <w:sz w:val="24"/>
          <w:szCs w:val="24"/>
        </w:rPr>
        <w:t xml:space="preserve"> to 21–27 s, and </w:t>
      </w:r>
      <w:r>
        <w:rPr>
          <w:rFonts w:ascii="Courier New" w:cs="Courier New" w:eastAsia="Courier New" w:hAnsi="Courier New"/>
          <w:sz w:val="20"/>
          <w:szCs w:val="20"/>
        </w:rPr>
        <w:t xml:space="preserve">llama3.2:3b</w:t>
      </w:r>
      <w:r>
        <w:rPr>
          <w:rFonts w:ascii="Times New Roman" w:cs="Times New Roman" w:eastAsia="Times New Roman" w:hAnsi="Times New Roman"/>
          <w:sz w:val="24"/>
          <w:szCs w:val="24"/>
        </w:rPr>
        <w:t xml:space="preserve"> to 9.5 s p95 (Figure 14). Keeping the most relevant evidence also follows the observation that models use long contexts poorly [36].</w:t>
      </w:r>
    </w:p>
    <w:p>
      <w:pPr>
        <w:keepNext/>
        <w:spacing w:after="40" w:before="120"/>
        <w:jc w:val="center"/>
      </w:pPr>
      <w:r>
        <w:drawing>
          <wp:inline distT="0" distB="0" distL="0" distR="0">
            <wp:extent cx="6096000" cy="2524125"/>
            <wp:effectExtent t="0" r="0" b="0" l="0"/>
            <wp:docPr id="1" name="GraphRAG end-to-end p95 across measured configurations, with mean citation coverage (six acceptance questions)." descr="GraphRAG end-to-end p95 across measured configurations, with mean citation coverage (six acceptance questions)." title="GraphRAG end-to-end p95 across measured configurations, with mean citation coverage (six acceptance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25241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14.  GraphRAG end-to-end p95 across measured configurations, with mean citation coverage (six acceptance questions).</w:t>
      </w:r>
    </w:p>
    <w:p>
      <w:pPr>
        <w:spacing w:after="160" w:line="340"/>
        <w:jc w:val="both"/>
      </w:pPr>
      <w:r>
        <w:rPr>
          <w:rFonts w:ascii="Times New Roman" w:cs="Times New Roman" w:eastAsia="Times New Roman" w:hAnsi="Times New Roman"/>
          <w:sz w:val="24"/>
          <w:szCs w:val="24"/>
        </w:rPr>
        <w:t xml:space="preserve">The smaller model is the default because it meets the SLO with full gold recall; </w:t>
      </w:r>
      <w:r>
        <w:rPr>
          <w:rFonts w:ascii="Courier New" w:cs="Courier New" w:eastAsia="Courier New" w:hAnsi="Courier New"/>
          <w:sz w:val="20"/>
          <w:szCs w:val="20"/>
        </w:rPr>
        <w:t xml:space="preserve">llama3.1</w:t>
      </w:r>
      <w:r>
        <w:rPr>
          <w:rFonts w:ascii="Times New Roman" w:cs="Times New Roman" w:eastAsia="Times New Roman" w:hAnsi="Times New Roman"/>
          <w:sz w:val="24"/>
          <w:szCs w:val="24"/>
        </w:rPr>
        <w:t xml:space="preserve"> gives fuller prose and remains one setting away (</w:t>
      </w:r>
      <w:r>
        <w:rPr>
          <w:rFonts w:ascii="Courier New" w:cs="Courier New" w:eastAsia="Courier New" w:hAnsi="Courier New"/>
          <w:sz w:val="20"/>
          <w:szCs w:val="20"/>
        </w:rPr>
        <w:t xml:space="preserve">OLLAMA_MODEL</w:t>
      </w:r>
      <w:r>
        <w:rPr>
          <w:rFonts w:ascii="Times New Roman" w:cs="Times New Roman" w:eastAsia="Times New Roman" w:hAnsi="Times New Roman"/>
          <w:sz w:val="24"/>
          <w:szCs w:val="24"/>
        </w:rPr>
        <w:t xml:space="preserve">). The groundedness-gate fix of this review matters here: before it, sentences such as “Sandworm is attributed to NotPetya (G20)” were discarded for using parentheses, lowering coverage for both models.</w:t>
      </w:r>
    </w:p>
    <w:p>
      <w:pPr>
        <w:pStyle w:val="Heading2"/>
        <w:keepNext/>
        <w:spacing w:after="120" w:before="240"/>
      </w:pPr>
      <w:r>
        <w:rPr>
          <w:rFonts w:ascii="Times New Roman" w:cs="Times New Roman" w:eastAsia="Times New Roman" w:hAnsi="Times New Roman"/>
          <w:b/>
          <w:bCs/>
          <w:color w:val="1B4F72"/>
          <w:sz w:val="26"/>
          <w:szCs w:val="26"/>
        </w:rPr>
        <w:t xml:space="preserve">9.10  Summary</w:t>
      </w:r>
    </w:p>
    <w:p>
      <w:pPr>
        <w:pStyle w:val="ListParagraph"/>
        <w:numPr>
          <w:ilvl w:val="0"/>
          <w:numId w:val="2"/>
        </w:numPr>
        <w:spacing w:after="70" w:line="300"/>
      </w:pPr>
      <w:r>
        <w:rPr>
          <w:rFonts w:ascii="Times New Roman" w:cs="Times New Roman" w:eastAsia="Times New Roman" w:hAnsi="Times New Roman"/>
          <w:sz w:val="24"/>
          <w:szCs w:val="24"/>
        </w:rPr>
        <w:t xml:space="preserve">Every NFR2 objective is met, including GraphRAG end-to-end p95 9.5 s &lt; 15 s.</w:t>
      </w:r>
    </w:p>
    <w:p>
      <w:pPr>
        <w:pStyle w:val="ListParagraph"/>
        <w:numPr>
          <w:ilvl w:val="0"/>
          <w:numId w:val="2"/>
        </w:numPr>
        <w:spacing w:after="70" w:line="300"/>
      </w:pPr>
      <w:r>
        <w:rPr>
          <w:rFonts w:ascii="Times New Roman" w:cs="Times New Roman" w:eastAsia="Times New Roman" w:hAnsi="Times New Roman"/>
          <w:sz w:val="24"/>
          <w:szCs w:val="24"/>
        </w:rPr>
        <w:t xml:space="preserve">Store-level queries stay flat from 87 to 15,012 nodes; GraphRAG retrieval p95 at 200× is 185 ms after the fixes.</w:t>
      </w:r>
    </w:p>
    <w:p>
      <w:pPr>
        <w:pStyle w:val="ListParagraph"/>
        <w:numPr>
          <w:ilvl w:val="0"/>
          <w:numId w:val="2"/>
        </w:numPr>
        <w:spacing w:after="70" w:line="300"/>
      </w:pPr>
      <w:r>
        <w:rPr>
          <w:rFonts w:ascii="Times New Roman" w:cs="Times New Roman" w:eastAsia="Times New Roman" w:hAnsi="Times New Roman"/>
          <w:sz w:val="24"/>
          <w:szCs w:val="24"/>
        </w:rPr>
        <w:t xml:space="preserve">Indexes give 103× (MongoDB, IOC lookup) and 28× (Neo4j) speed-ups and cut examined records by up to five orders of magnitude.</w:t>
      </w:r>
    </w:p>
    <w:p>
      <w:pPr>
        <w:pStyle w:val="ListParagraph"/>
        <w:numPr>
          <w:ilvl w:val="0"/>
          <w:numId w:val="2"/>
        </w:numPr>
        <w:spacing w:after="70" w:line="300"/>
      </w:pPr>
      <w:r>
        <w:rPr>
          <w:rFonts w:ascii="Times New Roman" w:cs="Times New Roman" w:eastAsia="Times New Roman" w:hAnsi="Times New Roman"/>
          <w:sz w:val="24"/>
          <w:szCs w:val="24"/>
        </w:rPr>
        <w:t xml:space="preserve">Redis lookups are independent of key count up to 500,000 keys; HNSW keeps recall@10 ≥ 0.999 at half the latency of exact search at 100,000 points.</w:t>
      </w:r>
    </w:p>
    <w:p>
      <w:pPr>
        <w:pStyle w:val="ListParagraph"/>
        <w:numPr>
          <w:ilvl w:val="0"/>
          <w:numId w:val="2"/>
        </w:numPr>
        <w:spacing w:after="70" w:line="300"/>
      </w:pPr>
      <w:r>
        <w:rPr>
          <w:rFonts w:ascii="Times New Roman" w:cs="Times New Roman" w:eastAsia="Times New Roman" w:hAnsi="Times New Roman"/>
          <w:sz w:val="24"/>
          <w:szCs w:val="24"/>
        </w:rPr>
        <w:t xml:space="preserve">The benchmark found four defects invisible at seed scale; all are fixed and covered by tests or re-measurement.</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10.  Requirement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300"/>
        <w:gridCol w:w="1938"/>
      </w:tblGrid>
      <w:tr>
        <w:trPr>
          <w:cantSplit/>
          <w:tblHeader/>
        </w:trPr>
        <w:tc>
          <w:tcPr>
            <w:tcW w:type="dxa" w:w="9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Req</w:t>
            </w:r>
          </w:p>
        </w:tc>
        <w:tc>
          <w:tcPr>
            <w:tcW w:type="dxa" w:w="2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Requirement</w:t>
            </w:r>
          </w:p>
        </w:tc>
        <w:tc>
          <w:tcPr>
            <w:tcW w:type="dxa" w:w="43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Implementation</w:t>
            </w:r>
          </w:p>
        </w:tc>
        <w:tc>
          <w:tcPr>
            <w:tcW w:type="dxa" w:w="19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Evidence</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FR1</w:t>
            </w:r>
          </w:p>
        </w:tc>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Ingest STIX 2.1 and free text, fan-out</w:t>
            </w:r>
          </w:p>
        </w:tc>
        <w:tc>
          <w:tcPr>
            <w:tcW w:type="dxa" w:w="4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ingest.py plans, job log, retry</w:t>
            </w:r>
          </w:p>
        </w:tc>
        <w:tc>
          <w:tcPr>
            <w:tcW w:type="dxa" w:w="19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unit + integration tests</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FR2</w:t>
            </w:r>
          </w:p>
        </w:tc>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Multi-hop graph queries</w:t>
            </w:r>
          </w:p>
        </w:tc>
        <w:tc>
          <w:tcPr>
            <w:tcW w:type="dxa" w:w="4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graph.py: shared infrastructure, tooling, victims, paths</w:t>
            </w:r>
          </w:p>
        </w:tc>
        <w:tc>
          <w:tcPr>
            <w:tcW w:type="dxa" w:w="19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acceptance Q1, Q3, Q4</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FR3</w:t>
            </w:r>
          </w:p>
        </w:tc>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O(1) blocklist with TTL, export</w:t>
            </w:r>
          </w:p>
        </w:tc>
        <w:tc>
          <w:tcPr>
            <w:tcW w:type="dxa" w:w="4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blocklist.py: SET EX, ZSET index; /enforce/*</w:t>
            </w:r>
          </w:p>
        </w:tc>
        <w:tc>
          <w:tcPr>
            <w:tcW w:type="dxa" w:w="19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Section 9.6; integration</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FR4</w:t>
            </w:r>
          </w:p>
        </w:tc>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Semantic search with filters</w:t>
            </w:r>
          </w:p>
        </w:tc>
        <w:tc>
          <w:tcPr>
            <w:tcW w:type="dxa" w:w="4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vectors.search: TLP, actor, date payload filters</w:t>
            </w:r>
          </w:p>
        </w:tc>
        <w:tc>
          <w:tcPr>
            <w:tcW w:type="dxa" w:w="19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integration; Section 9.7</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FR5</w:t>
            </w:r>
          </w:p>
        </w:tc>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GraphRAG Q&amp;A on a local LLM</w:t>
            </w:r>
          </w:p>
        </w:tc>
        <w:tc>
          <w:tcPr>
            <w:tcW w:type="dxa" w:w="4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graphrag.ask, Ollama /api/chat</w:t>
            </w:r>
          </w:p>
        </w:tc>
        <w:tc>
          <w:tcPr>
            <w:tcW w:type="dxa" w:w="19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Table 9</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FR6</w:t>
            </w:r>
          </w:p>
        </w:tc>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Hydration of reports</w:t>
            </w:r>
          </w:p>
        </w:tc>
        <w:tc>
          <w:tcPr>
            <w:tcW w:type="dxa" w:w="4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documents.hydrate, GET /api/reports/{id}</w:t>
            </w:r>
          </w:p>
        </w:tc>
        <w:tc>
          <w:tcPr>
            <w:tcW w:type="dxa" w:w="19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integration</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FR7</w:t>
            </w:r>
          </w:p>
        </w:tc>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Evidence UI</w:t>
            </w:r>
          </w:p>
        </w:tc>
        <w:tc>
          <w:tcPr>
            <w:tcW w:type="dxa" w:w="4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GraphRAG evidence panel</w:t>
            </w:r>
          </w:p>
        </w:tc>
        <w:tc>
          <w:tcPr>
            <w:tcW w:type="dxa" w:w="19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Figure 6</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FR8</w:t>
            </w:r>
          </w:p>
        </w:tc>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Corpus and ongoing ingest</w:t>
            </w:r>
          </w:p>
        </w:tc>
        <w:tc>
          <w:tcPr>
            <w:tcW w:type="dxa" w:w="4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seed.py, data.py, auto-seed</w:t>
            </w:r>
          </w:p>
        </w:tc>
        <w:tc>
          <w:tcPr>
            <w:tcW w:type="dxa" w:w="19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CI first start</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FR9</w:t>
            </w:r>
          </w:p>
        </w:tc>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Health and SLOs</w:t>
            </w:r>
          </w:p>
        </w:tc>
        <w:tc>
          <w:tcPr>
            <w:tcW w:type="dxa" w:w="4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stores.health, metrics.py, Operations page</w:t>
            </w:r>
          </w:p>
        </w:tc>
        <w:tc>
          <w:tcPr>
            <w:tcW w:type="dxa" w:w="19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Section 9.2</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FR10</w:t>
            </w:r>
          </w:p>
        </w:tc>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Replay and audit</w:t>
            </w:r>
          </w:p>
        </w:tc>
        <w:tc>
          <w:tcPr>
            <w:tcW w:type="dxa" w:w="4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save_audit, replay</w:t>
            </w:r>
          </w:p>
        </w:tc>
        <w:tc>
          <w:tcPr>
            <w:tcW w:type="dxa" w:w="19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integration: hops re-verified</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FR11</w:t>
            </w:r>
          </w:p>
        </w:tc>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AuthN and TLP</w:t>
            </w:r>
          </w:p>
        </w:tc>
        <w:tc>
          <w:tcPr>
            <w:tcW w:type="dxa" w:w="4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security.py; TLP in every store query</w:t>
            </w:r>
          </w:p>
        </w:tc>
        <w:tc>
          <w:tcPr>
            <w:tcW w:type="dxa" w:w="19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integration (junior)</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FR12</w:t>
            </w:r>
          </w:p>
        </w:tc>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Publish and revoke IOCs</w:t>
            </w:r>
          </w:p>
        </w:tc>
        <w:tc>
          <w:tcPr>
            <w:tcW w:type="dxa" w:w="4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POST/DELETE /api/blocklist (lead)</w:t>
            </w:r>
          </w:p>
        </w:tc>
        <w:tc>
          <w:tcPr>
            <w:tcW w:type="dxa" w:w="19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integration</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NFR1</w:t>
            </w:r>
          </w:p>
        </w:tc>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Data residency</w:t>
            </w:r>
          </w:p>
        </w:tc>
        <w:tc>
          <w:tcPr>
            <w:tcW w:type="dxa" w:w="4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local Ollama and embeddings</w:t>
            </w:r>
          </w:p>
        </w:tc>
        <w:tc>
          <w:tcPr>
            <w:tcW w:type="dxa" w:w="19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no external calls</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NFR2</w:t>
            </w:r>
          </w:p>
        </w:tc>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Interactive latency</w:t>
            </w:r>
          </w:p>
        </w:tc>
        <w:tc>
          <w:tcPr>
            <w:tcW w:type="dxa" w:w="4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prompt budget, indexes, fixes of 9.4</w:t>
            </w:r>
          </w:p>
        </w:tc>
        <w:tc>
          <w:tcPr>
            <w:tcW w:type="dxa" w:w="19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Section 9</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NFR3</w:t>
            </w:r>
          </w:p>
        </w:tc>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Store isolation</w:t>
            </w:r>
          </w:p>
        </w:tc>
        <w:tc>
          <w:tcPr>
            <w:tcW w:type="dxa" w:w="4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enforcement reads Redis only</w:t>
            </w:r>
          </w:p>
        </w:tc>
        <w:tc>
          <w:tcPr>
            <w:tcW w:type="dxa" w:w="19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integration; 9.6</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NFR4</w:t>
            </w:r>
          </w:p>
        </w:tc>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Groundedness</w:t>
            </w:r>
          </w:p>
        </w:tc>
        <w:tc>
          <w:tcPr>
            <w:tcW w:type="dxa" w:w="4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groundedness gate, refusal, fallback</w:t>
            </w:r>
          </w:p>
        </w:tc>
        <w:tc>
          <w:tcPr>
            <w:tcW w:type="dxa" w:w="19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unit tests; Table 9</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NFR5</w:t>
            </w:r>
          </w:p>
        </w:tc>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Reproducibility</w:t>
            </w:r>
          </w:p>
        </w:tc>
        <w:tc>
          <w:tcPr>
            <w:tcW w:type="dxa" w:w="4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compose, pinned dependencies, versioned schema, dumps, CI</w:t>
            </w:r>
          </w:p>
        </w:tc>
        <w:tc>
          <w:tcPr>
            <w:tcW w:type="dxa" w:w="19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CI from empty stores</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NFR6</w:t>
            </w:r>
          </w:p>
        </w:tc>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Ethics and safety</w:t>
            </w:r>
          </w:p>
        </w:tc>
        <w:tc>
          <w:tcPr>
            <w:tcW w:type="dxa" w:w="4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public corpus, lab IOCs, system prompt</w:t>
            </w:r>
          </w:p>
        </w:tc>
        <w:tc>
          <w:tcPr>
            <w:tcW w:type="dxa" w:w="19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NFR7</w:t>
            </w:r>
          </w:p>
        </w:tc>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Usability</w:t>
            </w:r>
          </w:p>
        </w:tc>
        <w:tc>
          <w:tcPr>
            <w:tcW w:type="dxa" w:w="4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UC1–UC4 inside the console</w:t>
            </w:r>
          </w:p>
        </w:tc>
        <w:tc>
          <w:tcPr>
            <w:tcW w:type="dxa" w:w="19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user manual, demo</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NFR8</w:t>
            </w:r>
          </w:p>
        </w:tc>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Availability</w:t>
            </w:r>
          </w:p>
        </w:tc>
        <w:tc>
          <w:tcPr>
            <w:tcW w:type="dxa" w:w="4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retrieve-only when LLM/Redis down; fail closed</w:t>
            </w:r>
          </w:p>
        </w:tc>
        <w:tc>
          <w:tcPr>
            <w:tcW w:type="dxa" w:w="19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integration tests</w:t>
            </w:r>
          </w:p>
        </w:tc>
      </w:tr>
    </w:tbl>
    <w:p>
      <w:pPr>
        <w:spacing w:after="240" w:before="60"/>
        <w:jc w:val="center"/>
      </w:pPr>
      <w:r>
        <w:rPr>
          <w:rFonts w:ascii="Times New Roman" w:cs="Times New Roman" w:eastAsia="Times New Roman" w:hAnsi="Times New Roman"/>
          <w:i/>
          <w:iCs/>
          <w:sz w:val="20"/>
          <w:szCs w:val="20"/>
        </w:rPr>
        <w:t xml:space="preserve">Table 16.  Requirement traceability. All functional and non-functional requirements are met.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338"/>
      </w:tblGrid>
      <w:tr>
        <w:trPr>
          <w:cantSplit/>
          <w:tblHeader/>
        </w:trPr>
        <w:tc>
          <w:tcPr>
            <w:tcW w:type="dxa" w:w="9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Gap</w:t>
            </w:r>
          </w:p>
        </w:tc>
        <w:tc>
          <w:tcPr>
            <w:tcW w:type="dxa" w:w="44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Review I observation</w:t>
            </w:r>
          </w:p>
        </w:tc>
        <w:tc>
          <w:tcPr>
            <w:tcW w:type="dxa" w:w="43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Closed by</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G1</w:t>
            </w:r>
          </w:p>
        </w:tc>
        <w:tc>
          <w:tcPr>
            <w:tcW w:type="dxa" w:w="4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one engine forced to serve four workloads</w:t>
            </w:r>
          </w:p>
        </w:tc>
        <w:tc>
          <w:tcPr>
            <w:tcW w:type="dxa" w:w="4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four engines with closed operation sets (Table 2); measured in Section 9</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G2</w:t>
            </w:r>
          </w:p>
        </w:tc>
        <w:tc>
          <w:tcPr>
            <w:tcW w:type="dxa" w:w="4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sharing platforms lack a query-native graph with enforcement state</w:t>
            </w:r>
          </w:p>
        </w:tc>
        <w:tc>
          <w:tcPr>
            <w:tcW w:type="dxa" w:w="4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Neo4j graph + Redis enforcement plane + cited Q&amp;A</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G3</w:t>
            </w:r>
          </w:p>
        </w:tc>
        <w:tc>
          <w:tcPr>
            <w:tcW w:type="dxa" w:w="4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knowledge graphs lack TTL cache and vectors</w:t>
            </w:r>
          </w:p>
        </w:tc>
        <w:tc>
          <w:tcPr>
            <w:tcW w:type="dxa" w:w="4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Redis and Qdrant beside Neo4j, joined by shared keys</w:t>
            </w:r>
          </w:p>
        </w:tc>
      </w:tr>
      <w:tr>
        <w:trPr>
          <w:cantSplit/>
          <w:tblHeader w:val="false"/>
        </w:trPr>
        <w:tc>
          <w:tcPr>
            <w:tcW w:type="dxa" w:w="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G4</w:t>
            </w:r>
          </w:p>
        </w:tc>
        <w:tc>
          <w:tcPr>
            <w:tcW w:type="dxa" w:w="4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RAG over CTI is under-constrained</w:t>
            </w:r>
          </w:p>
        </w:tc>
        <w:tc>
          <w:tcPr>
            <w:tcW w:type="dxa" w:w="4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four-channel GraphRAG with a groundedness gate</w:t>
            </w:r>
          </w:p>
        </w:tc>
      </w:tr>
      <w:tr>
        <w:trPr>
          <w:cantSplit/>
          <w:tblHeader w:val="false"/>
        </w:trPr>
        <w:tc>
          <w:tcPr>
            <w:tcW w:type="dxa" w:w="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G5</w:t>
            </w:r>
          </w:p>
        </w:tc>
        <w:tc>
          <w:tcPr>
            <w:tcW w:type="dxa" w:w="4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answers cannot be audited</w:t>
            </w:r>
          </w:p>
        </w:tc>
        <w:tc>
          <w:tcPr>
            <w:tcW w:type="dxa" w:w="4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evidence panel, audit log and replay</w:t>
            </w:r>
          </w:p>
        </w:tc>
      </w:tr>
    </w:tbl>
    <w:p>
      <w:pPr>
        <w:spacing w:after="240" w:before="60"/>
        <w:jc w:val="center"/>
      </w:pPr>
      <w:r>
        <w:rPr>
          <w:rFonts w:ascii="Times New Roman" w:cs="Times New Roman" w:eastAsia="Times New Roman" w:hAnsi="Times New Roman"/>
          <w:i/>
          <w:iCs/>
          <w:sz w:val="20"/>
          <w:szCs w:val="20"/>
        </w:rPr>
        <w:t xml:space="preserve">Table 17.  Review I gaps and how the final system closes them.</w:t>
      </w:r>
    </w:p>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11.  Limitations and Future Work</w:t>
      </w:r>
    </w:p>
    <w:p>
      <w:pPr>
        <w:pStyle w:val="ListParagraph"/>
        <w:numPr>
          <w:ilvl w:val="0"/>
          <w:numId w:val="2"/>
        </w:numPr>
        <w:spacing w:after="70" w:line="300"/>
      </w:pPr>
      <w:r>
        <w:rPr>
          <w:rFonts w:ascii="Times New Roman" w:cs="Times New Roman" w:eastAsia="Times New Roman" w:hAnsi="Times New Roman"/>
          <w:b/>
          <w:bCs/>
          <w:sz w:val="24"/>
          <w:szCs w:val="24"/>
        </w:rPr>
        <w:t xml:space="preserve">Single-node deployment.</w:t>
      </w:r>
      <w:r>
        <w:rPr>
          <w:rFonts w:ascii="Times New Roman" w:cs="Times New Roman" w:eastAsia="Times New Roman" w:hAnsi="Times New Roman"/>
          <w:sz w:val="24"/>
          <w:szCs w:val="24"/>
        </w:rPr>
        <w:t xml:space="preserve"> All stores run as single instances; clustering Neo4j, MongoDB replica sets and Redis replication are configuration work, not design changes.</w:t>
      </w:r>
    </w:p>
    <w:p>
      <w:pPr>
        <w:pStyle w:val="ListParagraph"/>
        <w:numPr>
          <w:ilvl w:val="0"/>
          <w:numId w:val="2"/>
        </w:numPr>
        <w:spacing w:after="70" w:line="300"/>
      </w:pPr>
      <w:r>
        <w:rPr>
          <w:rFonts w:ascii="Times New Roman" w:cs="Times New Roman" w:eastAsia="Times New Roman" w:hAnsi="Times New Roman"/>
          <w:b/>
          <w:bCs/>
          <w:sz w:val="24"/>
          <w:szCs w:val="24"/>
        </w:rPr>
        <w:t xml:space="preserve">One API worker.</w:t>
      </w:r>
      <w:r>
        <w:rPr>
          <w:rFonts w:ascii="Times New Roman" w:cs="Times New Roman" w:eastAsia="Times New Roman" w:hAnsi="Times New Roman"/>
          <w:sz w:val="24"/>
          <w:szCs w:val="24"/>
        </w:rPr>
        <w:t xml:space="preserve"> Section 9.8 shows the knee at four concurrent clients on two virtual CPUs; production would run several workers or replicas.</w:t>
      </w:r>
    </w:p>
    <w:p>
      <w:pPr>
        <w:pStyle w:val="ListParagraph"/>
        <w:numPr>
          <w:ilvl w:val="0"/>
          <w:numId w:val="2"/>
        </w:numPr>
        <w:spacing w:after="70" w:line="300"/>
      </w:pPr>
      <w:r>
        <w:rPr>
          <w:rFonts w:ascii="Times New Roman" w:cs="Times New Roman" w:eastAsia="Times New Roman" w:hAnsi="Times New Roman"/>
          <w:b/>
          <w:bCs/>
          <w:sz w:val="24"/>
          <w:szCs w:val="24"/>
        </w:rPr>
        <w:t xml:space="preserve">Small, curated corpus.</w:t>
      </w:r>
      <w:r>
        <w:rPr>
          <w:rFonts w:ascii="Times New Roman" w:cs="Times New Roman" w:eastAsia="Times New Roman" w:hAnsi="Times New Roman"/>
          <w:sz w:val="24"/>
          <w:szCs w:val="24"/>
        </w:rPr>
        <w:t xml:space="preserve"> Twelve public-knowledge reports cover every mechanism; the 200× scaling is synthetic. A TAXII feed connector would supply real volume.</w:t>
      </w:r>
    </w:p>
    <w:p>
      <w:pPr>
        <w:pStyle w:val="ListParagraph"/>
        <w:numPr>
          <w:ilvl w:val="0"/>
          <w:numId w:val="2"/>
        </w:numPr>
        <w:spacing w:after="70" w:line="300"/>
      </w:pPr>
      <w:r>
        <w:rPr>
          <w:rFonts w:ascii="Times New Roman" w:cs="Times New Roman" w:eastAsia="Times New Roman" w:hAnsi="Times New Roman"/>
          <w:b/>
          <w:bCs/>
          <w:sz w:val="24"/>
          <w:szCs w:val="24"/>
        </w:rPr>
        <w:t xml:space="preserve">Model quality versus latency.</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llama3.2:3b</w:t>
      </w:r>
      <w:r>
        <w:rPr>
          <w:rFonts w:ascii="Times New Roman" w:cs="Times New Roman" w:eastAsia="Times New Roman" w:hAnsi="Times New Roman"/>
          <w:sz w:val="24"/>
          <w:szCs w:val="24"/>
        </w:rPr>
        <w:t xml:space="preserve"> meets the SLO but writes terser answers than </w:t>
      </w:r>
      <w:r>
        <w:rPr>
          <w:rFonts w:ascii="Courier New" w:cs="Courier New" w:eastAsia="Courier New" w:hAnsi="Courier New"/>
          <w:sz w:val="20"/>
          <w:szCs w:val="20"/>
        </w:rPr>
        <w:t xml:space="preserve">llama3.1:8b</w:t>
      </w:r>
      <w:r>
        <w:rPr>
          <w:rFonts w:ascii="Times New Roman" w:cs="Times New Roman" w:eastAsia="Times New Roman" w:hAnsi="Times New Roman"/>
          <w:sz w:val="24"/>
          <w:szCs w:val="24"/>
        </w:rPr>
        <w:t xml:space="preserve">; streaming the answer with the gate applied on completion would let the larger model feel interactive.</w:t>
      </w:r>
    </w:p>
    <w:p>
      <w:pPr>
        <w:pStyle w:val="ListParagraph"/>
        <w:numPr>
          <w:ilvl w:val="0"/>
          <w:numId w:val="2"/>
        </w:numPr>
        <w:spacing w:after="70" w:line="300"/>
      </w:pPr>
      <w:r>
        <w:rPr>
          <w:rFonts w:ascii="Times New Roman" w:cs="Times New Roman" w:eastAsia="Times New Roman" w:hAnsi="Times New Roman"/>
          <w:b/>
          <w:bCs/>
          <w:sz w:val="24"/>
          <w:szCs w:val="24"/>
        </w:rPr>
        <w:t xml:space="preserve">Embeddings.</w:t>
      </w:r>
      <w:r>
        <w:rPr>
          <w:rFonts w:ascii="Times New Roman" w:cs="Times New Roman" w:eastAsia="Times New Roman" w:hAnsi="Times New Roman"/>
          <w:sz w:val="24"/>
          <w:szCs w:val="24"/>
        </w:rPr>
        <w:t xml:space="preserve"> The default TF-IDF + SVD model is deterministic and offline but weaker than neural embeddings; </w:t>
      </w:r>
      <w:r>
        <w:rPr>
          <w:rFonts w:ascii="Courier New" w:cs="Courier New" w:eastAsia="Courier New" w:hAnsi="Courier New"/>
          <w:sz w:val="20"/>
          <w:szCs w:val="20"/>
        </w:rPr>
        <w:t xml:space="preserve">nomic-embed-text</w:t>
      </w:r>
      <w:r>
        <w:rPr>
          <w:rFonts w:ascii="Times New Roman" w:cs="Times New Roman" w:eastAsia="Times New Roman" w:hAnsi="Times New Roman"/>
          <w:sz w:val="24"/>
          <w:szCs w:val="24"/>
        </w:rPr>
        <w:t xml:space="preserve"> is supported and should become the default once download size is acceptable for the target environment.</w:t>
      </w:r>
    </w:p>
    <w:p>
      <w:pPr>
        <w:pStyle w:val="ListParagraph"/>
        <w:numPr>
          <w:ilvl w:val="0"/>
          <w:numId w:val="2"/>
        </w:numPr>
        <w:spacing w:after="70" w:line="300"/>
      </w:pPr>
      <w:r>
        <w:rPr>
          <w:rFonts w:ascii="Times New Roman" w:cs="Times New Roman" w:eastAsia="Times New Roman" w:hAnsi="Times New Roman"/>
          <w:b/>
          <w:bCs/>
          <w:sz w:val="24"/>
          <w:szCs w:val="24"/>
        </w:rPr>
        <w:t xml:space="preserve">Demo-grade secrets.</w:t>
      </w:r>
      <w:r>
        <w:rPr>
          <w:rFonts w:ascii="Times New Roman" w:cs="Times New Roman" w:eastAsia="Times New Roman" w:hAnsi="Times New Roman"/>
          <w:sz w:val="24"/>
          <w:szCs w:val="24"/>
        </w:rPr>
        <w:t xml:space="preserve"> The JWT secret and consumer key in </w:t>
      </w:r>
      <w:r>
        <w:rPr>
          <w:rFonts w:ascii="Courier New" w:cs="Courier New" w:eastAsia="Courier New" w:hAnsi="Courier New"/>
          <w:sz w:val="20"/>
          <w:szCs w:val="20"/>
        </w:rPr>
        <w:t xml:space="preserve">.env.example</w:t>
      </w:r>
      <w:r>
        <w:rPr>
          <w:rFonts w:ascii="Times New Roman" w:cs="Times New Roman" w:eastAsia="Times New Roman" w:hAnsi="Times New Roman"/>
          <w:sz w:val="24"/>
          <w:szCs w:val="24"/>
        </w:rPr>
        <w:t xml:space="preserve"> must be replaced outside a lab.</w:t>
      </w:r>
    </w:p>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12.  Conclusion</w:t>
      </w:r>
    </w:p>
    <w:p>
      <w:pPr>
        <w:spacing w:after="160" w:line="340"/>
        <w:jc w:val="both"/>
      </w:pPr>
      <w:r>
        <w:rPr>
          <w:rFonts w:ascii="Times New Roman" w:cs="Times New Roman" w:eastAsia="Times New Roman" w:hAnsi="Times New Roman"/>
          <w:sz w:val="24"/>
          <w:szCs w:val="24"/>
        </w:rPr>
        <w:t xml:space="preserve">The platform shows that CTI is best served by a polyglot design in which each NoSQL model does what it is best at, and that GraphRAG over such a design can be both useful and accountable. Relationships live in Neo4j, reports in MongoDB, live indicators in Redis and narrative similarity in Qdrant; a local LLM turns their combined evidence into answers whose every sentence can be traced and replayed. Review III completed the system, verified it with 31 automated tests and continuous integration, and measured it: all latency objectives are met, store-level queries remain flat across a 200-fold corpus increase, and the benchmark harness proved its worth by exposing and confirming the fix of four defects that would have surfaced only in production.</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References</w:t>
      </w:r>
    </w:p>
    <w:p>
      <w:pPr>
        <w:spacing w:after="100" w:line="260"/>
        <w:ind w:left="520" w:hanging="520"/>
        <w:jc w:val="left"/>
      </w:pP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 Tounsi and H. Rais, “A survey on technical threat intelligence in the age of information sharing,” Computers &amp; Security, vol. 72, pp. 212–233, 2018.</w:t>
      </w:r>
    </w:p>
    <w:p>
      <w:pPr>
        <w:spacing w:after="100" w:line="260"/>
        <w:ind w:left="520" w:hanging="520"/>
        <w:jc w:val="left"/>
      </w:pP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F. Skopik, G. Settanni, and R. Fiedler, “A problem shared is a problem halved: A survey on the dimensions of collective cyber defense through security information sharing,” Computers &amp; Security, vol. 60, pp. 154–176, 2016.</w:t>
      </w:r>
    </w:p>
    <w:p>
      <w:pPr>
        <w:spacing w:after="100" w:line="260"/>
        <w:ind w:left="520" w:hanging="520"/>
        <w:jc w:val="left"/>
      </w:pP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OASIS Open, “STIX Version 2.1,” OASIS Standard, June 2021. [Online]. Available: https://docs.oasis-open.org/cti/stix/v2.1/</w:t>
      </w:r>
    </w:p>
    <w:p>
      <w:pPr>
        <w:spacing w:after="100" w:line="260"/>
        <w:ind w:left="520" w:hanging="520"/>
        <w:jc w:val="left"/>
      </w:pP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B. E. Strom et al., “MITRE ATT&amp;CK: Design and Philosophy,” The MITRE Corporation, 2020.</w:t>
      </w:r>
    </w:p>
    <w:p>
      <w:pPr>
        <w:spacing w:after="100" w:line="260"/>
        <w:ind w:left="520" w:hanging="520"/>
        <w:jc w:val="left"/>
      </w:pP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C. Wagner, A. Dulaunoy, G. Wagener, and A. Iklody, “MISP: The design and implementation of a collaborative threat intelligence sharing platform,” in Proc. ACM WISCS, 2016, pp. 49–56.</w:t>
      </w:r>
    </w:p>
    <w:p>
      <w:pPr>
        <w:spacing w:after="100" w:line="260"/>
        <w:ind w:left="520" w:hanging="520"/>
        <w:jc w:val="left"/>
      </w:pP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X. Liao et al., “Acing the IOC game: Toward automatic discovery and analysis of open-source cyber threat intelligence,” in Proc. ACM CCS, 2016, pp. 755–766.</w:t>
      </w:r>
    </w:p>
    <w:p>
      <w:pPr>
        <w:spacing w:after="100" w:line="260"/>
        <w:ind w:left="520" w:hanging="520"/>
        <w:jc w:val="left"/>
      </w:pP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G. Husari, E. Al-Shaer, M. Ahmed, B. Chu, and X. Niu, “TTPDrill: Automatic and accurate extraction of threat actions from unstructured text of CTI sources,” in Proc. ACSAC, 2017, pp. 103–115.</w:t>
      </w:r>
    </w:p>
    <w:p>
      <w:pPr>
        <w:spacing w:after="100" w:line="260"/>
        <w:ind w:left="520" w:hanging="520"/>
        <w:jc w:val="left"/>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M. Stonebraker and U. Çetintemel, “‘One size fits all’: An idea whose time has come and gone,” in Proc. ICDE, 2005, pp. 2–11.</w:t>
      </w:r>
    </w:p>
    <w:p>
      <w:pPr>
        <w:spacing w:after="100" w:line="260"/>
        <w:ind w:left="520" w:hanging="520"/>
        <w:jc w:val="left"/>
      </w:pP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P. J. Sadalage and M. Fowler, NoSQL Distilled: A Brief Guide to the Emerging World of Polyglot Persistence. Addison-Wesley, 2012.</w:t>
      </w:r>
    </w:p>
    <w:p>
      <w:pPr>
        <w:spacing w:after="100" w:line="260"/>
        <w:ind w:left="520" w:hanging="520"/>
        <w:jc w:val="left"/>
      </w:pP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R. Cattell, “Scalable SQL and NoSQL data stores,” ACM SIGMOD Record, vol. 39, no. 4, pp. 12–27, 2011.</w:t>
      </w:r>
    </w:p>
    <w:p>
      <w:pPr>
        <w:spacing w:after="100" w:line="260"/>
        <w:ind w:left="520" w:hanging="520"/>
        <w:jc w:val="left"/>
      </w:pP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E. Brewer, “CAP twelve years later: How the ‘rules’ have changed,” Computer, vol. 45, no. 2, pp. 23–29, 2012.</w:t>
      </w:r>
    </w:p>
    <w:p>
      <w:pPr>
        <w:spacing w:after="100" w:line="260"/>
        <w:ind w:left="520" w:hanging="520"/>
        <w:jc w:val="left"/>
      </w:pP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I. Robinson, J. Webber, and E. Eifrem, Graph Databases, 2nd ed. O’Reilly Media, 2015.</w:t>
      </w:r>
    </w:p>
    <w:p>
      <w:pPr>
        <w:spacing w:after="100" w:line="260"/>
        <w:ind w:left="520" w:hanging="520"/>
        <w:jc w:val="left"/>
      </w:pP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S. Noel et al., “CyGraph: Graph-based analytics and visualization for cybersecurity,” in Handbook of Statistics, vol. 35. Elsevier, 2016, pp. 117–167.</w:t>
      </w:r>
    </w:p>
    <w:p>
      <w:pPr>
        <w:spacing w:after="100" w:line="260"/>
        <w:ind w:left="520" w:hanging="520"/>
        <w:jc w:val="left"/>
      </w:pP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A. Piplai, S. Mittal, A. Joshi, T. Finin, J. Holt, and R. Zak, “Creating cybersecurity knowledge graphs from malware after action reports,” IEEE Access, vol. 8, pp. 211691–211703, 2020.</w:t>
      </w:r>
    </w:p>
    <w:p>
      <w:pPr>
        <w:spacing w:after="100" w:line="260"/>
        <w:ind w:left="520" w:hanging="520"/>
        <w:jc w:val="left"/>
      </w:pP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I. Sarhan and M. Spruit, “Open-CyKG: An open cyber threat intelligence knowledge graph,” Knowledge-Based Systems, vol. 227, 2021.</w:t>
      </w:r>
    </w:p>
    <w:p>
      <w:pPr>
        <w:spacing w:after="100" w:line="260"/>
        <w:ind w:left="520" w:hanging="520"/>
        <w:jc w:val="left"/>
      </w:pP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Filigran, “OpenCTI documentation,” 2024. [Online]. Available: https://docs.opencti.io/</w:t>
      </w:r>
    </w:p>
    <w:p>
      <w:pPr>
        <w:spacing w:after="100" w:line="260"/>
        <w:ind w:left="520" w:hanging="520"/>
        <w:jc w:val="left"/>
      </w:pP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MongoDB, Inc., “MongoDB manual (document model, indexes, explain),” 2024.</w:t>
      </w:r>
    </w:p>
    <w:p>
      <w:pPr>
        <w:spacing w:after="100" w:line="260"/>
        <w:ind w:left="520" w:hanging="520"/>
        <w:jc w:val="left"/>
      </w:pP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Redis Ltd., “Redis documentation: EXPIRE, sorted sets and pipelining,” 2024.</w:t>
      </w:r>
    </w:p>
    <w:p>
      <w:pPr>
        <w:spacing w:after="100" w:line="260"/>
        <w:ind w:left="520" w:hanging="520"/>
        <w:jc w:val="left"/>
      </w:pP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Y. A. Malkov and D. A. Yashunin, “Efficient and robust approximate nearest neighbor search using hierarchical navigable small world graphs,” IEEE Trans. Pattern Anal. Mach. Intell., vol. 42, no. 4, pp. 824–836, 2020.</w:t>
      </w:r>
    </w:p>
    <w:p>
      <w:pPr>
        <w:spacing w:after="100" w:line="260"/>
        <w:ind w:left="520" w:hanging="520"/>
        <w:jc w:val="left"/>
      </w:pPr>
      <w:r>
        <w:rPr>
          <w:rFonts w:ascii="Times New Roman" w:cs="Times New Roman" w:eastAsia="Times New Roman" w:hAnsi="Times New Roman"/>
          <w:sz w:val="20"/>
          <w:szCs w:val="20"/>
        </w:rPr>
        <w:t xml:space="preserve">[20]</w:t>
      </w:r>
      <w:r>
        <w:rPr>
          <w:rFonts w:ascii="Times New Roman" w:cs="Times New Roman" w:eastAsia="Times New Roman" w:hAnsi="Times New Roman"/>
          <w:sz w:val="20"/>
          <w:szCs w:val="20"/>
        </w:rPr>
        <w:t xml:space="preserve">  Qdrant, “Qdrant documentation: collections, HNSW and payload filtering,” 2024.</w:t>
      </w:r>
    </w:p>
    <w:p>
      <w:pPr>
        <w:spacing w:after="100" w:line="260"/>
        <w:ind w:left="520" w:hanging="520"/>
        <w:jc w:val="left"/>
      </w:pPr>
      <w:r>
        <w:rPr>
          <w:rFonts w:ascii="Times New Roman" w:cs="Times New Roman" w:eastAsia="Times New Roman" w:hAnsi="Times New Roman"/>
          <w:sz w:val="20"/>
          <w:szCs w:val="20"/>
        </w:rPr>
        <w:t xml:space="preserve">[21]</w:t>
      </w:r>
      <w:r>
        <w:rPr>
          <w:rFonts w:ascii="Times New Roman" w:cs="Times New Roman" w:eastAsia="Times New Roman" w:hAnsi="Times New Roman"/>
          <w:sz w:val="20"/>
          <w:szCs w:val="20"/>
        </w:rPr>
        <w:t xml:space="preserve">  P. Lewis et al., “Retrieval-augmented generation for knowledge-intensive NLP tasks,” in Proc. NeurIPS, 2020.</w:t>
      </w:r>
    </w:p>
    <w:p>
      <w:pPr>
        <w:spacing w:after="100" w:line="260"/>
        <w:ind w:left="520" w:hanging="520"/>
        <w:jc w:val="left"/>
      </w:pP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V. Karpukhin et al., “Dense passage retrieval for open-domain question answering,” in Proc. EMNLP, 2020, pp. 6769–6781.</w:t>
      </w:r>
    </w:p>
    <w:p>
      <w:pPr>
        <w:spacing w:after="100" w:line="260"/>
        <w:ind w:left="520" w:hanging="520"/>
        <w:jc w:val="left"/>
      </w:pPr>
      <w:r>
        <w:rPr>
          <w:rFonts w:ascii="Times New Roman" w:cs="Times New Roman" w:eastAsia="Times New Roman" w:hAnsi="Times New Roman"/>
          <w:sz w:val="20"/>
          <w:szCs w:val="20"/>
        </w:rPr>
        <w:t xml:space="preserve">[23]</w:t>
      </w:r>
      <w:r>
        <w:rPr>
          <w:rFonts w:ascii="Times New Roman" w:cs="Times New Roman" w:eastAsia="Times New Roman" w:hAnsi="Times New Roman"/>
          <w:sz w:val="20"/>
          <w:szCs w:val="20"/>
        </w:rPr>
        <w:t xml:space="preserve">  D. Edge et al., “From local to global: A graph RAG approach to query-focused summarization,” arXiv:2404.16130, 2024.</w:t>
      </w:r>
    </w:p>
    <w:p>
      <w:pPr>
        <w:spacing w:after="100" w:line="260"/>
        <w:ind w:left="520" w:hanging="520"/>
        <w:jc w:val="left"/>
      </w:pPr>
      <w:r>
        <w:rPr>
          <w:rFonts w:ascii="Times New Roman" w:cs="Times New Roman" w:eastAsia="Times New Roman" w:hAnsi="Times New Roman"/>
          <w:sz w:val="20"/>
          <w:szCs w:val="20"/>
        </w:rPr>
        <w:t xml:space="preserve">[24]</w:t>
      </w:r>
      <w:r>
        <w:rPr>
          <w:rFonts w:ascii="Times New Roman" w:cs="Times New Roman" w:eastAsia="Times New Roman" w:hAnsi="Times New Roman"/>
          <w:sz w:val="20"/>
          <w:szCs w:val="20"/>
        </w:rPr>
        <w:t xml:space="preserve">  B. Peng et al., “Graph retrieval-augmented generation: A survey,” arXiv:2408.08921, 2024.</w:t>
      </w:r>
    </w:p>
    <w:p>
      <w:pPr>
        <w:spacing w:after="100" w:line="260"/>
        <w:ind w:left="520" w:hanging="520"/>
        <w:jc w:val="left"/>
      </w:pPr>
      <w:r>
        <w:rPr>
          <w:rFonts w:ascii="Times New Roman" w:cs="Times New Roman" w:eastAsia="Times New Roman" w:hAnsi="Times New Roman"/>
          <w:sz w:val="20"/>
          <w:szCs w:val="20"/>
        </w:rPr>
        <w:t xml:space="preserve">[25]</w:t>
      </w:r>
      <w:r>
        <w:rPr>
          <w:rFonts w:ascii="Times New Roman" w:cs="Times New Roman" w:eastAsia="Times New Roman" w:hAnsi="Times New Roman"/>
          <w:sz w:val="20"/>
          <w:szCs w:val="20"/>
        </w:rPr>
        <w:t xml:space="preserve">  M. Yasunaga, H. Ren, A. Bosselut, P. Liang, and J. Leskovec, “QA-GNN: Reasoning with language models and knowledge graphs for question answering,” in Proc. NAACL, 2021.</w:t>
      </w:r>
    </w:p>
    <w:p>
      <w:pPr>
        <w:spacing w:after="100" w:line="260"/>
        <w:ind w:left="520" w:hanging="520"/>
        <w:jc w:val="left"/>
      </w:pPr>
      <w:r>
        <w:rPr>
          <w:rFonts w:ascii="Times New Roman" w:cs="Times New Roman" w:eastAsia="Times New Roman" w:hAnsi="Times New Roman"/>
          <w:sz w:val="20"/>
          <w:szCs w:val="20"/>
        </w:rPr>
        <w:t xml:space="preserve">[26]</w:t>
      </w:r>
      <w:r>
        <w:rPr>
          <w:rFonts w:ascii="Times New Roman" w:cs="Times New Roman" w:eastAsia="Times New Roman" w:hAnsi="Times New Roman"/>
          <w:sz w:val="20"/>
          <w:szCs w:val="20"/>
        </w:rPr>
        <w:t xml:space="preserve">  Neo4j, Inc., “Neo4j Cypher manual (indexes, PROFILE, subqueries),” 2024.</w:t>
      </w:r>
    </w:p>
    <w:p>
      <w:pPr>
        <w:spacing w:after="100" w:line="260"/>
        <w:ind w:left="520" w:hanging="520"/>
        <w:jc w:val="left"/>
      </w:pP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ENISA, “ENISA threat landscape,” European Union Agency for Cybersecurity, 2024.</w:t>
      </w:r>
    </w:p>
    <w:p>
      <w:pPr>
        <w:spacing w:after="100" w:line="260"/>
        <w:ind w:left="520" w:hanging="520"/>
        <w:jc w:val="left"/>
      </w:pPr>
      <w:r>
        <w:rPr>
          <w:rFonts w:ascii="Times New Roman" w:cs="Times New Roman" w:eastAsia="Times New Roman" w:hAnsi="Times New Roman"/>
          <w:sz w:val="20"/>
          <w:szCs w:val="20"/>
        </w:rPr>
        <w:t xml:space="preserve">[28]</w:t>
      </w:r>
      <w:r>
        <w:rPr>
          <w:rFonts w:ascii="Times New Roman" w:cs="Times New Roman" w:eastAsia="Times New Roman" w:hAnsi="Times New Roman"/>
          <w:sz w:val="20"/>
          <w:szCs w:val="20"/>
        </w:rPr>
        <w:t xml:space="preserve">  Mandiant, “M-Trends,” Google Cloud, 2024.</w:t>
      </w:r>
    </w:p>
    <w:p>
      <w:pPr>
        <w:spacing w:after="100" w:line="260"/>
        <w:ind w:left="520" w:hanging="520"/>
        <w:jc w:val="left"/>
      </w:pPr>
      <w:r>
        <w:rPr>
          <w:rFonts w:ascii="Times New Roman" w:cs="Times New Roman" w:eastAsia="Times New Roman" w:hAnsi="Times New Roman"/>
          <w:sz w:val="20"/>
          <w:szCs w:val="20"/>
        </w:rPr>
        <w:t xml:space="preserve">[29]</w:t>
      </w:r>
      <w:r>
        <w:rPr>
          <w:rFonts w:ascii="Times New Roman" w:cs="Times New Roman" w:eastAsia="Times New Roman" w:hAnsi="Times New Roman"/>
          <w:sz w:val="20"/>
          <w:szCs w:val="20"/>
        </w:rPr>
        <w:t xml:space="preserve">  CIRCL / MISP Project, “MISP data models and objects,” 2024. [Online]. Available: https://www.misp-project.org/</w:t>
      </w:r>
    </w:p>
    <w:p>
      <w:pPr>
        <w:spacing w:after="100" w:line="260"/>
        <w:ind w:left="520" w:hanging="520"/>
        <w:jc w:val="left"/>
      </w:pPr>
      <w:r>
        <w:rPr>
          <w:rFonts w:ascii="Times New Roman" w:cs="Times New Roman" w:eastAsia="Times New Roman" w:hAnsi="Times New Roman"/>
          <w:sz w:val="20"/>
          <w:szCs w:val="20"/>
        </w:rPr>
        <w:t xml:space="preserve">[30]</w:t>
      </w:r>
      <w:r>
        <w:rPr>
          <w:rFonts w:ascii="Times New Roman" w:cs="Times New Roman" w:eastAsia="Times New Roman" w:hAnsi="Times New Roman"/>
          <w:sz w:val="20"/>
          <w:szCs w:val="20"/>
        </w:rPr>
        <w:t xml:space="preserve">  J. Johnson, M. Douze, and H. Jégou, “Billion-scale similarity search with GPUs,” IEEE Trans. Big Data, vol. 7, no. 3, pp. 535–547, 2021.</w:t>
      </w:r>
    </w:p>
    <w:p>
      <w:pPr>
        <w:spacing w:after="100" w:line="260"/>
        <w:ind w:left="520" w:hanging="520"/>
        <w:jc w:val="left"/>
      </w:pPr>
      <w:r>
        <w:rPr>
          <w:rFonts w:ascii="Times New Roman" w:cs="Times New Roman" w:eastAsia="Times New Roman" w:hAnsi="Times New Roman"/>
          <w:sz w:val="20"/>
          <w:szCs w:val="20"/>
        </w:rPr>
        <w:t xml:space="preserve">[31]</w:t>
      </w:r>
      <w:r>
        <w:rPr>
          <w:rFonts w:ascii="Times New Roman" w:cs="Times New Roman" w:eastAsia="Times New Roman" w:hAnsi="Times New Roman"/>
          <w:sz w:val="20"/>
          <w:szCs w:val="20"/>
        </w:rPr>
        <w:t xml:space="preserve">  A. Grattafiori et al., “The Llama 3 herd of models,” arXiv:2407.21783, 2024.</w:t>
      </w:r>
    </w:p>
    <w:p>
      <w:pPr>
        <w:spacing w:after="100" w:line="260"/>
        <w:ind w:left="520" w:hanging="520"/>
        <w:jc w:val="left"/>
      </w:pPr>
      <w:r>
        <w:rPr>
          <w:rFonts w:ascii="Times New Roman" w:cs="Times New Roman" w:eastAsia="Times New Roman" w:hAnsi="Times New Roman"/>
          <w:sz w:val="20"/>
          <w:szCs w:val="20"/>
        </w:rPr>
        <w:t xml:space="preserve">[32]</w:t>
      </w:r>
      <w:r>
        <w:rPr>
          <w:rFonts w:ascii="Times New Roman" w:cs="Times New Roman" w:eastAsia="Times New Roman" w:hAnsi="Times New Roman"/>
          <w:sz w:val="20"/>
          <w:szCs w:val="20"/>
        </w:rPr>
        <w:t xml:space="preserve">  Ollama, “Ollama documentation and REST API,” 2024. [Online]. Available: https://github.com/ollama/ollama</w:t>
      </w:r>
    </w:p>
    <w:p>
      <w:pPr>
        <w:spacing w:after="100" w:line="260"/>
        <w:ind w:left="520" w:hanging="520"/>
        <w:jc w:val="left"/>
      </w:pPr>
      <w:r>
        <w:rPr>
          <w:rFonts w:ascii="Times New Roman" w:cs="Times New Roman" w:eastAsia="Times New Roman" w:hAnsi="Times New Roman"/>
          <w:sz w:val="20"/>
          <w:szCs w:val="20"/>
        </w:rPr>
        <w:t xml:space="preserve">[33]</w:t>
      </w:r>
      <w:r>
        <w:rPr>
          <w:rFonts w:ascii="Times New Roman" w:cs="Times New Roman" w:eastAsia="Times New Roman" w:hAnsi="Times New Roman"/>
          <w:sz w:val="20"/>
          <w:szCs w:val="20"/>
        </w:rPr>
        <w:t xml:space="preserve">  B. F. Cooper, A. Silberstein, E. Tam, R. Ramakrishnan, and R. Sears, “Benchmarking cloud serving systems with YCSB,” in Proc. ACM SoCC, 2010, pp. 143–154.</w:t>
      </w:r>
    </w:p>
    <w:p>
      <w:pPr>
        <w:spacing w:after="100" w:line="260"/>
        <w:ind w:left="520" w:hanging="520"/>
        <w:jc w:val="left"/>
      </w:pPr>
      <w:r>
        <w:rPr>
          <w:rFonts w:ascii="Times New Roman" w:cs="Times New Roman" w:eastAsia="Times New Roman" w:hAnsi="Times New Roman"/>
          <w:sz w:val="20"/>
          <w:szCs w:val="20"/>
        </w:rPr>
        <w:t xml:space="preserve">[34]</w:t>
      </w:r>
      <w:r>
        <w:rPr>
          <w:rFonts w:ascii="Times New Roman" w:cs="Times New Roman" w:eastAsia="Times New Roman" w:hAnsi="Times New Roman"/>
          <w:sz w:val="20"/>
          <w:szCs w:val="20"/>
        </w:rPr>
        <w:t xml:space="preserve">  O. Erling et al., “The LDBC Social Network Benchmark: Interactive workload,” in Proc. ACM SIGMOD, 2015, pp. 619–630.</w:t>
      </w:r>
    </w:p>
    <w:p>
      <w:pPr>
        <w:spacing w:after="100" w:line="260"/>
        <w:ind w:left="520" w:hanging="520"/>
        <w:jc w:val="left"/>
      </w:pPr>
      <w:r>
        <w:rPr>
          <w:rFonts w:ascii="Times New Roman" w:cs="Times New Roman" w:eastAsia="Times New Roman" w:hAnsi="Times New Roman"/>
          <w:sz w:val="20"/>
          <w:szCs w:val="20"/>
        </w:rPr>
        <w:t xml:space="preserve">[35]</w:t>
      </w:r>
      <w:r>
        <w:rPr>
          <w:rFonts w:ascii="Times New Roman" w:cs="Times New Roman" w:eastAsia="Times New Roman" w:hAnsi="Times New Roman"/>
          <w:sz w:val="20"/>
          <w:szCs w:val="20"/>
        </w:rPr>
        <w:t xml:space="preserve">  M. Aumüller, E. Bernhardsson, and A. Faithfull, “ANN-Benchmarks: A benchmarking tool for approximate nearest neighbor algorithms,” Information Systems, vol. 87, 2020.</w:t>
      </w:r>
    </w:p>
    <w:p>
      <w:pPr>
        <w:spacing w:after="100" w:line="260"/>
        <w:ind w:left="520" w:hanging="520"/>
        <w:jc w:val="left"/>
      </w:pP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N. F. Liu et al., “Lost in the middle: How language models use long contexts,” Trans. Assoc. Comput. Linguistics, vol. 12, pp. 157–173, 2024.</w:t>
      </w:r>
    </w:p>
    <w:p>
      <w:pPr>
        <w:spacing w:after="100" w:line="260"/>
        <w:ind w:left="520" w:hanging="520"/>
        <w:jc w:val="left"/>
      </w:pPr>
      <w:r>
        <w:rPr>
          <w:rFonts w:ascii="Times New Roman" w:cs="Times New Roman" w:eastAsia="Times New Roman" w:hAnsi="Times New Roman"/>
          <w:sz w:val="20"/>
          <w:szCs w:val="20"/>
        </w:rPr>
        <w:t xml:space="preserve">[37]</w:t>
      </w:r>
      <w:r>
        <w:rPr>
          <w:rFonts w:ascii="Times New Roman" w:cs="Times New Roman" w:eastAsia="Times New Roman" w:hAnsi="Times New Roman"/>
          <w:sz w:val="20"/>
          <w:szCs w:val="20"/>
        </w:rPr>
        <w:t xml:space="preserve">  S. Es, J. James, L. Espinosa-Anke, and S. Schockaert, “RAGAS: Automated evaluation of retrieval augmented generation,” in Proc. EACL (System Demonstrations), 2024.</w:t>
      </w:r>
    </w:p>
    <w:p>
      <w:pPr>
        <w:spacing w:after="100" w:line="260"/>
        <w:ind w:left="520" w:hanging="520"/>
        <w:jc w:val="left"/>
      </w:pPr>
      <w:r>
        <w:rPr>
          <w:rFonts w:ascii="Times New Roman" w:cs="Times New Roman" w:eastAsia="Times New Roman" w:hAnsi="Times New Roman"/>
          <w:sz w:val="20"/>
          <w:szCs w:val="20"/>
        </w:rPr>
        <w:t xml:space="preserve">[38]</w:t>
      </w:r>
      <w:r>
        <w:rPr>
          <w:rFonts w:ascii="Times New Roman" w:cs="Times New Roman" w:eastAsia="Times New Roman" w:hAnsi="Times New Roman"/>
          <w:sz w:val="20"/>
          <w:szCs w:val="20"/>
        </w:rPr>
        <w:t xml:space="preserve">  FIRST, “Traffic Light Protocol (TLP) version 2.0,” 2022. [Online]. Available: https://www.first.org/tlp/</w:t>
      </w:r>
    </w:p>
    <w:p>
      <w:pPr>
        <w:spacing w:after="100" w:line="260"/>
        <w:ind w:left="520" w:hanging="520"/>
        <w:jc w:val="left"/>
      </w:pPr>
      <w:r>
        <w:rPr>
          <w:rFonts w:ascii="Times New Roman" w:cs="Times New Roman" w:eastAsia="Times New Roman" w:hAnsi="Times New Roman"/>
          <w:sz w:val="20"/>
          <w:szCs w:val="20"/>
        </w:rPr>
        <w:t xml:space="preserve">[39]</w:t>
      </w:r>
      <w:r>
        <w:rPr>
          <w:rFonts w:ascii="Times New Roman" w:cs="Times New Roman" w:eastAsia="Times New Roman" w:hAnsi="Times New Roman"/>
          <w:sz w:val="20"/>
          <w:szCs w:val="20"/>
        </w:rPr>
        <w:t xml:space="preserve">  A. V. Aho and M. J. Corasick, “Efficient string matching: An aid to bibliographic search,” Commun. ACM, vol. 18, no. 6, pp. 333–340, 1975.</w:t>
      </w:r>
    </w:p>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Appendix A.  Reproducing the Results</w:t>
      </w:r>
    </w:p>
    <w:p>
      <w:pPr>
        <w:spacing w:after="160" w:line="340"/>
        <w:jc w:val="both"/>
      </w:pPr>
      <w:r>
        <w:rPr>
          <w:rFonts w:ascii="Times New Roman" w:cs="Times New Roman" w:eastAsia="Times New Roman" w:hAnsi="Times New Roman"/>
          <w:sz w:val="24"/>
          <w:szCs w:val="24"/>
        </w:rPr>
        <w:t xml:space="preserve">All results in this report can be regenerated from the repository. The demo stack and the benchmark stack use different ports and volumes.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CDD3" w:sz="4"/>
              <w:left w:val="single" w:color="C8CDD3" w:sz="4"/>
              <w:bottom w:val="single" w:color="C8CDD3" w:sz="4"/>
              <w:right w:val="single" w:color="C8CDD3" w:sz="4"/>
            </w:tcBorders>
            <w:shd w:fill="F4F5F7" w:val="clear"/>
            <w:tcMar>
              <w:top w:type="dxa" w:w="80"/>
              <w:left w:type="dxa" w:w="140"/>
              <w:bottom w:type="dxa" w:w="80"/>
              <w:right w:type="dxa" w:w="140"/>
            </w:tcMar>
          </w:tcPr>
          <w:p>
            <w:pPr>
              <w:spacing w:after="0" w:line="250"/>
            </w:pPr>
            <w:r>
              <w:rPr>
                <w:rFonts w:ascii="Courier New" w:cs="Courier New" w:eastAsia="Courier New" w:hAnsi="Courier New"/>
                <w:sz w:val="18"/>
                <w:szCs w:val="18"/>
              </w:rPr>
              <w:t xml:space="preserve">make infra &amp;&amp; make install          # four stores, Python and Node dependencies</w:t>
            </w:r>
          </w:p>
          <w:p>
            <w:pPr>
              <w:spacing w:after="0" w:line="250"/>
            </w:pPr>
            <w:r>
              <w:rPr>
                <w:rFonts w:ascii="Courier New" w:cs="Courier New" w:eastAsia="Courier New" w:hAnsi="Courier New"/>
                <w:sz w:val="18"/>
                <w:szCs w:val="18"/>
              </w:rPr>
              <w:t xml:space="preserve">make api                            # FastAPI on :8000 (seeds empty stores)</w:t>
            </w:r>
          </w:p>
          <w:p>
            <w:pPr>
              <w:spacing w:after="0" w:line="250"/>
            </w:pPr>
            <w:r>
              <w:rPr>
                <w:rFonts w:ascii="Courier New" w:cs="Courier New" w:eastAsia="Courier New" w:hAnsi="Courier New"/>
                <w:sz w:val="18"/>
                <w:szCs w:val="18"/>
              </w:rPr>
              <w:t xml:space="preserve">make web                            # console on :5173</w:t>
            </w:r>
          </w:p>
          <w:p>
            <w:pPr>
              <w:spacing w:after="0" w:line="250"/>
            </w:pPr>
            <w:r>
              <w:rPr>
                <w:rFonts w:ascii="Courier New" w:cs="Courier New" w:eastAsia="Courier New" w:hAnsi="Courier New"/>
                <w:sz w:val="18"/>
                <w:szCs w:val="18"/>
              </w:rPr>
              <w:t xml:space="preserve">ollama pull llama3.2:3b             # local model (default)</w:t>
            </w:r>
          </w:p>
          <w:p>
            <w:pPr>
              <w:spacing w:after="0" w:line="250"/>
            </w:pPr>
            <w:r>
              <w:rPr>
                <w:rFonts w:ascii="Courier New" w:cs="Courier New" w:eastAsia="Courier New" w:hAnsi="Courier New"/>
                <w:sz w:val="18"/>
                <w:szCs w:val="18"/>
              </w:rPr>
              <w:t xml:space="preserve">make test                           # unit tests</w:t>
            </w:r>
          </w:p>
          <w:p>
            <w:pPr>
              <w:spacing w:after="0" w:line="250"/>
            </w:pPr>
            <w:r>
              <w:rPr>
                <w:rFonts w:ascii="Courier New" w:cs="Courier New" w:eastAsia="Courier New" w:hAnsi="Courier New"/>
                <w:sz w:val="18"/>
                <w:szCs w:val="18"/>
              </w:rPr>
              <w:t xml:space="preserve">make test-integration               # API against the live stores</w:t>
            </w:r>
          </w:p>
          <w:p>
            <w:pPr>
              <w:spacing w:after="0" w:line="250"/>
            </w:pPr>
            <w:r>
              <w:rPr>
                <w:rFonts w:ascii="Courier New" w:cs="Courier New" w:eastAsia="Courier New" w:hAnsi="Courier New"/>
                <w:sz w:val="18"/>
                <w:szCs w:val="18"/>
              </w:rPr>
              <w:t xml:space="preserve">make eval-check                     # acceptance questions + gates  -&gt; backend/eval_report.json</w:t>
            </w:r>
          </w:p>
          <w:p>
            <w:pPr>
              <w:spacing w:after="0" w:line="250"/>
            </w:pPr>
            <w:r>
              <w:rPr>
                <w:rFonts w:ascii="Courier New" w:cs="Courier New" w:eastAsia="Courier New" w:hAnsi="Courier New"/>
                <w:sz w:val="18"/>
                <w:szCs w:val="18"/>
              </w:rPr>
              <w:t xml:space="preserve">docker compose --profile app stop   # pause the demo stack before benchmarking</w:t>
            </w:r>
          </w:p>
          <w:p>
            <w:pPr>
              <w:spacing w:after="0" w:line="250"/>
            </w:pPr>
            <w:r>
              <w:rPr>
                <w:rFonts w:ascii="Courier New" w:cs="Courier New" w:eastAsia="Courier New" w:hAnsi="Courier New"/>
                <w:sz w:val="18"/>
                <w:szCs w:val="18"/>
              </w:rPr>
              <w:t xml:space="preserve">make bench                          # throwaway stack -&gt; review3/performance/benchmark_results.json</w:t>
            </w:r>
          </w:p>
          <w:p>
            <w:pPr>
              <w:spacing w:after="0" w:line="250"/>
            </w:pPr>
            <w:r>
              <w:rPr>
                <w:rFonts w:ascii="Courier New" w:cs="Courier New" w:eastAsia="Courier New" w:hAnsi="Courier New"/>
                <w:sz w:val="18"/>
                <w:szCs w:val="18"/>
              </w:rPr>
              <w:t xml:space="preserve">python review3/make_charts.py       # charts       (pip install matplotlib==3.9.2)</w:t>
            </w:r>
          </w:p>
          <w:p>
            <w:pPr>
              <w:spacing w:after="0" w:line="250"/>
            </w:pPr>
            <w:r>
              <w:rPr>
                <w:rFonts w:ascii="Courier New" w:cs="Courier New" w:eastAsia="Courier New" w:hAnsi="Courier New"/>
                <w:sz w:val="18"/>
                <w:szCs w:val="18"/>
              </w:rPr>
              <w:t xml:space="preserve">python review3/generate_figures.py  # diagrams     (pip install pillow)</w:t>
            </w:r>
          </w:p>
          <w:p>
            <w:pPr>
              <w:spacing w:after="0" w:line="250"/>
            </w:pPr>
            <w:r>
              <w:rPr>
                <w:rFonts w:ascii="Courier New" w:cs="Courier New" w:eastAsia="Courier New" w:hAnsi="Courier New"/>
                <w:sz w:val="18"/>
                <w:szCs w:val="18"/>
              </w:rPr>
              <w:t xml:space="preserve">node review3/generate_report.js     # this report  (npm install in review3/, LibreOffice for PDF)</w:t>
            </w:r>
          </w:p>
        </w:tc>
      </w:tr>
    </w:tbl>
    <w:p>
      <w:pPr>
        <w:spacing w:after="120"/>
      </w:pPr>
    </w:p>
    <w:p>
      <w:pPr>
        <w:spacing w:after="160" w:line="340"/>
        <w:jc w:val="both"/>
      </w:pPr>
      <w:r>
        <w:rPr>
          <w:rFonts w:ascii="Times New Roman" w:cs="Times New Roman" w:eastAsia="Times New Roman" w:hAnsi="Times New Roman"/>
          <w:sz w:val="24"/>
          <w:szCs w:val="24"/>
        </w:rPr>
        <w:t xml:space="preserve">The raw results are in </w:t>
      </w:r>
      <w:r>
        <w:rPr>
          <w:rFonts w:ascii="Courier New" w:cs="Courier New" w:eastAsia="Courier New" w:hAnsi="Courier New"/>
          <w:sz w:val="20"/>
          <w:szCs w:val="20"/>
        </w:rPr>
        <w:t xml:space="preserve">review3/performance/</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benchmark_results.json</w:t>
      </w:r>
      <w:r>
        <w:rPr>
          <w:rFonts w:ascii="Times New Roman" w:cs="Times New Roman" w:eastAsia="Times New Roman" w:hAnsi="Times New Roman"/>
          <w:sz w:val="24"/>
          <w:szCs w:val="24"/>
        </w:rPr>
        <w:t xml:space="preserve"> (after the fixes), </w:t>
      </w:r>
      <w:r>
        <w:rPr>
          <w:rFonts w:ascii="Courier New" w:cs="Courier New" w:eastAsia="Courier New" w:hAnsi="Courier New"/>
          <w:sz w:val="20"/>
          <w:szCs w:val="20"/>
        </w:rPr>
        <w:t xml:space="preserve">benchmark_baseline_before_fixes.json</w:t>
      </w:r>
      <w:r>
        <w:rPr>
          <w:rFonts w:ascii="Times New Roman" w:cs="Times New Roman" w:eastAsia="Times New Roman" w:hAnsi="Times New Roman"/>
          <w:sz w:val="24"/>
          <w:szCs w:val="24"/>
        </w:rPr>
        <w:t xml:space="preserve">, the three evaluation runs and </w:t>
      </w:r>
      <w:r>
        <w:rPr>
          <w:rFonts w:ascii="Courier New" w:cs="Courier New" w:eastAsia="Courier New" w:hAnsi="Courier New"/>
          <w:sz w:val="20"/>
          <w:szCs w:val="20"/>
        </w:rPr>
        <w:t xml:space="preserve">llm_latency_runs.json</w:t>
      </w:r>
      <w:r>
        <w:rPr>
          <w:rFonts w:ascii="Times New Roman" w:cs="Times New Roman" w:eastAsia="Times New Roman" w:hAnsi="Times New Roman"/>
          <w:sz w:val="24"/>
          <w:szCs w:val="24"/>
        </w:rPr>
        <w:t xml:space="preserve">, which records the provenance of every LLM measurement in Figure 14.</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A47" w:sz="6" w:space="6"/>
      </w:pBdr>
      <w:tabs>
        <w:tab w:val="right" w:pos="9638"/>
      </w:tabs>
      <w:spacing w:before="80"/>
    </w:pPr>
    <w:r>
      <w:rPr>
        <w:rFonts w:ascii="Times New Roman" w:cs="Times New Roman" w:eastAsia="Times New Roman" w:hAnsi="Times New Roman"/>
        <w:color w:val="4A5560"/>
        <w:sz w:val="16"/>
        <w:szCs w:val="16"/>
      </w:rPr>
      <w:t xml:space="preserve">Final Demonstration and Innovation</w:t>
    </w:r>
    <w:r>
      <w:rPr>
        <w:rFonts w:ascii="Times New Roman" w:cs="Times New Roman" w:eastAsia="Times New Roman" w:hAnsi="Times New Roman"/>
        <w:color w:val="4A5560"/>
        <w:sz w:val="16"/>
        <w:szCs w:val="16"/>
      </w:rPr>
      <w:t xml:space="preserve">	Page </w:t>
    </w:r>
    <w:r>
      <w:rPr>
        <w:rFonts w:ascii="Times New Roman" w:cs="Times New Roman" w:eastAsia="Times New Roman" w:hAnsi="Times New Roman"/>
        <w:color w:val="4A556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A47" w:sz="6" w:space="4"/>
      </w:pBdr>
      <w:tabs>
        <w:tab w:val="right" w:pos="9638"/>
      </w:tabs>
      <w:spacing w:after="80"/>
    </w:pPr>
    <w:r>
      <w:rPr>
        <w:rFonts w:ascii="Times New Roman" w:cs="Times New Roman" w:eastAsia="Times New Roman" w:hAnsi="Times New Roman"/>
        <w:color w:val="4A5560"/>
        <w:sz w:val="16"/>
        <w:szCs w:val="16"/>
      </w:rPr>
      <w:t xml:space="preserve">Review–III  ·  GraphRAG CTI Platform</w:t>
    </w:r>
    <w:r>
      <w:rPr>
        <w:rFonts w:ascii="Times New Roman" w:cs="Times New Roman" w:eastAsia="Times New Roman" w:hAnsi="Times New Roman"/>
        <w:color w:val="4A5560"/>
        <w:sz w:val="16"/>
        <w:szCs w:val="16"/>
      </w:rPr>
      <w:t xml:space="preserve">	Final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1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Times New Roman" w:cs="Times New Roman" w:eastAsia="Times New Roman" w:hAnsi="Times New Roman"/>
      <w:b/>
      <w:bCs/>
      <w:color w:val="0F2A4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B4F72"/>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f63465eff10a381bb9b138be8a8b4fc8ba9b13f.png"/><Relationship Id="rId12" Type="http://schemas.openxmlformats.org/officeDocument/2006/relationships/image" Target="media/449c6cc4facc2515e55623551d0ec2f77d37dc19.png"/><Relationship Id="rId13" Type="http://schemas.openxmlformats.org/officeDocument/2006/relationships/image" Target="media/338595ebc5c0a5bb9e9f8b4ebaff9f5b9fbe5c2a.png"/><Relationship Id="rId14" Type="http://schemas.openxmlformats.org/officeDocument/2006/relationships/image" Target="media/366657cb57a0a897ecb4b8b230c837b4eeab07b4.png"/><Relationship Id="rId15" Type="http://schemas.openxmlformats.org/officeDocument/2006/relationships/image" Target="media/8ed832d665b3421d2f84ffba55e0a3a39f9c74a8.png"/><Relationship Id="rId16" Type="http://schemas.openxmlformats.org/officeDocument/2006/relationships/image" Target="media/dcef2786a20de6a448183ba572659e5c41567cde.png"/><Relationship Id="rId17" Type="http://schemas.openxmlformats.org/officeDocument/2006/relationships/image" Target="media/22dfea37a2a9ff3c3489e27632606285c8c60313.png"/><Relationship Id="rId18" Type="http://schemas.openxmlformats.org/officeDocument/2006/relationships/image" Target="media/377c4a60f78a0727c46240ff0c5923824659f686.png"/><Relationship Id="rId19" Type="http://schemas.openxmlformats.org/officeDocument/2006/relationships/image" Target="media/4dc7fbaefd201c8cff6eb00595ca3ea3ef355acd.png"/><Relationship Id="rId20" Type="http://schemas.openxmlformats.org/officeDocument/2006/relationships/image" Target="media/895e3becda9079de7926618311d38e76c79ff795.png"/><Relationship Id="rId21" Type="http://schemas.openxmlformats.org/officeDocument/2006/relationships/image" Target="media/b27c7b7ca74d8b14adebe245a5342bdf1e02c56f.png"/><Relationship Id="rId22" Type="http://schemas.openxmlformats.org/officeDocument/2006/relationships/image" Target="media/0ae77684ea81a6309e71a9f661c8091b39bbecc2.png"/><Relationship Id="rId23" Type="http://schemas.openxmlformats.org/officeDocument/2006/relationships/image" Target="media/b5e6121af785b4610887262b0ac57e626d074cc2.png"/><Relationship Id="rId24" Type="http://schemas.openxmlformats.org/officeDocument/2006/relationships/image" Target="media/53da1cdbc2b03520aad42abbef590ea40587bbbd.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Review–III  ·  GraphRAG CTI Platform</dc:title>
  <dc:creator>Shivansh Sharma, Himali Sharma, Aayush Sinha</dc:creator>
  <cp:lastModifiedBy>Un-named</cp:lastModifiedBy>
  <cp:revision>1</cp:revision>
  <dcterms:created xsi:type="dcterms:W3CDTF">2026-10-25T16:55:50.629Z</dcterms:created>
  <dcterms:modified xsi:type="dcterms:W3CDTF">2026-10-25T16:55:50.629Z</dcterms:modified>
</cp:coreProperties>
</file>

<file path=docProps/custom.xml><?xml version="1.0" encoding="utf-8"?>
<Properties xmlns="http://schemas.openxmlformats.org/officeDocument/2006/custom-properties" xmlns:vt="http://schemas.openxmlformats.org/officeDocument/2006/docPropsVTypes"/>
</file>