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F2A47" w:sz="18" w:space="8"/>
        </w:pBdr>
        <w:spacing w:after="120"/>
      </w:pPr>
    </w:p>
    <w:p>
      <w:pPr>
        <w:spacing w:after="80" w:before="80"/>
        <w:jc w:val="center"/>
      </w:pPr>
      <w:r>
        <w:rPr>
          <w:rFonts w:ascii="Times New Roman" w:cs="Times New Roman" w:eastAsia="Times New Roman" w:hAnsi="Times New Roman"/>
          <w:b/>
          <w:bCs/>
          <w:color w:val="0F2A47"/>
          <w:spacing w:val="60"/>
          <w:sz w:val="30"/>
          <w:szCs w:val="30"/>
        </w:rPr>
        <w:t xml:space="preserve">USER MANUAL</w:t>
      </w:r>
    </w:p>
    <w:p>
      <w:pPr>
        <w:spacing w:after="80" w:before="360"/>
        <w:jc w:val="center"/>
      </w:pPr>
      <w:r>
        <w:rPr>
          <w:rFonts w:ascii="Times New Roman" w:cs="Times New Roman" w:eastAsia="Times New Roman" w:hAnsi="Times New Roman"/>
          <w:b/>
          <w:bCs/>
          <w:color w:val="0F2A47"/>
          <w:sz w:val="34"/>
          <w:szCs w:val="34"/>
        </w:rPr>
        <w:t xml:space="preserve">GraphRAG-Powered Cyber Threat Intelligence Platform</w:t>
      </w:r>
    </w:p>
    <w:p>
      <w:pPr>
        <w:spacing w:after="360"/>
        <w:jc w:val="center"/>
      </w:pPr>
      <w:r>
        <w:rPr>
          <w:rFonts w:ascii="Times New Roman" w:cs="Times New Roman" w:eastAsia="Times New Roman" w:hAnsi="Times New Roman"/>
          <w:i/>
          <w:iCs/>
          <w:color w:val="4A5560"/>
          <w:sz w:val="24"/>
          <w:szCs w:val="24"/>
        </w:rPr>
        <w:t xml:space="preserve">CTI Workstation — installation, operation and administration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22"/>
                <w:szCs w:val="22"/>
              </w:rPr>
              <w:t xml:space="preserve">Item</w:t>
            </w:r>
          </w:p>
        </w:tc>
        <w:tc>
          <w:tcPr>
            <w:tcW w:type="dxa" w:w="66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22"/>
                <w:szCs w:val="22"/>
              </w:rPr>
              <w:t xml:space="preserve">Value</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Version</w:t>
            </w:r>
          </w:p>
        </w:tc>
        <w:tc>
          <w:tcPr>
            <w:tcW w:type="dxa" w:w="6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1.0 (Review III), October 2026</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Audience</w:t>
            </w:r>
          </w:p>
        </w:tc>
        <w:tc>
          <w:tcPr>
            <w:tcW w:type="dxa" w:w="6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SOC analysts, CTI leads, platform operators, and engineers integrating firewalls, EDR or SIEM</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Authors</w:t>
            </w:r>
          </w:p>
        </w:tc>
        <w:tc>
          <w:tcPr>
            <w:tcW w:type="dxa" w:w="6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Shivansh Sharma (23BCE0254)</w:t>
            </w:r>
          </w:p>
          <w:p>
            <w:pPr>
              <w:spacing w:after="0" w:line="260"/>
              <w:jc w:val="left"/>
            </w:pPr>
            <w:r>
              <w:rPr>
                <w:rFonts w:ascii="Times New Roman" w:cs="Times New Roman" w:eastAsia="Times New Roman" w:hAnsi="Times New Roman"/>
                <w:b w:val="false"/>
                <w:bCs w:val="false"/>
                <w:sz w:val="22"/>
                <w:szCs w:val="22"/>
              </w:rPr>
              <w:t xml:space="preserve">Himali Sharma (23BCE0317)</w:t>
            </w:r>
          </w:p>
          <w:p>
            <w:pPr>
              <w:spacing w:after="0" w:line="260"/>
              <w:jc w:val="left"/>
            </w:pPr>
            <w:r>
              <w:rPr>
                <w:rFonts w:ascii="Times New Roman" w:cs="Times New Roman" w:eastAsia="Times New Roman" w:hAnsi="Times New Roman"/>
                <w:b w:val="false"/>
                <w:bCs w:val="false"/>
                <w:sz w:val="22"/>
                <w:szCs w:val="22"/>
              </w:rPr>
              <w:t xml:space="preserve">Aayush Sinha (23BCE0558)</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Institution / guide</w:t>
            </w:r>
          </w:p>
        </w:tc>
        <w:tc>
          <w:tcPr>
            <w:tcW w:type="dxa" w:w="6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VIT Vellore · Dr. Lydia Jane G</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Source</w:t>
            </w:r>
          </w:p>
        </w:tc>
        <w:tc>
          <w:tcPr>
            <w:tcW w:type="dxa" w:w="6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github.com/Shivansharmaaaa/graphrag</w:t>
            </w:r>
          </w:p>
        </w:tc>
      </w:tr>
    </w:tbl>
    <w:p>
      <w:pPr>
        <w:pStyle w:val="Heading1"/>
        <w:pageBreakBefore/>
        <w:pBdr>
          <w:bottom w:val="single" w:color="0F2A47" w:sz="12" w:space="4"/>
        </w:pBdr>
        <w:spacing w:after="180" w:before="320"/>
      </w:pPr>
      <w:r>
        <w:rPr>
          <w:rFonts w:ascii="Times New Roman" w:cs="Times New Roman" w:eastAsia="Times New Roman" w:hAnsi="Times New Roman"/>
          <w:b/>
          <w:bCs/>
          <w:color w:val="0F2A47"/>
          <w:sz w:val="32"/>
          <w:szCs w:val="32"/>
        </w:rPr>
        <w:t xml:space="preserve">Contents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0"/>
        <w:gridCol w:w="2038"/>
      </w:tblGrid>
      <w:tr>
        <w:trPr>
          <w:cantSplit/>
          <w:tblHeader/>
        </w:trPr>
        <w:tc>
          <w:tcPr>
            <w:tcW w:type="dxa" w:w="76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22"/>
                <w:szCs w:val="22"/>
              </w:rPr>
              <w:t xml:space="preserve">Section</w:t>
            </w:r>
          </w:p>
        </w:tc>
        <w:tc>
          <w:tcPr>
            <w:tcW w:type="dxa" w:w="20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22"/>
                <w:szCs w:val="22"/>
              </w:rPr>
              <w:t xml:space="preserve">Page</w:t>
            </w:r>
          </w:p>
        </w:tc>
      </w:tr>
      <w:tr>
        <w:trPr>
          <w:cantSplit/>
          <w:tblHeader w:val="false"/>
        </w:trPr>
        <w:tc>
          <w:tcPr>
            <w:tcW w:type="dxa" w:w="7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1.  About This Manual</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3</w:t>
            </w:r>
          </w:p>
        </w:tc>
      </w:tr>
      <w:tr>
        <w:trPr>
          <w:cantSplit/>
          <w:tblHeader w:val="false"/>
        </w:trPr>
        <w:tc>
          <w:tcPr>
            <w:tcW w:type="dxa" w:w="7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2.  System Overview</w:t>
            </w:r>
          </w:p>
        </w:tc>
        <w:tc>
          <w:tcPr>
            <w:tcW w:type="dxa" w:w="2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3</w:t>
            </w:r>
          </w:p>
        </w:tc>
      </w:tr>
      <w:tr>
        <w:trPr>
          <w:cantSplit/>
          <w:tblHeader w:val="false"/>
        </w:trPr>
        <w:tc>
          <w:tcPr>
            <w:tcW w:type="dxa" w:w="7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3.  Installation</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7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4.  Signing In</w:t>
            </w:r>
          </w:p>
        </w:tc>
        <w:tc>
          <w:tcPr>
            <w:tcW w:type="dxa" w:w="2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6</w:t>
            </w:r>
          </w:p>
        </w:tc>
      </w:tr>
      <w:tr>
        <w:trPr>
          <w:cantSplit/>
          <w:tblHeader w:val="false"/>
        </w:trPr>
        <w:tc>
          <w:tcPr>
            <w:tcW w:type="dxa" w:w="7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5.  Using the Console</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7</w:t>
            </w:r>
          </w:p>
        </w:tc>
      </w:tr>
      <w:tr>
        <w:trPr>
          <w:cantSplit/>
          <w:tblHeader w:val="false"/>
        </w:trPr>
        <w:tc>
          <w:tcPr>
            <w:tcW w:type="dxa" w:w="7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6.  Walkthroughs</w:t>
            </w:r>
          </w:p>
        </w:tc>
        <w:tc>
          <w:tcPr>
            <w:tcW w:type="dxa" w:w="2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14</w:t>
            </w:r>
          </w:p>
        </w:tc>
      </w:tr>
      <w:tr>
        <w:trPr>
          <w:cantSplit/>
          <w:tblHeader w:val="false"/>
        </w:trPr>
        <w:tc>
          <w:tcPr>
            <w:tcW w:type="dxa" w:w="7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7.  Enforcement API for Security Tools</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7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8.  Configuration Reference</w:t>
            </w:r>
          </w:p>
        </w:tc>
        <w:tc>
          <w:tcPr>
            <w:tcW w:type="dxa" w:w="2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16</w:t>
            </w:r>
          </w:p>
        </w:tc>
      </w:tr>
      <w:tr>
        <w:trPr>
          <w:cantSplit/>
          <w:tblHeader w:val="false"/>
        </w:trPr>
        <w:tc>
          <w:tcPr>
            <w:tcW w:type="dxa" w:w="7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9.  Administration and Maintenance</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16</w:t>
            </w:r>
          </w:p>
        </w:tc>
      </w:tr>
      <w:tr>
        <w:trPr>
          <w:cantSplit/>
          <w:tblHeader w:val="false"/>
        </w:trPr>
        <w:tc>
          <w:tcPr>
            <w:tcW w:type="dxa" w:w="7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10.  Troubleshooting</w:t>
            </w:r>
          </w:p>
        </w:tc>
        <w:tc>
          <w:tcPr>
            <w:tcW w:type="dxa" w:w="2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17</w:t>
            </w:r>
          </w:p>
        </w:tc>
      </w:tr>
      <w:tr>
        <w:trPr>
          <w:cantSplit/>
          <w:tblHeader w:val="false"/>
        </w:trPr>
        <w:tc>
          <w:tcPr>
            <w:tcW w:type="dxa" w:w="7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11.  Glossary</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17</w:t>
            </w:r>
          </w:p>
        </w:tc>
      </w:tr>
    </w:tbl>
    <w:p>
      <w:pPr>
        <w:pStyle w:val="Heading1"/>
        <w:pageBreakBefore/>
        <w:pBdr>
          <w:bottom w:val="single" w:color="0F2A47" w:sz="12" w:space="4"/>
        </w:pBdr>
        <w:spacing w:after="180" w:before="320"/>
      </w:pPr>
      <w:r>
        <w:rPr>
          <w:rFonts w:ascii="Times New Roman" w:cs="Times New Roman" w:eastAsia="Times New Roman" w:hAnsi="Times New Roman"/>
          <w:b/>
          <w:bCs/>
          <w:color w:val="0F2A47"/>
          <w:sz w:val="32"/>
          <w:szCs w:val="32"/>
        </w:rPr>
        <w:t xml:space="preserve">1.  About This Manual</w:t>
      </w:r>
    </w:p>
    <w:p>
      <w:pPr>
        <w:spacing w:after="160" w:line="340"/>
        <w:jc w:val="both"/>
      </w:pPr>
      <w:r>
        <w:rPr>
          <w:rFonts w:ascii="Times New Roman" w:cs="Times New Roman" w:eastAsia="Times New Roman" w:hAnsi="Times New Roman"/>
          <w:sz w:val="24"/>
          <w:szCs w:val="24"/>
        </w:rPr>
        <w:t xml:space="preserve">This manual explains how to install the CTI Workstation, use each page of the analyst console, connect enforcement tools, and keep the platform healthy. Design rationale and measurements are in the separate Final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20"/>
                <w:szCs w:val="20"/>
              </w:rPr>
              <w:t xml:space="preserve">If you are…</w:t>
            </w:r>
          </w:p>
        </w:tc>
        <w:tc>
          <w:tcPr>
            <w:tcW w:type="dxa" w:w="70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20"/>
                <w:szCs w:val="20"/>
              </w:rPr>
              <w:t xml:space="preserve">Read</w:t>
            </w:r>
          </w:p>
        </w:tc>
      </w:tr>
      <w:tr>
        <w:trPr>
          <w:cantSplit/>
          <w:tblHeader w:val="false"/>
        </w:trPr>
        <w:tc>
          <w:tcPr>
            <w:tcW w:type="dxa" w:w="2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an analyst</w:t>
            </w:r>
          </w:p>
        </w:tc>
        <w:tc>
          <w:tcPr>
            <w:tcW w:type="dxa" w:w="7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Sections 4, 5 and 6</w:t>
            </w:r>
          </w:p>
        </w:tc>
      </w:tr>
      <w:tr>
        <w:trPr>
          <w:cantSplit/>
          <w:tblHeader w:val="false"/>
        </w:trPr>
        <w:tc>
          <w:tcPr>
            <w:tcW w:type="dxa" w:w="2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a CTI lead or detection engineer</w:t>
            </w:r>
          </w:p>
        </w:tc>
        <w:tc>
          <w:tcPr>
            <w:tcW w:type="dxa" w:w="7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also 5.4 (blocklist), 5.6 (ingest) and 7</w:t>
            </w:r>
          </w:p>
        </w:tc>
      </w:tr>
      <w:tr>
        <w:trPr>
          <w:cantSplit/>
          <w:tblHeader w:val="false"/>
        </w:trPr>
        <w:tc>
          <w:tcPr>
            <w:tcW w:type="dxa" w:w="2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a platform operator</w:t>
            </w:r>
          </w:p>
        </w:tc>
        <w:tc>
          <w:tcPr>
            <w:tcW w:type="dxa" w:w="7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Sections 3, 8, 9 and 10</w:t>
            </w:r>
          </w:p>
        </w:tc>
      </w:tr>
      <w:tr>
        <w:trPr>
          <w:cantSplit/>
          <w:tblHeader w:val="false"/>
        </w:trPr>
        <w:tc>
          <w:tcPr>
            <w:tcW w:type="dxa" w:w="2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integrating a firewall, EDR or SIEM</w:t>
            </w:r>
          </w:p>
        </w:tc>
        <w:tc>
          <w:tcPr>
            <w:tcW w:type="dxa" w:w="7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Section 7</w:t>
            </w:r>
          </w:p>
        </w:tc>
      </w:tr>
    </w:tbl>
    <w:p>
      <w:pPr>
        <w:spacing w:after="100"/>
      </w:pPr>
    </w:p>
    <w:p>
      <w:pPr>
        <w:spacing w:after="160" w:line="340"/>
        <w:jc w:val="both"/>
      </w:pPr>
      <w:r>
        <w:rPr>
          <w:rFonts w:ascii="Times New Roman" w:cs="Times New Roman" w:eastAsia="Times New Roman" w:hAnsi="Times New Roman"/>
          <w:b/>
          <w:bCs/>
          <w:sz w:val="24"/>
          <w:szCs w:val="24"/>
        </w:rPr>
        <w:t xml:space="preserve">Conventions.</w:t>
      </w:r>
      <w:r>
        <w:rPr>
          <w:rFonts w:ascii="Times New Roman" w:cs="Times New Roman" w:eastAsia="Times New Roman" w:hAnsi="Times New Roman"/>
          <w:sz w:val="24"/>
          <w:szCs w:val="24"/>
        </w:rPr>
        <w:t xml:space="preserve"> Commands are shown in a monospace box and run from the project folder (</w:t>
      </w:r>
      <w:r>
        <w:rPr>
          <w:rFonts w:ascii="Courier New" w:cs="Courier New" w:eastAsia="Courier New" w:hAnsi="Courier New"/>
          <w:sz w:val="20"/>
          <w:szCs w:val="20"/>
        </w:rPr>
        <w:t xml:space="preserve">nosql/</w:t>
      </w:r>
      <w:r>
        <w:rPr>
          <w:rFonts w:ascii="Times New Roman" w:cs="Times New Roman" w:eastAsia="Times New Roman" w:hAnsi="Times New Roman"/>
          <w:sz w:val="24"/>
          <w:szCs w:val="24"/>
        </w:rPr>
        <w:t xml:space="preserve">). Text in </w:t>
      </w:r>
      <w:r>
        <w:rPr>
          <w:rFonts w:ascii="Courier New" w:cs="Courier New" w:eastAsia="Courier New" w:hAnsi="Courier New"/>
          <w:sz w:val="20"/>
          <w:szCs w:val="20"/>
        </w:rPr>
        <w:t xml:space="preserve">monospace</w:t>
      </w:r>
      <w:r>
        <w:rPr>
          <w:rFonts w:ascii="Times New Roman" w:cs="Times New Roman" w:eastAsia="Times New Roman" w:hAnsi="Times New Roman"/>
          <w:sz w:val="24"/>
          <w:szCs w:val="24"/>
        </w:rPr>
        <w:t xml:space="preserve"> is typed exactly. Screens are shown in the console's dark theme.</w:t>
      </w:r>
    </w:p>
    <w:p>
      <w:pPr>
        <w:pStyle w:val="Heading1"/>
        <w:pBdr>
          <w:bottom w:val="single" w:color="0F2A47" w:sz="12" w:space="4"/>
        </w:pBdr>
        <w:spacing w:after="180" w:before="320"/>
      </w:pPr>
      <w:r>
        <w:rPr>
          <w:rFonts w:ascii="Times New Roman" w:cs="Times New Roman" w:eastAsia="Times New Roman" w:hAnsi="Times New Roman"/>
          <w:b/>
          <w:bCs/>
          <w:color w:val="0F2A47"/>
          <w:sz w:val="32"/>
          <w:szCs w:val="32"/>
        </w:rPr>
        <w:t xml:space="preserve">2.  System Overview</w:t>
      </w:r>
    </w:p>
    <w:p>
      <w:pPr>
        <w:spacing w:after="160" w:line="340"/>
        <w:jc w:val="both"/>
      </w:pPr>
      <w:r>
        <w:rPr>
          <w:rFonts w:ascii="Times New Roman" w:cs="Times New Roman" w:eastAsia="Times New Roman" w:hAnsi="Times New Roman"/>
          <w:sz w:val="24"/>
          <w:szCs w:val="24"/>
        </w:rPr>
        <w:t xml:space="preserve">The workstation stores cyber threat intelligence in four databases, each used for what it does best, and answers questions in plain English using all four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4538"/>
      </w:tblGrid>
      <w:tr>
        <w:trPr>
          <w:cantSplit/>
          <w:tblHeader/>
        </w:trPr>
        <w:tc>
          <w:tcPr>
            <w:tcW w:type="dxa" w:w="19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Store</w:t>
            </w:r>
          </w:p>
        </w:tc>
        <w:tc>
          <w:tcPr>
            <w:tcW w:type="dxa" w:w="32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Holds</w:t>
            </w:r>
          </w:p>
        </w:tc>
        <w:tc>
          <w:tcPr>
            <w:tcW w:type="dxa" w:w="45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You see it in</w:t>
            </w:r>
          </w:p>
        </w:tc>
      </w:tr>
      <w:tr>
        <w:trPr>
          <w:cantSplit/>
          <w:tblHeader w:val="false"/>
        </w:trPr>
        <w:tc>
          <w:tcPr>
            <w:tcW w:type="dxa" w:w="1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Neo4j</w:t>
            </w:r>
          </w:p>
        </w:tc>
        <w:tc>
          <w:tcPr>
            <w:tcW w:type="dxa" w:w="3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the threat graph: actors, campaigns, malware, infrastructure, techniques, victims, indicators, reports</w:t>
            </w:r>
          </w:p>
        </w:tc>
        <w:tc>
          <w:tcPr>
            <w:tcW w:type="dxa" w:w="45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Graph explorer; graph hops in GraphRAG answers</w:t>
            </w:r>
          </w:p>
        </w:tc>
      </w:tr>
      <w:tr>
        <w:trPr>
          <w:cantSplit/>
          <w:tblHeader w:val="false"/>
        </w:trPr>
        <w:tc>
          <w:tcPr>
            <w:tcW w:type="dxa" w:w="1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MongoDB</w:t>
            </w:r>
          </w:p>
        </w:tc>
        <w:tc>
          <w:tcPr>
            <w:tcW w:type="dxa" w:w="32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full reports, STIX bundles, users, audit log, ingest log</w:t>
            </w:r>
          </w:p>
        </w:tc>
        <w:tc>
          <w:tcPr>
            <w:tcW w:type="dxa" w:w="45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Report browser; documents in answers; Audit</w:t>
            </w:r>
          </w:p>
        </w:tc>
      </w:tr>
      <w:tr>
        <w:trPr>
          <w:cantSplit/>
          <w:tblHeader w:val="false"/>
        </w:trPr>
        <w:tc>
          <w:tcPr>
            <w:tcW w:type="dxa" w:w="1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Redis</w:t>
            </w:r>
          </w:p>
        </w:tc>
        <w:tc>
          <w:tcPr>
            <w:tcW w:type="dxa" w:w="3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the live IOC blocklist, each entry expiring after its TTL</w:t>
            </w:r>
          </w:p>
        </w:tc>
        <w:tc>
          <w:tcPr>
            <w:tcW w:type="dxa" w:w="45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IOC blocklist; IOC state in answers</w:t>
            </w:r>
          </w:p>
        </w:tc>
      </w:tr>
      <w:tr>
        <w:trPr>
          <w:cantSplit/>
          <w:tblHeader w:val="false"/>
        </w:trPr>
        <w:tc>
          <w:tcPr>
            <w:tcW w:type="dxa" w:w="1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Qdrant</w:t>
            </w:r>
          </w:p>
        </w:tc>
        <w:tc>
          <w:tcPr>
            <w:tcW w:type="dxa" w:w="32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report passages as vectors for similarity search</w:t>
            </w:r>
          </w:p>
        </w:tc>
        <w:tc>
          <w:tcPr>
            <w:tcW w:type="dxa" w:w="45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Semantic search; passages in answers</w:t>
            </w:r>
          </w:p>
        </w:tc>
      </w:tr>
    </w:tbl>
    <w:p>
      <w:pPr>
        <w:spacing w:after="100"/>
      </w:pPr>
    </w:p>
    <w:p>
      <w:pPr>
        <w:spacing w:after="160" w:line="340"/>
        <w:jc w:val="both"/>
      </w:pPr>
      <w:r>
        <w:rPr>
          <w:rFonts w:ascii="Times New Roman" w:cs="Times New Roman" w:eastAsia="Times New Roman" w:hAnsi="Times New Roman"/>
          <w:b/>
          <w:bCs/>
          <w:sz w:val="24"/>
          <w:szCs w:val="24"/>
        </w:rPr>
        <w:t xml:space="preserve">GraphRAG answers.</w:t>
      </w:r>
      <w:r>
        <w:rPr>
          <w:rFonts w:ascii="Times New Roman" w:cs="Times New Roman" w:eastAsia="Times New Roman" w:hAnsi="Times New Roman"/>
          <w:sz w:val="24"/>
          <w:szCs w:val="24"/>
        </w:rPr>
        <w:t xml:space="preserve"> When you ask a question, the system retrieves passages, graph paths, reports and IOC states, and a local language model writes the answer. Every sentence must cite evidence; sentences without a valid citation are removed, and if too few remain the answer is replaced by an evidence-only summary or a refusal.</w:t>
      </w:r>
    </w:p>
    <w:p>
      <w:pPr>
        <w:spacing w:after="160" w:line="340"/>
        <w:jc w:val="both"/>
      </w:pPr>
      <w:r>
        <w:rPr>
          <w:rFonts w:ascii="Times New Roman" w:cs="Times New Roman" w:eastAsia="Times New Roman" w:hAnsi="Times New Roman"/>
          <w:b/>
          <w:bCs/>
          <w:sz w:val="24"/>
          <w:szCs w:val="24"/>
        </w:rPr>
        <w:t xml:space="preserve">Roles and clearance.</w:t>
      </w:r>
      <w:r>
        <w:rPr>
          <w:rFonts w:ascii="Times New Roman" w:cs="Times New Roman" w:eastAsia="Times New Roman" w:hAnsi="Times New Roman"/>
          <w:sz w:val="24"/>
          <w:szCs w:val="24"/>
        </w:rPr>
        <w:t xml:space="preserve"> Each account has a role that limits what it can change and a TLP clearance that limits what it can read.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638"/>
      </w:tblGrid>
      <w:tr>
        <w:trPr>
          <w:cantSplit/>
          <w:tblHeader/>
        </w:trPr>
        <w:tc>
          <w:tcPr>
            <w:tcW w:type="dxa" w:w="17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Role</w:t>
            </w:r>
          </w:p>
        </w:tc>
        <w:tc>
          <w:tcPr>
            <w:tcW w:type="dxa" w:w="43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Can</w:t>
            </w:r>
          </w:p>
        </w:tc>
        <w:tc>
          <w:tcPr>
            <w:tcW w:type="dxa" w:w="36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Cannot</w:t>
            </w:r>
          </w:p>
        </w:tc>
      </w:tr>
      <w:tr>
        <w:trPr>
          <w:cantSplit/>
          <w:tblHeader w:val="false"/>
        </w:trPr>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analyst</w:t>
            </w:r>
          </w:p>
        </w:tc>
        <w:tc>
          <w:tcPr>
            <w:tcW w:type="dxa" w:w="4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ask questions, browse the graph and reports, search, view the blocklist and own audit entries</w:t>
            </w:r>
          </w:p>
        </w:tc>
        <w:tc>
          <w:tcPr>
            <w:tcW w:type="dxa" w:w="3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publish IOCs, ingest, run admin actions</w:t>
            </w:r>
          </w:p>
        </w:tc>
      </w:tr>
      <w:tr>
        <w:trPr>
          <w:cantSplit/>
          <w:tblHeader w:val="false"/>
        </w:trPr>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lead</w:t>
            </w:r>
          </w:p>
        </w:tc>
        <w:tc>
          <w:tcPr>
            <w:tcW w:type="dxa" w:w="4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everything an analyst can, plus publish and revoke IOCs and ingest reports or STIX bundles</w:t>
            </w:r>
          </w:p>
        </w:tc>
        <w:tc>
          <w:tcPr>
            <w:tcW w:type="dxa" w:w="3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re-seed, reindex, delete reports</w:t>
            </w:r>
          </w:p>
        </w:tc>
      </w:tr>
      <w:tr>
        <w:trPr>
          <w:cantSplit/>
          <w:tblHeader w:val="false"/>
        </w:trPr>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admin</w:t>
            </w:r>
          </w:p>
        </w:tc>
        <w:tc>
          <w:tcPr>
            <w:tcW w:type="dxa" w:w="4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everything, including re-seed, vector reindex, report deletion and all users' audit entries</w:t>
            </w:r>
          </w:p>
        </w:tc>
        <w:tc>
          <w:tcPr>
            <w:tcW w:type="dxa" w:w="3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blHeader/>
        </w:trPr>
        <w:tc>
          <w:tcPr>
            <w:tcW w:type="dxa" w:w="15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TLP</w:t>
            </w:r>
          </w:p>
        </w:tc>
        <w:tc>
          <w:tcPr>
            <w:tcW w:type="dxa" w:w="81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Meaning for this platform (FIRST TLP 2.0)</w:t>
            </w:r>
          </w:p>
        </w:tc>
      </w:tr>
      <w:tr>
        <w:trPr>
          <w:cantSplit/>
          <w:tblHeader w:val="false"/>
        </w:trPr>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WHITE / CLEAR</w:t>
            </w:r>
          </w:p>
        </w:tc>
        <w:tc>
          <w:tcPr>
            <w:tcW w:type="dxa" w:w="81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no restriction</w:t>
            </w:r>
          </w:p>
        </w:tc>
      </w:tr>
      <w:tr>
        <w:trPr>
          <w:cantSplit/>
          <w:tblHeader w:val="false"/>
        </w:trPr>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GREEN</w:t>
            </w:r>
          </w:p>
        </w:tc>
        <w:tc>
          <w:tcPr>
            <w:tcW w:type="dxa" w:w="81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community use; visible to GREEN clearance and above</w:t>
            </w:r>
          </w:p>
        </w:tc>
      </w:tr>
      <w:tr>
        <w:trPr>
          <w:cantSplit/>
          <w:tblHeader w:val="false"/>
        </w:trPr>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AMBER</w:t>
            </w:r>
          </w:p>
        </w:tc>
        <w:tc>
          <w:tcPr>
            <w:tcW w:type="dxa" w:w="81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limited distribution; hidden from GREEN accounts (list, search and GraphRAG), detail page returns 403</w:t>
            </w:r>
          </w:p>
        </w:tc>
      </w:tr>
      <w:tr>
        <w:trPr>
          <w:cantSplit/>
          <w:tblHeader w:val="false"/>
        </w:trPr>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RED</w:t>
            </w:r>
          </w:p>
        </w:tc>
        <w:tc>
          <w:tcPr>
            <w:tcW w:type="dxa" w:w="81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named recipients only; visible to RED clearance</w:t>
            </w:r>
          </w:p>
        </w:tc>
      </w:tr>
    </w:tbl>
    <w:p>
      <w:pPr>
        <w:pStyle w:val="Heading1"/>
        <w:pageBreakBefore/>
        <w:pBdr>
          <w:bottom w:val="single" w:color="0F2A47" w:sz="12" w:space="4"/>
        </w:pBdr>
        <w:spacing w:after="180" w:before="320"/>
      </w:pPr>
      <w:r>
        <w:rPr>
          <w:rFonts w:ascii="Times New Roman" w:cs="Times New Roman" w:eastAsia="Times New Roman" w:hAnsi="Times New Roman"/>
          <w:b/>
          <w:bCs/>
          <w:color w:val="0F2A47"/>
          <w:sz w:val="32"/>
          <w:szCs w:val="32"/>
        </w:rPr>
        <w:t xml:space="preserve">3.  Installation</w:t>
      </w:r>
    </w:p>
    <w:p>
      <w:pPr>
        <w:pStyle w:val="Heading2"/>
        <w:keepNext/>
        <w:spacing w:after="120" w:before="240"/>
      </w:pPr>
      <w:r>
        <w:rPr>
          <w:rFonts w:ascii="Times New Roman" w:cs="Times New Roman" w:eastAsia="Times New Roman" w:hAnsi="Times New Roman"/>
          <w:b/>
          <w:bCs/>
          <w:color w:val="1B4F72"/>
          <w:sz w:val="26"/>
          <w:szCs w:val="26"/>
        </w:rPr>
        <w:t xml:space="preserve">3.1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20"/>
                <w:szCs w:val="20"/>
              </w:rPr>
              <w:t xml:space="preserve">Component</w:t>
            </w:r>
          </w:p>
        </w:tc>
        <w:tc>
          <w:tcPr>
            <w:tcW w:type="dxa" w:w="66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20"/>
                <w:szCs w:val="20"/>
              </w:rPr>
              <w:t xml:space="preserve">Requirement</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Operating system</w:t>
            </w:r>
          </w:p>
        </w:tc>
        <w:tc>
          <w:tcPr>
            <w:tcW w:type="dxa" w:w="6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macOS, Linux, or Windows with WSL 2</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Docker</w:t>
            </w:r>
          </w:p>
        </w:tc>
        <w:tc>
          <w:tcPr>
            <w:tcW w:type="dxa" w:w="6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Docker Desktop or Docker Engine with Compose v2; at least 4 GB of memory for the containers</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Python</w:t>
            </w:r>
          </w:p>
        </w:tc>
        <w:tc>
          <w:tcPr>
            <w:tcW w:type="dxa" w:w="6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3.10 or newer (3.11 tested)</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Node.js</w:t>
            </w:r>
          </w:p>
        </w:tc>
        <w:tc>
          <w:tcPr>
            <w:tcW w:type="dxa" w:w="6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18 or newer, for the console</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Ollama (optional)</w:t>
            </w:r>
          </w:p>
        </w:tc>
        <w:tc>
          <w:tcPr>
            <w:tcW w:type="dxa" w:w="6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for fluent answers; without it the platform answers in retrieve-only mode</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Ports</w:t>
            </w:r>
          </w:p>
        </w:tc>
        <w:tc>
          <w:tcPr>
            <w:tcW w:type="dxa" w:w="6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0"/>
                <w:szCs w:val="20"/>
              </w:rPr>
              <w:t xml:space="preserve">5173 (console), 8000 (API), 7474/7687 (Neo4j), 27017 (MongoDB), 6379 (Redis), 6333 (Qdrant), 11434 (Ollama)</w:t>
            </w:r>
          </w:p>
        </w:tc>
      </w:tr>
    </w:tbl>
    <w:p>
      <w:pPr>
        <w:pStyle w:val="Heading2"/>
        <w:keepNext/>
        <w:spacing w:after="120" w:before="240"/>
      </w:pPr>
      <w:r>
        <w:rPr>
          <w:rFonts w:ascii="Times New Roman" w:cs="Times New Roman" w:eastAsia="Times New Roman" w:hAnsi="Times New Roman"/>
          <w:b/>
          <w:bCs/>
          <w:color w:val="1B4F72"/>
          <w:sz w:val="26"/>
          <w:szCs w:val="26"/>
        </w:rPr>
        <w:t xml:space="preserve">3.2  Option A — run the API and console locally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8CDD3" w:sz="4"/>
              <w:left w:val="single" w:color="C8CDD3" w:sz="4"/>
              <w:bottom w:val="single" w:color="C8CDD3" w:sz="4"/>
              <w:right w:val="single" w:color="C8CDD3" w:sz="4"/>
            </w:tcBorders>
            <w:shd w:fill="F4F5F7" w:val="clear"/>
            <w:tcMar>
              <w:top w:type="dxa" w:w="80"/>
              <w:left w:type="dxa" w:w="140"/>
              <w:bottom w:type="dxa" w:w="80"/>
              <w:right w:type="dxa" w:w="140"/>
            </w:tcMar>
          </w:tcPr>
          <w:p>
            <w:pPr>
              <w:spacing w:after="0" w:line="250"/>
            </w:pPr>
            <w:r>
              <w:rPr>
                <w:rFonts w:ascii="Courier New" w:cs="Courier New" w:eastAsia="Courier New" w:hAnsi="Courier New"/>
                <w:sz w:val="18"/>
                <w:szCs w:val="18"/>
              </w:rPr>
              <w:t xml:space="preserve">cp .env.example .env</w:t>
            </w:r>
          </w:p>
          <w:p>
            <w:pPr>
              <w:spacing w:after="0" w:line="250"/>
            </w:pPr>
            <w:r>
              <w:rPr>
                <w:rFonts w:ascii="Courier New" w:cs="Courier New" w:eastAsia="Courier New" w:hAnsi="Courier New"/>
                <w:sz w:val="18"/>
                <w:szCs w:val="18"/>
              </w:rPr>
              <w:t xml:space="preserve">docker compose up -d            # Neo4j, MongoDB, Redis, Qdrant (wait ~30 s)</w:t>
            </w:r>
          </w:p>
          <w:p>
            <w:pPr>
              <w:spacing w:after="0" w:line="250"/>
            </w:pPr>
            <w:r>
              <w:rPr>
                <w:rFonts w:ascii="Courier New" w:cs="Courier New" w:eastAsia="Courier New" w:hAnsi="Courier New"/>
                <w:sz w:val="18"/>
                <w:szCs w:val="18"/>
              </w:rPr>
              <w:t xml:space="preserve">python3 -m venv .venv &amp;&amp; .venv/bin/pip install -r backend/requirements.txt</w:t>
            </w:r>
          </w:p>
          <w:p>
            <w:pPr>
              <w:spacing w:after="0" w:line="250"/>
            </w:pPr>
            <w:r>
              <w:rPr>
                <w:rFonts w:ascii="Courier New" w:cs="Courier New" w:eastAsia="Courier New" w:hAnsi="Courier New"/>
                <w:sz w:val="18"/>
                <w:szCs w:val="18"/>
              </w:rPr>
              <w:t xml:space="preserve">make api                        # terminal 1: API on http://localhost:8000</w:t>
            </w:r>
          </w:p>
          <w:p>
            <w:pPr>
              <w:spacing w:after="0" w:line="250"/>
            </w:pPr>
            <w:r>
              <w:rPr>
                <w:rFonts w:ascii="Courier New" w:cs="Courier New" w:eastAsia="Courier New" w:hAnsi="Courier New"/>
                <w:sz w:val="18"/>
                <w:szCs w:val="18"/>
              </w:rPr>
              <w:t xml:space="preserve">make web                        # terminal 2: console on http://localhost:5173</w:t>
            </w:r>
          </w:p>
        </w:tc>
      </w:tr>
    </w:tbl>
    <w:p>
      <w:pPr>
        <w:spacing w:after="160" w:line="340"/>
        <w:jc w:val="both"/>
      </w:pPr>
      <w:r>
        <w:rPr>
          <w:rFonts w:ascii="Times New Roman" w:cs="Times New Roman" w:eastAsia="Times New Roman" w:hAnsi="Times New Roman"/>
          <w:sz w:val="24"/>
          <w:szCs w:val="24"/>
        </w:rPr>
        <w:t xml:space="preserve">On its first start the API creates the database schema and loads the seed corpus into all four stores; this takes a few seconds. API documentation is served at </w:t>
      </w:r>
      <w:r>
        <w:rPr>
          <w:rFonts w:ascii="Courier New" w:cs="Courier New" w:eastAsia="Courier New" w:hAnsi="Courier New"/>
          <w:sz w:val="20"/>
          <w:szCs w:val="20"/>
        </w:rPr>
        <w:t xml:space="preserve">http://localhost:8000/docs</w:t>
      </w:r>
      <w:r>
        <w:rPr>
          <w:rFonts w:ascii="Times New Roman" w:cs="Times New Roman" w:eastAsia="Times New Roman" w:hAnsi="Times New Roman"/>
          <w:sz w:val="24"/>
          <w:szCs w:val="24"/>
        </w:rPr>
        <w:t xml:space="preserve">.</w:t>
      </w:r>
    </w:p>
    <w:p>
      <w:pPr>
        <w:pStyle w:val="Heading2"/>
        <w:keepNext/>
        <w:spacing w:after="120" w:before="240"/>
      </w:pPr>
      <w:r>
        <w:rPr>
          <w:rFonts w:ascii="Times New Roman" w:cs="Times New Roman" w:eastAsia="Times New Roman" w:hAnsi="Times New Roman"/>
          <w:b/>
          <w:bCs/>
          <w:color w:val="1B4F72"/>
          <w:sz w:val="26"/>
          <w:szCs w:val="26"/>
        </w:rPr>
        <w:t xml:space="preserve">3.3  Option B — everything in containers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8CDD3" w:sz="4"/>
              <w:left w:val="single" w:color="C8CDD3" w:sz="4"/>
              <w:bottom w:val="single" w:color="C8CDD3" w:sz="4"/>
              <w:right w:val="single" w:color="C8CDD3" w:sz="4"/>
            </w:tcBorders>
            <w:shd w:fill="F4F5F7" w:val="clear"/>
            <w:tcMar>
              <w:top w:type="dxa" w:w="80"/>
              <w:left w:type="dxa" w:w="140"/>
              <w:bottom w:type="dxa" w:w="80"/>
              <w:right w:type="dxa" w:w="140"/>
            </w:tcMar>
          </w:tcPr>
          <w:p>
            <w:pPr>
              <w:spacing w:after="0" w:line="250"/>
            </w:pPr>
            <w:r>
              <w:rPr>
                <w:rFonts w:ascii="Courier New" w:cs="Courier New" w:eastAsia="Courier New" w:hAnsi="Courier New"/>
                <w:sz w:val="18"/>
                <w:szCs w:val="18"/>
              </w:rPr>
              <w:t xml:space="preserve">cp .env.example .env</w:t>
            </w:r>
          </w:p>
          <w:p>
            <w:pPr>
              <w:spacing w:after="0" w:line="250"/>
            </w:pPr>
            <w:r>
              <w:rPr>
                <w:rFonts w:ascii="Courier New" w:cs="Courier New" w:eastAsia="Courier New" w:hAnsi="Courier New"/>
                <w:sz w:val="18"/>
                <w:szCs w:val="18"/>
              </w:rPr>
              <w:t xml:space="preserve">docker compose --profile app up -d --build      # stores + API + console on :5173</w:t>
            </w:r>
          </w:p>
        </w:tc>
      </w:tr>
    </w:tbl>
    <w:p>
      <w:pPr>
        <w:spacing w:after="160" w:line="340"/>
        <w:jc w:val="both"/>
      </w:pPr>
      <w:r>
        <w:rPr>
          <w:rFonts w:ascii="Times New Roman" w:cs="Times New Roman" w:eastAsia="Times New Roman" w:hAnsi="Times New Roman"/>
          <w:sz w:val="24"/>
          <w:szCs w:val="24"/>
        </w:rPr>
        <w:t xml:space="preserve">To stop: </w:t>
      </w:r>
      <w:r>
        <w:rPr>
          <w:rFonts w:ascii="Courier New" w:cs="Courier New" w:eastAsia="Courier New" w:hAnsi="Courier New"/>
          <w:sz w:val="20"/>
          <w:szCs w:val="20"/>
        </w:rPr>
        <w:t xml:space="preserve">docker compose --profile app stop</w:t>
      </w:r>
      <w:r>
        <w:rPr>
          <w:rFonts w:ascii="Times New Roman" w:cs="Times New Roman" w:eastAsia="Times New Roman" w:hAnsi="Times New Roman"/>
          <w:sz w:val="24"/>
          <w:szCs w:val="24"/>
        </w:rPr>
        <w:t xml:space="preserve">. Stop the containerised API and console before using Option A, because both use ports 8000 and 5173.</w:t>
      </w:r>
    </w:p>
    <w:p>
      <w:pPr>
        <w:pStyle w:val="Heading2"/>
        <w:keepNext/>
        <w:spacing w:after="120" w:before="240"/>
      </w:pPr>
      <w:r>
        <w:rPr>
          <w:rFonts w:ascii="Times New Roman" w:cs="Times New Roman" w:eastAsia="Times New Roman" w:hAnsi="Times New Roman"/>
          <w:b/>
          <w:bCs/>
          <w:color w:val="1B4F72"/>
          <w:sz w:val="26"/>
          <w:szCs w:val="26"/>
        </w:rPr>
        <w:t xml:space="preserve">3.4  Local language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8CDD3" w:sz="4"/>
              <w:left w:val="single" w:color="C8CDD3" w:sz="4"/>
              <w:bottom w:val="single" w:color="C8CDD3" w:sz="4"/>
              <w:right w:val="single" w:color="C8CDD3" w:sz="4"/>
            </w:tcBorders>
            <w:shd w:fill="F4F5F7" w:val="clear"/>
            <w:tcMar>
              <w:top w:type="dxa" w:w="80"/>
              <w:left w:type="dxa" w:w="140"/>
              <w:bottom w:type="dxa" w:w="80"/>
              <w:right w:type="dxa" w:w="140"/>
            </w:tcMar>
          </w:tcPr>
          <w:p>
            <w:pPr>
              <w:spacing w:after="0" w:line="250"/>
            </w:pPr>
            <w:r>
              <w:rPr>
                <w:rFonts w:ascii="Courier New" w:cs="Courier New" w:eastAsia="Courier New" w:hAnsi="Courier New"/>
                <w:sz w:val="18"/>
                <w:szCs w:val="18"/>
              </w:rPr>
              <w:t xml:space="preserve">ollama pull llama3.2:3b         # default model, meets the 15 s answer target</w:t>
            </w:r>
          </w:p>
          <w:p>
            <w:pPr>
              <w:spacing w:after="0" w:line="250"/>
            </w:pPr>
            <w:r>
              <w:rPr>
                <w:rFonts w:ascii="Courier New" w:cs="Courier New" w:eastAsia="Courier New" w:hAnsi="Courier New"/>
                <w:sz w:val="18"/>
                <w:szCs w:val="18"/>
              </w:rPr>
              <w:t xml:space="preserve">ollama pull llama3.1             # optional: fuller answers, slower (set OLLAMA_MODEL=llama3.1)</w:t>
            </w:r>
          </w:p>
        </w:tc>
      </w:tr>
    </w:tbl>
    <w:p>
      <w:pPr>
        <w:spacing w:after="160" w:line="340"/>
        <w:jc w:val="both"/>
      </w:pPr>
      <w:r>
        <w:rPr>
          <w:rFonts w:ascii="Times New Roman" w:cs="Times New Roman" w:eastAsia="Times New Roman" w:hAnsi="Times New Roman"/>
          <w:sz w:val="24"/>
          <w:szCs w:val="24"/>
        </w:rPr>
        <w:t xml:space="preserve">The </w:t>
      </w:r>
      <w:r>
        <w:rPr>
          <w:rFonts w:ascii="Courier New" w:cs="Courier New" w:eastAsia="Courier New" w:hAnsi="Courier New"/>
          <w:sz w:val="20"/>
          <w:szCs w:val="20"/>
        </w:rPr>
        <w:t xml:space="preserve">llm</w:t>
      </w:r>
      <w:r>
        <w:rPr>
          <w:rFonts w:ascii="Times New Roman" w:cs="Times New Roman" w:eastAsia="Times New Roman" w:hAnsi="Times New Roman"/>
          <w:sz w:val="24"/>
          <w:szCs w:val="24"/>
        </w:rPr>
        <w:t xml:space="preserve"> dot in the console sidebar turns green when Ollama is reachable and the configured model is pulled. In containers, the API reaches Ollama on the host through </w:t>
      </w:r>
      <w:r>
        <w:rPr>
          <w:rFonts w:ascii="Courier New" w:cs="Courier New" w:eastAsia="Courier New" w:hAnsi="Courier New"/>
          <w:sz w:val="20"/>
          <w:szCs w:val="20"/>
        </w:rPr>
        <w:t xml:space="preserve">host.docker.internal</w:t>
      </w:r>
      <w:r>
        <w:rPr>
          <w:rFonts w:ascii="Times New Roman" w:cs="Times New Roman" w:eastAsia="Times New Roman" w:hAnsi="Times New Roman"/>
          <w:sz w:val="24"/>
          <w:szCs w:val="24"/>
        </w:rPr>
        <w:t xml:space="preserve">; to run Ollama in a container instead, add </w:t>
      </w:r>
      <w:r>
        <w:rPr>
          <w:rFonts w:ascii="Courier New" w:cs="Courier New" w:eastAsia="Courier New" w:hAnsi="Courier New"/>
          <w:sz w:val="20"/>
          <w:szCs w:val="20"/>
        </w:rPr>
        <w:t xml:space="preserve">--profile llm</w:t>
      </w:r>
      <w:r>
        <w:rPr>
          <w:rFonts w:ascii="Times New Roman" w:cs="Times New Roman" w:eastAsia="Times New Roman" w:hAnsi="Times New Roman"/>
          <w:sz w:val="24"/>
          <w:szCs w:val="24"/>
        </w:rPr>
        <w:t xml:space="preserve"> and set </w:t>
      </w:r>
      <w:r>
        <w:rPr>
          <w:rFonts w:ascii="Courier New" w:cs="Courier New" w:eastAsia="Courier New" w:hAnsi="Courier New"/>
          <w:sz w:val="20"/>
          <w:szCs w:val="20"/>
        </w:rPr>
        <w:t xml:space="preserve">OLLAMA_URL_DOCKER=http://ollama:11434</w:t>
      </w:r>
      <w:r>
        <w:rPr>
          <w:rFonts w:ascii="Times New Roman" w:cs="Times New Roman" w:eastAsia="Times New Roman" w:hAnsi="Times New Roman"/>
          <w:sz w:val="24"/>
          <w:szCs w:val="24"/>
        </w:rPr>
        <w:t xml:space="preserve"> in </w:t>
      </w:r>
      <w:r>
        <w:rPr>
          <w:rFonts w:ascii="Courier New" w:cs="Courier New" w:eastAsia="Courier New" w:hAnsi="Courier New"/>
          <w:sz w:val="20"/>
          <w:szCs w:val="20"/>
        </w:rPr>
        <w:t xml:space="preserve">.env</w:t>
      </w:r>
      <w:r>
        <w:rPr>
          <w:rFonts w:ascii="Times New Roman" w:cs="Times New Roman" w:eastAsia="Times New Roman" w:hAnsi="Times New Roman"/>
          <w:sz w:val="24"/>
          <w:szCs w:val="24"/>
        </w:rPr>
        <w:t xml:space="preserve">.</w:t>
      </w:r>
    </w:p>
    <w:p>
      <w:pPr>
        <w:pStyle w:val="Heading2"/>
        <w:keepNext/>
        <w:spacing w:after="120" w:before="240"/>
      </w:pPr>
      <w:r>
        <w:rPr>
          <w:rFonts w:ascii="Times New Roman" w:cs="Times New Roman" w:eastAsia="Times New Roman" w:hAnsi="Times New Roman"/>
          <w:b/>
          <w:bCs/>
          <w:color w:val="1B4F72"/>
          <w:sz w:val="26"/>
          <w:szCs w:val="26"/>
        </w:rPr>
        <w:t xml:space="preserve">3.5  Check the installation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8CDD3" w:sz="4"/>
              <w:left w:val="single" w:color="C8CDD3" w:sz="4"/>
              <w:bottom w:val="single" w:color="C8CDD3" w:sz="4"/>
              <w:right w:val="single" w:color="C8CDD3" w:sz="4"/>
            </w:tcBorders>
            <w:shd w:fill="F4F5F7" w:val="clear"/>
            <w:tcMar>
              <w:top w:type="dxa" w:w="80"/>
              <w:left w:type="dxa" w:w="140"/>
              <w:bottom w:type="dxa" w:w="80"/>
              <w:right w:type="dxa" w:w="140"/>
            </w:tcMar>
          </w:tcPr>
          <w:p>
            <w:pPr>
              <w:spacing w:after="0" w:line="250"/>
            </w:pPr>
            <w:r>
              <w:rPr>
                <w:rFonts w:ascii="Courier New" w:cs="Courier New" w:eastAsia="Courier New" w:hAnsi="Courier New"/>
                <w:sz w:val="18"/>
                <w:szCs w:val="18"/>
              </w:rPr>
              <w:t xml:space="preserve">curl -s http://localhost:8000/api/health     # "startup": {"ok": true, "detail": "ready"}</w:t>
            </w:r>
          </w:p>
          <w:p>
            <w:pPr>
              <w:spacing w:after="0" w:line="250"/>
            </w:pPr>
            <w:r>
              <w:rPr>
                <w:rFonts w:ascii="Courier New" w:cs="Courier New" w:eastAsia="Courier New" w:hAnsi="Courier New"/>
                <w:sz w:val="18"/>
                <w:szCs w:val="18"/>
              </w:rPr>
              <w:t xml:space="preserve">make test                                    # 16 unit tests, no databases needed</w:t>
            </w:r>
          </w:p>
          <w:p>
            <w:pPr>
              <w:spacing w:after="0" w:line="250"/>
            </w:pPr>
            <w:r>
              <w:rPr>
                <w:rFonts w:ascii="Courier New" w:cs="Courier New" w:eastAsia="Courier New" w:hAnsi="Courier New"/>
                <w:sz w:val="18"/>
                <w:szCs w:val="18"/>
              </w:rPr>
              <w:t xml:space="preserve">make test-integration                        # 15 API tests against the running stores</w:t>
            </w:r>
          </w:p>
        </w:tc>
      </w:tr>
    </w:tbl>
    <w:p>
      <w:pPr>
        <w:pStyle w:val="Heading1"/>
        <w:pBdr>
          <w:bottom w:val="single" w:color="0F2A47" w:sz="12" w:space="4"/>
        </w:pBdr>
        <w:spacing w:after="180" w:before="320"/>
      </w:pPr>
      <w:r>
        <w:rPr>
          <w:rFonts w:ascii="Times New Roman" w:cs="Times New Roman" w:eastAsia="Times New Roman" w:hAnsi="Times New Roman"/>
          <w:b/>
          <w:bCs/>
          <w:color w:val="0F2A47"/>
          <w:sz w:val="32"/>
          <w:szCs w:val="32"/>
        </w:rPr>
        <w:t xml:space="preserve">4.  Signing In</w:t>
      </w:r>
    </w:p>
    <w:p>
      <w:pPr>
        <w:keepNext/>
        <w:spacing w:after="40" w:before="120"/>
        <w:jc w:val="center"/>
      </w:pPr>
      <w:r>
        <w:drawing>
          <wp:inline distT="0" distB="0" distL="0" distR="0">
            <wp:extent cx="4381500" cy="2743200"/>
            <wp:effectExtent t="0" r="0" b="0" l="0"/>
            <wp:docPr id="1" name="Sign-in page with the demo accounts." descr="Sign-in page with the demo accounts." title="Sign-in page with the demo 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274320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1.  Sign-in page with the demo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500"/>
        <w:gridCol w:w="4338"/>
      </w:tblGrid>
      <w:tr>
        <w:trPr>
          <w:cantSplit/>
          <w:tblHeader/>
        </w:trPr>
        <w:tc>
          <w:tcPr>
            <w:tcW w:type="dxa" w:w="23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Account / password</w:t>
            </w:r>
          </w:p>
        </w:tc>
        <w:tc>
          <w:tcPr>
            <w:tcW w:type="dxa" w:w="15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Role</w:t>
            </w:r>
          </w:p>
        </w:tc>
        <w:tc>
          <w:tcPr>
            <w:tcW w:type="dxa" w:w="15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Clearance</w:t>
            </w:r>
          </w:p>
        </w:tc>
        <w:tc>
          <w:tcPr>
            <w:tcW w:type="dxa" w:w="43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Use it to</w:t>
            </w:r>
          </w:p>
        </w:tc>
      </w:tr>
      <w:tr>
        <w:trPr>
          <w:cantSplit/>
          <w:tblHeader w:val="false"/>
        </w:trPr>
        <w:tc>
          <w:tcPr>
            <w:tcW w:type="dxa" w:w="2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analyst / analyst123</w:t>
            </w:r>
          </w:p>
        </w:tc>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analyst</w:t>
            </w:r>
          </w:p>
        </w:tc>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AMBER</w:t>
            </w:r>
          </w:p>
        </w:tc>
        <w:tc>
          <w:tcPr>
            <w:tcW w:type="dxa" w:w="43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explore and ask questions</w:t>
            </w:r>
          </w:p>
        </w:tc>
      </w:tr>
      <w:tr>
        <w:trPr>
          <w:cantSplit/>
          <w:tblHeader w:val="false"/>
        </w:trPr>
        <w:tc>
          <w:tcPr>
            <w:tcW w:type="dxa" w:w="2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junior / junior123</w:t>
            </w:r>
          </w:p>
        </w:tc>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analyst</w:t>
            </w:r>
          </w:p>
        </w:tc>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GREEN</w:t>
            </w:r>
          </w:p>
        </w:tc>
        <w:tc>
          <w:tcPr>
            <w:tcW w:type="dxa" w:w="43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see TLP filtering (AMBER hidden)</w:t>
            </w:r>
          </w:p>
        </w:tc>
      </w:tr>
      <w:tr>
        <w:trPr>
          <w:cantSplit/>
          <w:tblHeader w:val="false"/>
        </w:trPr>
        <w:tc>
          <w:tcPr>
            <w:tcW w:type="dxa" w:w="2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lead / lead123</w:t>
            </w:r>
          </w:p>
        </w:tc>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lead</w:t>
            </w:r>
          </w:p>
        </w:tc>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RED</w:t>
            </w:r>
          </w:p>
        </w:tc>
        <w:tc>
          <w:tcPr>
            <w:tcW w:type="dxa" w:w="43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publish IOCs and ingest</w:t>
            </w:r>
          </w:p>
        </w:tc>
      </w:tr>
      <w:tr>
        <w:trPr>
          <w:cantSplit/>
          <w:tblHeader w:val="false"/>
        </w:trPr>
        <w:tc>
          <w:tcPr>
            <w:tcW w:type="dxa" w:w="2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admin / admin123</w:t>
            </w:r>
          </w:p>
        </w:tc>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admin</w:t>
            </w:r>
          </w:p>
        </w:tc>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RED</w:t>
            </w:r>
          </w:p>
        </w:tc>
        <w:tc>
          <w:tcPr>
            <w:tcW w:type="dxa" w:w="43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re-seed, reindex, delete reports</w:t>
            </w:r>
          </w:p>
        </w:tc>
      </w:tr>
    </w:tbl>
    <w:p>
      <w:pPr>
        <w:spacing w:after="80"/>
      </w:pPr>
    </w:p>
    <w:p>
      <w:pPr>
        <w:spacing w:after="160" w:line="340"/>
        <w:jc w:val="both"/>
      </w:pPr>
      <w:r>
        <w:rPr>
          <w:rFonts w:ascii="Times New Roman" w:cs="Times New Roman" w:eastAsia="Times New Roman" w:hAnsi="Times New Roman"/>
          <w:sz w:val="24"/>
          <w:szCs w:val="24"/>
        </w:rPr>
        <w:t xml:space="preserve">Click an account name to fill the form, or type the credentials and press </w:t>
      </w:r>
      <w:r>
        <w:rPr>
          <w:rFonts w:ascii="Times New Roman" w:cs="Times New Roman" w:eastAsia="Times New Roman" w:hAnsi="Times New Roman"/>
          <w:b/>
          <w:bCs/>
          <w:sz w:val="24"/>
          <w:szCs w:val="24"/>
        </w:rPr>
        <w:t xml:space="preserve">Sign in</w:t>
      </w:r>
      <w:r>
        <w:rPr>
          <w:rFonts w:ascii="Times New Roman" w:cs="Times New Roman" w:eastAsia="Times New Roman" w:hAnsi="Times New Roman"/>
          <w:sz w:val="24"/>
          <w:szCs w:val="24"/>
        </w:rPr>
        <w:t xml:space="preserve">. A session lasts eight hours; when it expires you are returned to this page. The sidebar shows your name, role and clearance, the health of each store, and </w:t>
      </w:r>
      <w:r>
        <w:rPr>
          <w:rFonts w:ascii="Times New Roman" w:cs="Times New Roman" w:eastAsia="Times New Roman" w:hAnsi="Times New Roman"/>
          <w:b/>
          <w:bCs/>
          <w:sz w:val="24"/>
          <w:szCs w:val="24"/>
        </w:rPr>
        <w:t xml:space="preserve">Sign out</w:t>
      </w:r>
      <w:r>
        <w:rPr>
          <w:rFonts w:ascii="Times New Roman" w:cs="Times New Roman" w:eastAsia="Times New Roman" w:hAnsi="Times New Roman"/>
          <w:sz w:val="24"/>
          <w:szCs w:val="24"/>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B4F72" w:sz="6"/>
              <w:left w:val="single" w:color="1B4F72" w:sz="24"/>
              <w:bottom w:val="single" w:color="1B4F72" w:sz="6"/>
              <w:right w:val="single" w:color="1B4F72" w:sz="6"/>
            </w:tcBorders>
            <w:shd w:fill="EEF3F8" w:val="clear"/>
            <w:tcMar>
              <w:top w:type="dxa" w:w="100"/>
              <w:left w:type="dxa" w:w="160"/>
              <w:bottom w:type="dxa" w:w="100"/>
              <w:right w:type="dxa" w:w="160"/>
            </w:tcMar>
          </w:tcPr>
          <w:p>
            <w:pPr>
              <w:spacing w:after="60" w:line="300"/>
            </w:pPr>
            <w:r>
              <w:rPr>
                <w:rFonts w:ascii="Times New Roman" w:cs="Times New Roman" w:eastAsia="Times New Roman" w:hAnsi="Times New Roman"/>
                <w:b/>
                <w:bCs/>
                <w:sz w:val="22"/>
                <w:szCs w:val="22"/>
              </w:rPr>
              <w:t xml:space="preserve">Change these passwords and the session secret before using the platform outside a lab</w:t>
            </w:r>
            <w:r>
              <w:rPr>
                <w:rFonts w:ascii="Times New Roman" w:cs="Times New Roman" w:eastAsia="Times New Roman" w:hAnsi="Times New Roman"/>
                <w:sz w:val="22"/>
                <w:szCs w:val="22"/>
              </w:rPr>
              <w:t xml:space="preserve"> (</w:t>
            </w:r>
            <w:r>
              <w:rPr>
                <w:rFonts w:ascii="Courier New" w:cs="Courier New" w:eastAsia="Courier New" w:hAnsi="Courier New"/>
                <w:sz w:val="20"/>
                <w:szCs w:val="20"/>
              </w:rPr>
              <w:t xml:space="preserve">JWT_SECRET</w:t>
            </w:r>
            <w:r>
              <w:rPr>
                <w:rFonts w:ascii="Times New Roman" w:cs="Times New Roman" w:eastAsia="Times New Roman" w:hAnsi="Times New Roman"/>
                <w:sz w:val="22"/>
                <w:szCs w:val="22"/>
              </w:rPr>
              <w:t xml:space="preserve"> in </w:t>
            </w:r>
            <w:r>
              <w:rPr>
                <w:rFonts w:ascii="Courier New" w:cs="Courier New" w:eastAsia="Courier New" w:hAnsi="Courier New"/>
                <w:sz w:val="20"/>
                <w:szCs w:val="20"/>
              </w:rPr>
              <w:t xml:space="preserve">.env</w:t>
            </w:r>
            <w:r>
              <w:rPr>
                <w:rFonts w:ascii="Times New Roman" w:cs="Times New Roman" w:eastAsia="Times New Roman" w:hAnsi="Times New Roman"/>
                <w:sz w:val="22"/>
                <w:szCs w:val="22"/>
              </w:rPr>
              <w:t xml:space="preserve">). The demo accounts are created automatically when the user collection is empty.</w:t>
            </w:r>
          </w:p>
        </w:tc>
      </w:tr>
    </w:tbl>
    <w:p>
      <w:pPr>
        <w:pStyle w:val="Heading1"/>
        <w:pageBreakBefore/>
        <w:pBdr>
          <w:bottom w:val="single" w:color="0F2A47" w:sz="12" w:space="4"/>
        </w:pBdr>
        <w:spacing w:after="180" w:before="320"/>
      </w:pPr>
      <w:r>
        <w:rPr>
          <w:rFonts w:ascii="Times New Roman" w:cs="Times New Roman" w:eastAsia="Times New Roman" w:hAnsi="Times New Roman"/>
          <w:b/>
          <w:bCs/>
          <w:color w:val="0F2A47"/>
          <w:sz w:val="32"/>
          <w:szCs w:val="32"/>
        </w:rPr>
        <w:t xml:space="preserve">5.  Using the Console</w:t>
      </w:r>
    </w:p>
    <w:p>
      <w:pPr>
        <w:pStyle w:val="Heading2"/>
        <w:keepNext/>
        <w:spacing w:after="120" w:before="240"/>
      </w:pPr>
      <w:r>
        <w:rPr>
          <w:rFonts w:ascii="Times New Roman" w:cs="Times New Roman" w:eastAsia="Times New Roman" w:hAnsi="Times New Roman"/>
          <w:b/>
          <w:bCs/>
          <w:color w:val="1B4F72"/>
          <w:sz w:val="26"/>
          <w:szCs w:val="26"/>
        </w:rPr>
        <w:t xml:space="preserve">5.1  GraphRAG console</w:t>
      </w:r>
    </w:p>
    <w:p>
      <w:pPr>
        <w:spacing w:after="160" w:line="340"/>
        <w:jc w:val="both"/>
      </w:pPr>
      <w:r>
        <w:rPr>
          <w:rFonts w:ascii="Times New Roman" w:cs="Times New Roman" w:eastAsia="Times New Roman" w:hAnsi="Times New Roman"/>
          <w:sz w:val="24"/>
          <w:szCs w:val="24"/>
        </w:rPr>
        <w:t xml:space="preserve">Type a question, or click one of the six example questions, and press </w:t>
      </w:r>
      <w:r>
        <w:rPr>
          <w:rFonts w:ascii="Times New Roman" w:cs="Times New Roman" w:eastAsia="Times New Roman" w:hAnsi="Times New Roman"/>
          <w:b/>
          <w:bCs/>
          <w:sz w:val="24"/>
          <w:szCs w:val="24"/>
        </w:rPr>
        <w:t xml:space="preserve">Ask</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hops</w:t>
      </w:r>
      <w:r>
        <w:rPr>
          <w:rFonts w:ascii="Times New Roman" w:cs="Times New Roman" w:eastAsia="Times New Roman" w:hAnsi="Times New Roman"/>
          <w:sz w:val="24"/>
          <w:szCs w:val="24"/>
        </w:rPr>
        <w:t xml:space="preserve"> (1–3) sets how far the graph is expanded from the entities named in the question, </w:t>
      </w:r>
      <w:r>
        <w:rPr>
          <w:rFonts w:ascii="Times New Roman" w:cs="Times New Roman" w:eastAsia="Times New Roman" w:hAnsi="Times New Roman"/>
          <w:b/>
          <w:bCs/>
          <w:sz w:val="24"/>
          <w:szCs w:val="24"/>
        </w:rPr>
        <w:t xml:space="preserve">top-k chunks</w:t>
      </w:r>
      <w:r>
        <w:rPr>
          <w:rFonts w:ascii="Times New Roman" w:cs="Times New Roman" w:eastAsia="Times New Roman" w:hAnsi="Times New Roman"/>
          <w:sz w:val="24"/>
          <w:szCs w:val="24"/>
        </w:rPr>
        <w:t xml:space="preserve"> how many passages are retrieved, and </w:t>
      </w:r>
      <w:r>
        <w:rPr>
          <w:rFonts w:ascii="Times New Roman" w:cs="Times New Roman" w:eastAsia="Times New Roman" w:hAnsi="Times New Roman"/>
          <w:b/>
          <w:bCs/>
          <w:sz w:val="24"/>
          <w:szCs w:val="24"/>
        </w:rPr>
        <w:t xml:space="preserve">use local LLM</w:t>
      </w:r>
      <w:r>
        <w:rPr>
          <w:rFonts w:ascii="Times New Roman" w:cs="Times New Roman" w:eastAsia="Times New Roman" w:hAnsi="Times New Roman"/>
          <w:sz w:val="24"/>
          <w:szCs w:val="24"/>
        </w:rPr>
        <w:t xml:space="preserve"> switches between a written answer and an evidence-only (retrieve-only) answer.</w:t>
      </w:r>
    </w:p>
    <w:p>
      <w:pPr>
        <w:keepNext/>
        <w:spacing w:after="40" w:before="120"/>
        <w:jc w:val="center"/>
      </w:pPr>
      <w:r>
        <w:drawing>
          <wp:inline distT="0" distB="0" distL="0" distR="0">
            <wp:extent cx="5715000" cy="3571875"/>
            <wp:effectExtent t="0" r="0" b="0" l="0"/>
            <wp:docPr id="1" name="A cited answer with a commodity-tool caution and the evidence panel." descr="A cited answer with a commodity-tool caution and the evidence panel." title="A cited answer with a commodity-tool caution and the evidence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2.  A cited answer with a commodity-tool caution and the evidence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Element</w:t>
            </w:r>
          </w:p>
        </w:tc>
        <w:tc>
          <w:tcPr>
            <w:tcW w:type="dxa" w:w="71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Meaning</w:t>
            </w:r>
          </w:p>
        </w:tc>
      </w:tr>
      <w:tr>
        <w:trPr>
          <w:cantSplit/>
          <w:tblHeader w:val="false"/>
        </w:trPr>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mode badge</w:t>
            </w:r>
          </w:p>
        </w:tc>
        <w:tc>
          <w:tcPr>
            <w:tcW w:type="dxa" w:w="71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llm (written by the model) or retrieve-only (evidence sentences; used when the LLM is off, down, or its answer failed the citation check)</w:t>
            </w:r>
          </w:p>
        </w:tc>
      </w:tr>
      <w:tr>
        <w:trPr>
          <w:cantSplit/>
          <w:tblHeader w:val="false"/>
        </w:trPr>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TLP badge</w:t>
            </w:r>
          </w:p>
        </w:tc>
        <w:tc>
          <w:tcPr>
            <w:tcW w:type="dxa" w:w="71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the highest TLP among the reports the answer cites</w:t>
            </w:r>
          </w:p>
        </w:tc>
      </w:tr>
      <w:tr>
        <w:trPr>
          <w:cantSplit/>
          <w:tblHeader w:val="false"/>
        </w:trPr>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citation coverage</w:t>
            </w:r>
          </w:p>
        </w:tc>
        <w:tc>
          <w:tcPr>
            <w:tcW w:type="dxa" w:w="71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share of the model's sentences that carried a valid citation; below 50% the answer is refused</w:t>
            </w:r>
          </w:p>
        </w:tc>
      </w:tr>
      <w:tr>
        <w:trPr>
          <w:cantSplit/>
          <w:tblHeader w:val="false"/>
        </w:trPr>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citation chips</w:t>
            </w:r>
          </w:p>
        </w:tc>
        <w:tc>
          <w:tcPr>
            <w:tcW w:type="dxa" w:w="71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G = graph edge, C = passage, R = report, I = IOC state; click one to highlight it in the evidence panel</w:t>
            </w:r>
          </w:p>
        </w:tc>
      </w:tr>
      <w:tr>
        <w:trPr>
          <w:cantSplit/>
          <w:tblHeader w:val="false"/>
        </w:trPr>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 caution</w:t>
            </w:r>
          </w:p>
        </w:tc>
        <w:tc>
          <w:tcPr>
            <w:tcW w:type="dxa" w:w="71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shown when a tool used by many actors (for example Mimikatz) appears: it is weak evidence of attribution</w:t>
            </w:r>
          </w:p>
        </w:tc>
      </w:tr>
      <w:tr>
        <w:trPr>
          <w:cantSplit/>
          <w:tblHeader w:val="false"/>
        </w:trPr>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removed sentences</w:t>
            </w:r>
          </w:p>
        </w:tc>
        <w:tc>
          <w:tcPr>
            <w:tcW w:type="dxa" w:w="71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expand to see sentences the groundedness gate dropped</w:t>
            </w:r>
          </w:p>
        </w:tc>
      </w:tr>
      <w:tr>
        <w:trPr>
          <w:cantSplit/>
          <w:tblHeader w:val="false"/>
        </w:trPr>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audit link</w:t>
            </w:r>
          </w:p>
        </w:tc>
        <w:tc>
          <w:tcPr>
            <w:tcW w:type="dxa" w:w="71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opens the stored record of this answer for replay</w:t>
            </w:r>
          </w:p>
        </w:tc>
      </w:tr>
    </w:tbl>
    <w:p>
      <w:pPr>
        <w:spacing w:after="80"/>
      </w:pPr>
    </w:p>
    <w:p>
      <w:pPr>
        <w:spacing w:after="160" w:line="340"/>
        <w:jc w:val="both"/>
      </w:pPr>
      <w:r>
        <w:rPr>
          <w:rFonts w:ascii="Times New Roman" w:cs="Times New Roman" w:eastAsia="Times New Roman" w:hAnsi="Times New Roman"/>
          <w:sz w:val="24"/>
          <w:szCs w:val="24"/>
        </w:rPr>
        <w:t xml:space="preserve">The evidence panel has five tabs: </w:t>
      </w:r>
      <w:r>
        <w:rPr>
          <w:rFonts w:ascii="Times New Roman" w:cs="Times New Roman" w:eastAsia="Times New Roman" w:hAnsi="Times New Roman"/>
          <w:b/>
          <w:bCs/>
          <w:sz w:val="24"/>
          <w:szCs w:val="24"/>
        </w:rPr>
        <w:t xml:space="preserve">Graph hops</w:t>
      </w:r>
      <w:r>
        <w:rPr>
          <w:rFonts w:ascii="Times New Roman" w:cs="Times New Roman" w:eastAsia="Times New Roman" w:hAnsi="Times New Roman"/>
          <w:sz w:val="24"/>
          <w:szCs w:val="24"/>
        </w:rPr>
        <w:t xml:space="preserve"> (an animated graph and the numbered facts), </w:t>
      </w:r>
      <w:r>
        <w:rPr>
          <w:rFonts w:ascii="Times New Roman" w:cs="Times New Roman" w:eastAsia="Times New Roman" w:hAnsi="Times New Roman"/>
          <w:b/>
          <w:bCs/>
          <w:sz w:val="24"/>
          <w:szCs w:val="24"/>
        </w:rPr>
        <w:t xml:space="preserve">Chunks</w:t>
      </w:r>
      <w:r>
        <w:rPr>
          <w:rFonts w:ascii="Times New Roman" w:cs="Times New Roman" w:eastAsia="Times New Roman" w:hAnsi="Times New Roman"/>
          <w:sz w:val="24"/>
          <w:szCs w:val="24"/>
        </w:rPr>
        <w:t xml:space="preserve"> (passages with similarity scores and a 2-D similarity map), </w:t>
      </w:r>
      <w:r>
        <w:rPr>
          <w:rFonts w:ascii="Times New Roman" w:cs="Times New Roman" w:eastAsia="Times New Roman" w:hAnsi="Times New Roman"/>
          <w:b/>
          <w:bCs/>
          <w:sz w:val="24"/>
          <w:szCs w:val="24"/>
        </w:rPr>
        <w:t xml:space="preserve">Documents</w:t>
      </w:r>
      <w:r>
        <w:rPr>
          <w:rFonts w:ascii="Times New Roman" w:cs="Times New Roman" w:eastAsia="Times New Roman" w:hAnsi="Times New Roman"/>
          <w:sz w:val="24"/>
          <w:szCs w:val="24"/>
        </w:rPr>
        <w:t xml:space="preserve"> (reports used, with their report-specific fields), </w:t>
      </w:r>
      <w:r>
        <w:rPr>
          <w:rFonts w:ascii="Times New Roman" w:cs="Times New Roman" w:eastAsia="Times New Roman" w:hAnsi="Times New Roman"/>
          <w:b/>
          <w:bCs/>
          <w:sz w:val="24"/>
          <w:szCs w:val="24"/>
        </w:rPr>
        <w:t xml:space="preserve">IOC state</w:t>
      </w:r>
      <w:r>
        <w:rPr>
          <w:rFonts w:ascii="Times New Roman" w:cs="Times New Roman" w:eastAsia="Times New Roman" w:hAnsi="Times New Roman"/>
          <w:sz w:val="24"/>
          <w:szCs w:val="24"/>
        </w:rPr>
        <w:t xml:space="preserve"> (live or expired on the blocklist, with remaining TTL) and </w:t>
      </w:r>
      <w:r>
        <w:rPr>
          <w:rFonts w:ascii="Times New Roman" w:cs="Times New Roman" w:eastAsia="Times New Roman" w:hAnsi="Times New Roman"/>
          <w:b/>
          <w:bCs/>
          <w:sz w:val="24"/>
          <w:szCs w:val="24"/>
        </w:rPr>
        <w:t xml:space="preserve">Latency</w:t>
      </w:r>
      <w:r>
        <w:rPr>
          <w:rFonts w:ascii="Times New Roman" w:cs="Times New Roman" w:eastAsia="Times New Roman" w:hAnsi="Times New Roman"/>
          <w:sz w:val="24"/>
          <w:szCs w:val="24"/>
        </w:rPr>
        <w:t xml:space="preserve"> (time spent in each store and the model).</w:t>
      </w:r>
    </w:p>
    <w:p>
      <w:pPr>
        <w:keepNext/>
        <w:spacing w:after="40" w:before="120"/>
        <w:jc w:val="center"/>
      </w:pPr>
      <w:r>
        <w:drawing>
          <wp:inline distT="0" distB="0" distL="0" distR="0">
            <wp:extent cx="4953000" cy="3095625"/>
            <wp:effectExtent t="0" r="0" b="0" l="0"/>
            <wp:docPr id="1" name="IOC state tab: whether each indicator in the evidence is live on the blocklist." descr="IOC state tab: whether each indicator in the evidence is live on the blocklist." title="IOC state tab: whether each indicator in the evidence is live on the blo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095625"/>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3.  IOC state tab: whether each indicator in the evidence is live on the blocklist.</w:t>
      </w:r>
    </w:p>
    <w:p>
      <w:pPr>
        <w:pStyle w:val="Heading2"/>
        <w:keepNext/>
        <w:spacing w:after="120" w:before="240"/>
      </w:pPr>
      <w:r>
        <w:rPr>
          <w:rFonts w:ascii="Times New Roman" w:cs="Times New Roman" w:eastAsia="Times New Roman" w:hAnsi="Times New Roman"/>
          <w:b/>
          <w:bCs/>
          <w:color w:val="1B4F72"/>
          <w:sz w:val="26"/>
          <w:szCs w:val="26"/>
        </w:rPr>
        <w:t xml:space="preserve">5.2  Graph explorer</w:t>
      </w:r>
    </w:p>
    <w:p>
      <w:pPr>
        <w:spacing w:after="160" w:line="340"/>
        <w:jc w:val="both"/>
      </w:pPr>
      <w:r>
        <w:rPr>
          <w:rFonts w:ascii="Times New Roman" w:cs="Times New Roman" w:eastAsia="Times New Roman" w:hAnsi="Times New Roman"/>
          <w:sz w:val="24"/>
          <w:szCs w:val="24"/>
        </w:rPr>
        <w:t xml:space="preserve">Shows the whole graph (reports hidden). Search by name, alias, id or IOC value; click a node to open its neighbourhood; run the presets — shared infrastructure, shared tooling, common victims, tool users — or find the shortest path between two ids. Traversals stop at commodity hubs so that tools such as Cobalt Strike do not swamp the view.</w:t>
      </w:r>
    </w:p>
    <w:p>
      <w:pPr>
        <w:keepNext/>
        <w:spacing w:after="40" w:before="120"/>
        <w:jc w:val="center"/>
      </w:pPr>
      <w:r>
        <w:drawing>
          <wp:inline distT="0" distB="0" distL="0" distR="0">
            <wp:extent cx="5715000" cy="3571875"/>
            <wp:effectExtent t="0" r="0" b="0" l="0"/>
            <wp:docPr id="1" name="Graph explorer." descr="Graph explorer." title="Graph explo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4.  Graph explorer.</w:t>
      </w:r>
    </w:p>
    <w:p>
      <w:pPr>
        <w:pStyle w:val="Heading2"/>
        <w:keepNext/>
        <w:spacing w:after="120" w:before="240"/>
      </w:pPr>
      <w:r>
        <w:rPr>
          <w:rFonts w:ascii="Times New Roman" w:cs="Times New Roman" w:eastAsia="Times New Roman" w:hAnsi="Times New Roman"/>
          <w:b/>
          <w:bCs/>
          <w:color w:val="1B4F72"/>
          <w:sz w:val="26"/>
          <w:szCs w:val="26"/>
        </w:rPr>
        <w:t xml:space="preserve">5.3  Report browser</w:t>
      </w:r>
    </w:p>
    <w:p>
      <w:pPr>
        <w:spacing w:after="160" w:line="340"/>
        <w:jc w:val="both"/>
      </w:pPr>
      <w:r>
        <w:rPr>
          <w:rFonts w:ascii="Times New Roman" w:cs="Times New Roman" w:eastAsia="Times New Roman" w:hAnsi="Times New Roman"/>
          <w:sz w:val="24"/>
          <w:szCs w:val="24"/>
        </w:rPr>
        <w:t xml:space="preserve">Lists the reports your clearance allows, newest first, with their report-specific fields; filter by text, actor id or TLP. Opening a report shows the full body, linked actors, campaigns, malware and IOCs. An administrator can delete a report, which also removes its passages and graph links. Accounts without clearance see a notice of how many reports are hidden, and opening one returns “withheld by TLP policy”.</w:t>
      </w:r>
    </w:p>
    <w:p>
      <w:pPr>
        <w:keepNext/>
        <w:spacing w:after="40" w:before="120"/>
        <w:jc w:val="center"/>
      </w:pPr>
      <w:r>
        <w:drawing>
          <wp:inline distT="0" distB="0" distL="0" distR="0">
            <wp:extent cx="5334000" cy="3333750"/>
            <wp:effectExtent t="0" r="0" b="0" l="0"/>
            <wp:docPr id="1" name="Report detail, including fields specific to this report (build pipeline, MITRE techniques)." descr="Report detail, including fields specific to this report (build pipeline, MITRE techniques)." title="Report detail, including fields specific to this report (build pipeline, MITRE techniq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5.  Report detail, including fields specific to this report (build pipeline, MITRE techniques).</w:t>
      </w:r>
    </w:p>
    <w:p>
      <w:pPr>
        <w:pStyle w:val="Heading2"/>
        <w:keepNext/>
        <w:spacing w:after="120" w:before="240"/>
      </w:pPr>
      <w:r>
        <w:rPr>
          <w:rFonts w:ascii="Times New Roman" w:cs="Times New Roman" w:eastAsia="Times New Roman" w:hAnsi="Times New Roman"/>
          <w:b/>
          <w:bCs/>
          <w:color w:val="1B4F72"/>
          <w:sz w:val="26"/>
          <w:szCs w:val="26"/>
        </w:rPr>
        <w:t xml:space="preserve">5.4  IOC blocklist</w:t>
      </w:r>
    </w:p>
    <w:p>
      <w:pPr>
        <w:spacing w:after="160" w:line="340"/>
        <w:jc w:val="both"/>
      </w:pPr>
      <w:r>
        <w:rPr>
          <w:rFonts w:ascii="Times New Roman" w:cs="Times New Roman" w:eastAsia="Times New Roman" w:hAnsi="Times New Roman"/>
          <w:sz w:val="24"/>
          <w:szCs w:val="24"/>
        </w:rPr>
        <w:t xml:space="preserve">The hot set lists live indicators with severity, actor or campaign, publisher and a ticking TTL. When a TTL reaches zero the indicator moves to </w:t>
      </w:r>
      <w:r>
        <w:rPr>
          <w:rFonts w:ascii="Times New Roman" w:cs="Times New Roman" w:eastAsia="Times New Roman" w:hAnsi="Times New Roman"/>
          <w:b/>
          <w:bCs/>
          <w:sz w:val="24"/>
          <w:szCs w:val="24"/>
        </w:rPr>
        <w:t xml:space="preserve">Recently expired</w:t>
      </w:r>
      <w:r>
        <w:rPr>
          <w:rFonts w:ascii="Times New Roman" w:cs="Times New Roman" w:eastAsia="Times New Roman" w:hAnsi="Times New Roman"/>
          <w:sz w:val="24"/>
          <w:szCs w:val="24"/>
        </w:rPr>
        <w:t xml:space="preserve">: it is no longer enforced, but </w:t>
      </w:r>
      <w:r>
        <w:rPr>
          <w:rFonts w:ascii="Times New Roman" w:cs="Times New Roman" w:eastAsia="Times New Roman" w:hAnsi="Times New Roman"/>
          <w:b/>
          <w:bCs/>
          <w:sz w:val="24"/>
          <w:szCs w:val="24"/>
        </w:rPr>
        <w:t xml:space="preserve">show historical graph presence</w:t>
      </w:r>
      <w:r>
        <w:rPr>
          <w:rFonts w:ascii="Times New Roman" w:cs="Times New Roman" w:eastAsia="Times New Roman" w:hAnsi="Times New Roman"/>
          <w:sz w:val="24"/>
          <w:szCs w:val="24"/>
        </w:rPr>
        <w:t xml:space="preserve"> proves the graph still records it. </w:t>
      </w:r>
      <w:r>
        <w:rPr>
          <w:rFonts w:ascii="Times New Roman" w:cs="Times New Roman" w:eastAsia="Times New Roman" w:hAnsi="Times New Roman"/>
          <w:b/>
          <w:bCs/>
          <w:sz w:val="24"/>
          <w:szCs w:val="24"/>
        </w:rPr>
        <w:t xml:space="preserve">O(1) lookup</w:t>
      </w:r>
      <w:r>
        <w:rPr>
          <w:rFonts w:ascii="Times New Roman" w:cs="Times New Roman" w:eastAsia="Times New Roman" w:hAnsi="Times New Roman"/>
          <w:sz w:val="24"/>
          <w:szCs w:val="24"/>
        </w:rPr>
        <w:t xml:space="preserve"> checks a single value the way a firewall would.</w:t>
      </w:r>
    </w:p>
    <w:p>
      <w:pPr>
        <w:keepNext/>
        <w:spacing w:after="40" w:before="120"/>
        <w:jc w:val="center"/>
      </w:pPr>
      <w:r>
        <w:drawing>
          <wp:inline distT="0" distB="0" distL="0" distR="0">
            <wp:extent cx="5334000" cy="3333750"/>
            <wp:effectExtent t="0" r="0" b="0" l="0"/>
            <wp:docPr id="1" name="IOC blocklist with live TTLs." descr="IOC blocklist with live TTLs." title="IOC blocklist with live TT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6.  IOC blocklist with live TTLs.</w:t>
      </w:r>
    </w:p>
    <w:p>
      <w:pPr>
        <w:spacing w:after="160" w:line="340"/>
        <w:jc w:val="both"/>
      </w:pPr>
      <w:r>
        <w:rPr>
          <w:rFonts w:ascii="Times New Roman" w:cs="Times New Roman" w:eastAsia="Times New Roman" w:hAnsi="Times New Roman"/>
          <w:b/>
          <w:bCs/>
          <w:sz w:val="24"/>
          <w:szCs w:val="24"/>
        </w:rPr>
        <w:t xml:space="preserve">Publishing (lead or admin).</w:t>
      </w:r>
      <w:r>
        <w:rPr>
          <w:rFonts w:ascii="Times New Roman" w:cs="Times New Roman" w:eastAsia="Times New Roman" w:hAnsi="Times New Roman"/>
          <w:sz w:val="24"/>
          <w:szCs w:val="24"/>
        </w:rPr>
        <w:t xml:space="preserve"> Fill in type (ip, domain, hash, url), value, TTL in seconds (up to 90 days), severity and optionally actor and campaign, then press </w:t>
      </w:r>
      <w:r>
        <w:rPr>
          <w:rFonts w:ascii="Times New Roman" w:cs="Times New Roman" w:eastAsia="Times New Roman" w:hAnsi="Times New Roman"/>
          <w:b/>
          <w:bCs/>
          <w:sz w:val="24"/>
          <w:szCs w:val="24"/>
        </w:rPr>
        <w:t xml:space="preserve">SET … EX</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revoke</w:t>
      </w:r>
      <w:r>
        <w:rPr>
          <w:rFonts w:ascii="Times New Roman" w:cs="Times New Roman" w:eastAsia="Times New Roman" w:hAnsi="Times New Roman"/>
          <w:sz w:val="24"/>
          <w:szCs w:val="24"/>
        </w:rPr>
        <w:t xml:space="preserve"> removes an entry immediately. Neither action changes the historical graph.</w:t>
      </w:r>
    </w:p>
    <w:p>
      <w:pPr>
        <w:pStyle w:val="Heading2"/>
        <w:keepNext/>
        <w:spacing w:after="120" w:before="240"/>
      </w:pPr>
      <w:r>
        <w:rPr>
          <w:rFonts w:ascii="Times New Roman" w:cs="Times New Roman" w:eastAsia="Times New Roman" w:hAnsi="Times New Roman"/>
          <w:b/>
          <w:bCs/>
          <w:color w:val="1B4F72"/>
          <w:sz w:val="26"/>
          <w:szCs w:val="26"/>
        </w:rPr>
        <w:t xml:space="preserve">5.5  Semantic search</w:t>
      </w:r>
    </w:p>
    <w:p>
      <w:pPr>
        <w:spacing w:after="160" w:line="340"/>
        <w:jc w:val="both"/>
      </w:pPr>
      <w:r>
        <w:rPr>
          <w:rFonts w:ascii="Times New Roman" w:cs="Times New Roman" w:eastAsia="Times New Roman" w:hAnsi="Times New Roman"/>
          <w:sz w:val="24"/>
          <w:szCs w:val="24"/>
        </w:rPr>
        <w:t xml:space="preserve">Finds passages that mean something similar to your text, not just matching words. Filter by actor ids, TLP levels and a date range; results show the score, report, TLP and passage, plus a similarity map. Use it for questions like “what else looks like this lure?”; use the graph explorer for “who is connected to whom?”.</w:t>
      </w:r>
    </w:p>
    <w:p>
      <w:pPr>
        <w:keepNext/>
        <w:spacing w:after="40" w:before="120"/>
        <w:jc w:val="center"/>
      </w:pPr>
      <w:r>
        <w:drawing>
          <wp:inline distT="0" distB="0" distL="0" distR="0">
            <wp:extent cx="5334000" cy="3333750"/>
            <wp:effectExtent t="0" r="0" b="0" l="0"/>
            <wp:docPr id="1" name="Semantic search." descr="Semantic search." title="Semantic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7.  Semantic search.</w:t>
      </w:r>
    </w:p>
    <w:p>
      <w:pPr>
        <w:pStyle w:val="Heading2"/>
        <w:keepNext/>
        <w:spacing w:after="120" w:before="240"/>
      </w:pPr>
      <w:r>
        <w:rPr>
          <w:rFonts w:ascii="Times New Roman" w:cs="Times New Roman" w:eastAsia="Times New Roman" w:hAnsi="Times New Roman"/>
          <w:b/>
          <w:bCs/>
          <w:color w:val="1B4F72"/>
          <w:sz w:val="26"/>
          <w:szCs w:val="26"/>
        </w:rPr>
        <w:t xml:space="preserve">5.6  Ingest (lead or admin)</w:t>
      </w:r>
    </w:p>
    <w:p>
      <w:pPr>
        <w:spacing w:after="160" w:line="340"/>
        <w:jc w:val="both"/>
      </w:pPr>
      <w:r>
        <w:rPr>
          <w:rFonts w:ascii="Times New Roman" w:cs="Times New Roman" w:eastAsia="Times New Roman" w:hAnsi="Times New Roman"/>
          <w:b/>
          <w:bCs/>
          <w:sz w:val="24"/>
          <w:szCs w:val="24"/>
        </w:rPr>
        <w:t xml:space="preserve">Free-text report:</w:t>
      </w:r>
      <w:r>
        <w:rPr>
          <w:rFonts w:ascii="Times New Roman" w:cs="Times New Roman" w:eastAsia="Times New Roman" w:hAnsi="Times New Roman"/>
          <w:sz w:val="24"/>
          <w:szCs w:val="24"/>
        </w:rPr>
        <w:t xml:space="preserve"> enter title, body, source, date, TLP and optional report-specific fields as JSON. Entities and IOCs are found automatically, and defanged IOCs (</w:t>
      </w:r>
      <w:r>
        <w:rPr>
          <w:rFonts w:ascii="Courier New" w:cs="Courier New" w:eastAsia="Courier New" w:hAnsi="Courier New"/>
          <w:sz w:val="20"/>
          <w:szCs w:val="20"/>
        </w:rPr>
        <w:t xml:space="preserve">hxxp</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w:t>
      </w:r>
      <w:r>
        <w:rPr>
          <w:rFonts w:ascii="Times New Roman" w:cs="Times New Roman" w:eastAsia="Times New Roman" w:hAnsi="Times New Roman"/>
          <w:sz w:val="24"/>
          <w:szCs w:val="24"/>
        </w:rPr>
        <w:t xml:space="preserve">) are restored. </w:t>
      </w:r>
      <w:r>
        <w:rPr>
          <w:rFonts w:ascii="Times New Roman" w:cs="Times New Roman" w:eastAsia="Times New Roman" w:hAnsi="Times New Roman"/>
          <w:b/>
          <w:bCs/>
          <w:sz w:val="24"/>
          <w:szCs w:val="24"/>
        </w:rPr>
        <w:t xml:space="preserve">STIX 2.1 bundle:</w:t>
      </w:r>
      <w:r>
        <w:rPr>
          <w:rFonts w:ascii="Times New Roman" w:cs="Times New Roman" w:eastAsia="Times New Roman" w:hAnsi="Times New Roman"/>
          <w:sz w:val="24"/>
          <w:szCs w:val="24"/>
        </w:rPr>
        <w:t xml:space="preserve"> choose a </w:t>
      </w:r>
      <w:r>
        <w:rPr>
          <w:rFonts w:ascii="Courier New" w:cs="Courier New" w:eastAsia="Courier New" w:hAnsi="Courier New"/>
          <w:sz w:val="20"/>
          <w:szCs w:val="20"/>
        </w:rPr>
        <w:t xml:space="preserve">.json</w:t>
      </w:r>
      <w:r>
        <w:rPr>
          <w:rFonts w:ascii="Times New Roman" w:cs="Times New Roman" w:eastAsia="Times New Roman" w:hAnsi="Times New Roman"/>
          <w:sz w:val="24"/>
          <w:szCs w:val="24"/>
        </w:rPr>
        <w:t xml:space="preserve"> file or paste a bundle; TLP is read from marking definitions, and </w:t>
      </w:r>
      <w:r>
        <w:rPr>
          <w:rFonts w:ascii="Courier New" w:cs="Courier New" w:eastAsia="Courier New" w:hAnsi="Courier New"/>
          <w:sz w:val="20"/>
          <w:szCs w:val="20"/>
        </w:rPr>
        <w:t xml:space="preserve">valid_until</w:t>
      </w:r>
      <w:r>
        <w:rPr>
          <w:rFonts w:ascii="Times New Roman" w:cs="Times New Roman" w:eastAsia="Times New Roman" w:hAnsi="Times New Roman"/>
          <w:sz w:val="24"/>
          <w:szCs w:val="24"/>
        </w:rPr>
        <w:t xml:space="preserve"> becomes the blocklist TTL if </w:t>
      </w:r>
      <w:r>
        <w:rPr>
          <w:rFonts w:ascii="Times New Roman" w:cs="Times New Roman" w:eastAsia="Times New Roman" w:hAnsi="Times New Roman"/>
          <w:b/>
          <w:bCs/>
          <w:sz w:val="24"/>
          <w:szCs w:val="24"/>
        </w:rPr>
        <w:t xml:space="preserve">publish indicators</w:t>
      </w:r>
      <w:r>
        <w:rPr>
          <w:rFonts w:ascii="Times New Roman" w:cs="Times New Roman" w:eastAsia="Times New Roman" w:hAnsi="Times New Roman"/>
          <w:sz w:val="24"/>
          <w:szCs w:val="24"/>
        </w:rPr>
        <w:t xml:space="preserve"> is ticked.</w:t>
      </w:r>
    </w:p>
    <w:p>
      <w:pPr>
        <w:spacing w:after="160" w:line="340"/>
        <w:jc w:val="both"/>
      </w:pPr>
      <w:r>
        <w:rPr>
          <w:rFonts w:ascii="Times New Roman" w:cs="Times New Roman" w:eastAsia="Times New Roman" w:hAnsi="Times New Roman"/>
          <w:b/>
          <w:bCs/>
          <w:sz w:val="24"/>
          <w:szCs w:val="24"/>
        </w:rPr>
        <w:t xml:space="preserve">Run ingest job</w:t>
      </w:r>
      <w:r>
        <w:rPr>
          <w:rFonts w:ascii="Times New Roman" w:cs="Times New Roman" w:eastAsia="Times New Roman" w:hAnsi="Times New Roman"/>
          <w:sz w:val="24"/>
          <w:szCs w:val="24"/>
        </w:rPr>
        <w:t xml:space="preserve"> writes to Neo4j, MongoDB, Qdrant and (if requested) Redis, showing each step's status and time. If a step fails, fix the cause and press </w:t>
      </w:r>
      <w:r>
        <w:rPr>
          <w:rFonts w:ascii="Times New Roman" w:cs="Times New Roman" w:eastAsia="Times New Roman" w:hAnsi="Times New Roman"/>
          <w:b/>
          <w:bCs/>
          <w:sz w:val="24"/>
          <w:szCs w:val="24"/>
        </w:rPr>
        <w:t xml:space="preserve">retry</w:t>
      </w:r>
      <w:r>
        <w:rPr>
          <w:rFonts w:ascii="Times New Roman" w:cs="Times New Roman" w:eastAsia="Times New Roman" w:hAnsi="Times New Roman"/>
          <w:sz w:val="24"/>
          <w:szCs w:val="24"/>
        </w:rPr>
        <w:t xml:space="preserve">: the job resumes from the first step that did not finish.</w:t>
      </w:r>
    </w:p>
    <w:p>
      <w:pPr>
        <w:keepNext/>
        <w:spacing w:after="40" w:before="120"/>
        <w:jc w:val="center"/>
      </w:pPr>
      <w:r>
        <w:drawing>
          <wp:inline distT="0" distB="0" distL="0" distR="0">
            <wp:extent cx="5334000" cy="3333750"/>
            <wp:effectExtent t="0" r="0" b="0" l="0"/>
            <wp:docPr id="1" name="Ingesting the sample STIX bundle: each store's step and the resulting report." descr="Ingesting the sample STIX bundle: each store's step and the resulting report." title="Ingesting the sample STIX bundle: each store's step and the resulting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8.  Ingesting the sample STIX bundle: each store's step and the resulting report.</w:t>
      </w:r>
    </w:p>
    <w:p>
      <w:pPr>
        <w:pStyle w:val="Heading2"/>
        <w:keepNext/>
        <w:spacing w:after="120" w:before="240"/>
      </w:pPr>
      <w:r>
        <w:rPr>
          <w:rFonts w:ascii="Times New Roman" w:cs="Times New Roman" w:eastAsia="Times New Roman" w:hAnsi="Times New Roman"/>
          <w:b/>
          <w:bCs/>
          <w:color w:val="1B4F72"/>
          <w:sz w:val="26"/>
          <w:szCs w:val="26"/>
        </w:rPr>
        <w:t xml:space="preserve">5.7  Audit and replay</w:t>
      </w:r>
    </w:p>
    <w:p>
      <w:pPr>
        <w:spacing w:after="160" w:line="340"/>
        <w:jc w:val="both"/>
      </w:pPr>
      <w:r>
        <w:rPr>
          <w:rFonts w:ascii="Times New Roman" w:cs="Times New Roman" w:eastAsia="Times New Roman" w:hAnsi="Times New Roman"/>
          <w:sz w:val="24"/>
          <w:szCs w:val="24"/>
        </w:rPr>
        <w:t xml:space="preserve">Every answer is recorded with the hops, passages, reports and IOC states it used. Select an entry and press </w:t>
      </w:r>
      <w:r>
        <w:rPr>
          <w:rFonts w:ascii="Times New Roman" w:cs="Times New Roman" w:eastAsia="Times New Roman" w:hAnsi="Times New Roman"/>
          <w:b/>
          <w:bCs/>
          <w:sz w:val="24"/>
          <w:szCs w:val="24"/>
        </w:rPr>
        <w:t xml:space="preserve">Replay against the stores</w:t>
      </w:r>
      <w:r>
        <w:rPr>
          <w:rFonts w:ascii="Times New Roman" w:cs="Times New Roman" w:eastAsia="Times New Roman" w:hAnsi="Times New Roman"/>
          <w:sz w:val="24"/>
          <w:szCs w:val="24"/>
        </w:rPr>
        <w:t xml:space="preserve"> to check each item still exists and whether any IOC has changed state since — for example, an indicator that has expired.</w:t>
      </w:r>
    </w:p>
    <w:p>
      <w:pPr>
        <w:keepNext/>
        <w:spacing w:after="40" w:before="120"/>
        <w:jc w:val="center"/>
      </w:pPr>
      <w:r>
        <w:drawing>
          <wp:inline distT="0" distB="0" distL="0" distR="0">
            <wp:extent cx="5334000" cy="3333750"/>
            <wp:effectExtent t="0" r="0" b="0" l="0"/>
            <wp:docPr id="1" name="Audit entry replayed against the live stores." descr="Audit entry replayed against the live stores." title="Audit entry replayed against the live s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9.  Audit entry replayed against the live stores.</w:t>
      </w:r>
    </w:p>
    <w:p>
      <w:pPr>
        <w:pStyle w:val="Heading2"/>
        <w:keepNext/>
        <w:spacing w:after="120" w:before="240"/>
      </w:pPr>
      <w:r>
        <w:rPr>
          <w:rFonts w:ascii="Times New Roman" w:cs="Times New Roman" w:eastAsia="Times New Roman" w:hAnsi="Times New Roman"/>
          <w:b/>
          <w:bCs/>
          <w:color w:val="1B4F72"/>
          <w:sz w:val="26"/>
          <w:szCs w:val="26"/>
        </w:rPr>
        <w:t xml:space="preserve">5.8  Operations</w:t>
      </w:r>
    </w:p>
    <w:p>
      <w:pPr>
        <w:spacing w:after="160" w:line="340"/>
        <w:jc w:val="both"/>
      </w:pPr>
      <w:r>
        <w:rPr>
          <w:rFonts w:ascii="Times New Roman" w:cs="Times New Roman" w:eastAsia="Times New Roman" w:hAnsi="Times New Roman"/>
          <w:sz w:val="24"/>
          <w:szCs w:val="24"/>
        </w:rPr>
        <w:t xml:space="preserve">Shows each store's status and round-trip time, latency percentiles per store against their targets (Redis p99 &lt; 5 ms, Neo4j p95 &lt; 500 ms, GraphRAG p95 &lt; 15 s), the graph inventory and the cross-store integrity check. Administrators can </w:t>
      </w:r>
      <w:r>
        <w:rPr>
          <w:rFonts w:ascii="Times New Roman" w:cs="Times New Roman" w:eastAsia="Times New Roman" w:hAnsi="Times New Roman"/>
          <w:b/>
          <w:bCs/>
          <w:sz w:val="24"/>
          <w:szCs w:val="24"/>
        </w:rPr>
        <w:t xml:space="preserve">re-seed</w:t>
      </w:r>
      <w:r>
        <w:rPr>
          <w:rFonts w:ascii="Times New Roman" w:cs="Times New Roman" w:eastAsia="Times New Roman" w:hAnsi="Times New Roman"/>
          <w:sz w:val="24"/>
          <w:szCs w:val="24"/>
        </w:rPr>
        <w:t xml:space="preserve"> (reload the initial corpus; removes ingested data) and </w:t>
      </w:r>
      <w:r>
        <w:rPr>
          <w:rFonts w:ascii="Times New Roman" w:cs="Times New Roman" w:eastAsia="Times New Roman" w:hAnsi="Times New Roman"/>
          <w:b/>
          <w:bCs/>
          <w:sz w:val="24"/>
          <w:szCs w:val="24"/>
        </w:rPr>
        <w:t xml:space="preserve">rebuild the vector index</w:t>
      </w:r>
      <w:r>
        <w:rPr>
          <w:rFonts w:ascii="Times New Roman" w:cs="Times New Roman" w:eastAsia="Times New Roman" w:hAnsi="Times New Roman"/>
          <w:sz w:val="24"/>
          <w:szCs w:val="24"/>
        </w:rPr>
        <w:t xml:space="preserve">.</w:t>
      </w:r>
    </w:p>
    <w:p>
      <w:pPr>
        <w:keepNext/>
        <w:spacing w:after="40" w:before="120"/>
        <w:jc w:val="center"/>
      </w:pPr>
      <w:r>
        <w:drawing>
          <wp:inline distT="0" distB="0" distL="0" distR="0">
            <wp:extent cx="5334000" cy="3333750"/>
            <wp:effectExtent t="0" r="0" b="0" l="0"/>
            <wp:docPr id="1" name="Operations: store health, latency against SLOs and integrity." descr="Operations: store health, latency against SLOs and integrity." title="Operations: store health, latency against SLOs and integ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10.  Operations: store health, latency against SLOs and integrity.</w:t>
      </w:r>
    </w:p>
    <w:p>
      <w:pPr>
        <w:pStyle w:val="Heading1"/>
        <w:pageBreakBefore/>
        <w:pBdr>
          <w:bottom w:val="single" w:color="0F2A47" w:sz="12" w:space="4"/>
        </w:pBdr>
        <w:spacing w:after="180" w:before="320"/>
      </w:pPr>
      <w:r>
        <w:rPr>
          <w:rFonts w:ascii="Times New Roman" w:cs="Times New Roman" w:eastAsia="Times New Roman" w:hAnsi="Times New Roman"/>
          <w:b/>
          <w:bCs/>
          <w:color w:val="0F2A47"/>
          <w:sz w:val="32"/>
          <w:szCs w:val="32"/>
        </w:rPr>
        <w:t xml:space="preserve">6.  Walkthroughs</w:t>
      </w:r>
    </w:p>
    <w:p>
      <w:pPr>
        <w:spacing w:after="160" w:line="340"/>
        <w:jc w:val="both"/>
      </w:pPr>
      <w:r>
        <w:rPr>
          <w:rFonts w:ascii="Times New Roman" w:cs="Times New Roman" w:eastAsia="Times New Roman" w:hAnsi="Times New Roman"/>
          <w:sz w:val="24"/>
          <w:szCs w:val="24"/>
        </w:rPr>
        <w:t xml:space="preserve">The walkthroughs below are the use cases the platform was designed for. They work on a freshly seeded stack (</w:t>
      </w:r>
      <w:r>
        <w:rPr>
          <w:rFonts w:ascii="Courier New" w:cs="Courier New" w:eastAsia="Courier New" w:hAnsi="Courier New"/>
          <w:sz w:val="20"/>
          <w:szCs w:val="20"/>
        </w:rPr>
        <w:t xml:space="preserve">make seed</w:t>
      </w:r>
      <w:r>
        <w:rPr>
          <w:rFonts w:ascii="Times New Roman" w:cs="Times New Roman" w:eastAsia="Times New Roman" w:hAnsi="Times New Roman"/>
          <w:sz w:val="24"/>
          <w:szCs w:val="24"/>
        </w:rPr>
        <w:t xml:space="preserve">).</w:t>
      </w:r>
    </w:p>
    <w:p>
      <w:pPr>
        <w:pStyle w:val="Heading2"/>
        <w:keepNext/>
        <w:spacing w:after="120" w:before="240"/>
      </w:pPr>
      <w:r>
        <w:rPr>
          <w:rFonts w:ascii="Times New Roman" w:cs="Times New Roman" w:eastAsia="Times New Roman" w:hAnsi="Times New Roman"/>
          <w:b/>
          <w:bCs/>
          <w:color w:val="1B4F72"/>
          <w:sz w:val="26"/>
          <w:szCs w:val="26"/>
        </w:rPr>
        <w:t xml:space="preserve">6.1  Shared infrastructure (UC1)</w:t>
      </w:r>
    </w:p>
    <w:p>
      <w:pPr>
        <w:pStyle w:val="ListParagraph"/>
        <w:numPr>
          <w:ilvl w:val="0"/>
          <w:numId w:val="2"/>
        </w:numPr>
        <w:spacing w:after="70" w:line="300"/>
      </w:pPr>
      <w:r>
        <w:rPr>
          <w:rFonts w:ascii="Times New Roman" w:cs="Times New Roman" w:eastAsia="Times New Roman" w:hAnsi="Times New Roman"/>
          <w:sz w:val="24"/>
          <w:szCs w:val="24"/>
        </w:rPr>
        <w:t xml:space="preserve">Sign in as </w:t>
      </w:r>
      <w:r>
        <w:rPr>
          <w:rFonts w:ascii="Times New Roman" w:cs="Times New Roman" w:eastAsia="Times New Roman" w:hAnsi="Times New Roman"/>
          <w:b/>
          <w:bCs/>
          <w:sz w:val="24"/>
          <w:szCs w:val="24"/>
        </w:rPr>
        <w:t xml:space="preserve">analyst</w:t>
      </w:r>
      <w:r>
        <w:rPr>
          <w:rFonts w:ascii="Times New Roman" w:cs="Times New Roman" w:eastAsia="Times New Roman" w:hAnsi="Times New Roman"/>
          <w:sz w:val="24"/>
          <w:szCs w:val="24"/>
        </w:rPr>
        <w:t xml:space="preserve"> and open the GraphRAG console.</w:t>
      </w:r>
    </w:p>
    <w:p>
      <w:pPr>
        <w:pStyle w:val="ListParagraph"/>
        <w:numPr>
          <w:ilvl w:val="0"/>
          <w:numId w:val="2"/>
        </w:numPr>
        <w:spacing w:after="70" w:line="300"/>
      </w:pPr>
      <w:r>
        <w:rPr>
          <w:rFonts w:ascii="Times New Roman" w:cs="Times New Roman" w:eastAsia="Times New Roman" w:hAnsi="Times New Roman"/>
          <w:sz w:val="24"/>
          <w:szCs w:val="24"/>
        </w:rPr>
        <w:t xml:space="preserve">Ask: “Which actors share C2 infrastructure with APT28?”</w:t>
      </w:r>
    </w:p>
    <w:p>
      <w:pPr>
        <w:pStyle w:val="ListParagraph"/>
        <w:numPr>
          <w:ilvl w:val="0"/>
          <w:numId w:val="2"/>
        </w:numPr>
        <w:spacing w:after="70" w:line="300"/>
      </w:pPr>
      <w:r>
        <w:rPr>
          <w:rFonts w:ascii="Times New Roman" w:cs="Times New Roman" w:eastAsia="Times New Roman" w:hAnsi="Times New Roman"/>
          <w:sz w:val="24"/>
          <w:szCs w:val="24"/>
        </w:rPr>
        <w:t xml:space="preserve">The answer names Sandworm (shared VPS 185.86.77.12) and Scattered Spider (91.219.236.44) and cites report rpt-001.</w:t>
      </w:r>
    </w:p>
    <w:p>
      <w:pPr>
        <w:pStyle w:val="ListParagraph"/>
        <w:numPr>
          <w:ilvl w:val="0"/>
          <w:numId w:val="2"/>
        </w:numPr>
        <w:spacing w:after="70" w:line="300"/>
      </w:pPr>
      <w:r>
        <w:rPr>
          <w:rFonts w:ascii="Times New Roman" w:cs="Times New Roman" w:eastAsia="Times New Roman" w:hAnsi="Times New Roman"/>
          <w:sz w:val="24"/>
          <w:szCs w:val="24"/>
        </w:rPr>
        <w:t xml:space="preserve">Open </w:t>
      </w:r>
      <w:r>
        <w:rPr>
          <w:rFonts w:ascii="Times New Roman" w:cs="Times New Roman" w:eastAsia="Times New Roman" w:hAnsi="Times New Roman"/>
          <w:b/>
          <w:bCs/>
          <w:sz w:val="24"/>
          <w:szCs w:val="24"/>
        </w:rPr>
        <w:t xml:space="preserve">IOC state</w:t>
      </w:r>
      <w:r>
        <w:rPr>
          <w:rFonts w:ascii="Times New Roman" w:cs="Times New Roman" w:eastAsia="Times New Roman" w:hAnsi="Times New Roman"/>
          <w:sz w:val="24"/>
          <w:szCs w:val="24"/>
        </w:rPr>
        <w:t xml:space="preserve"> to see whether those IPs are live on the blocklist.</w:t>
      </w:r>
    </w:p>
    <w:p>
      <w:pPr>
        <w:pStyle w:val="Heading2"/>
        <w:keepNext/>
        <w:spacing w:after="120" w:before="240"/>
      </w:pPr>
      <w:r>
        <w:rPr>
          <w:rFonts w:ascii="Times New Roman" w:cs="Times New Roman" w:eastAsia="Times New Roman" w:hAnsi="Times New Roman"/>
          <w:b/>
          <w:bCs/>
          <w:color w:val="1B4F72"/>
          <w:sz w:val="26"/>
          <w:szCs w:val="26"/>
        </w:rPr>
        <w:t xml:space="preserve">6.2  Similar activity (UC2)</w:t>
      </w:r>
    </w:p>
    <w:p>
      <w:pPr>
        <w:pStyle w:val="ListParagraph"/>
        <w:numPr>
          <w:ilvl w:val="0"/>
          <w:numId w:val="3"/>
        </w:numPr>
        <w:spacing w:after="70" w:line="300"/>
      </w:pPr>
      <w:r>
        <w:rPr>
          <w:rFonts w:ascii="Times New Roman" w:cs="Times New Roman" w:eastAsia="Times New Roman" w:hAnsi="Times New Roman"/>
          <w:sz w:val="24"/>
          <w:szCs w:val="24"/>
        </w:rPr>
        <w:t xml:space="preserve">Ask: “Find activity similar to spearphishing against government and political organizations.”</w:t>
      </w:r>
    </w:p>
    <w:p>
      <w:pPr>
        <w:pStyle w:val="ListParagraph"/>
        <w:numPr>
          <w:ilvl w:val="0"/>
          <w:numId w:val="3"/>
        </w:numPr>
        <w:spacing w:after="70" w:line="300"/>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Chunks</w:t>
      </w:r>
      <w:r>
        <w:rPr>
          <w:rFonts w:ascii="Times New Roman" w:cs="Times New Roman" w:eastAsia="Times New Roman" w:hAnsi="Times New Roman"/>
          <w:sz w:val="24"/>
          <w:szCs w:val="24"/>
        </w:rPr>
        <w:t xml:space="preserve"> tab shows the DNC passages first; the graph expands to APT28 and APT29; </w:t>
      </w:r>
      <w:r>
        <w:rPr>
          <w:rFonts w:ascii="Times New Roman" w:cs="Times New Roman" w:eastAsia="Times New Roman" w:hAnsi="Times New Roman"/>
          <w:b/>
          <w:bCs/>
          <w:sz w:val="24"/>
          <w:szCs w:val="24"/>
        </w:rPr>
        <w:t xml:space="preserve">Documents</w:t>
      </w:r>
      <w:r>
        <w:rPr>
          <w:rFonts w:ascii="Times New Roman" w:cs="Times New Roman" w:eastAsia="Times New Roman" w:hAnsi="Times New Roman"/>
          <w:sz w:val="24"/>
          <w:szCs w:val="24"/>
        </w:rPr>
        <w:t xml:space="preserve"> lists the full reports.</w:t>
      </w:r>
    </w:p>
    <w:p>
      <w:pPr>
        <w:pStyle w:val="Heading2"/>
        <w:keepNext/>
        <w:spacing w:after="120" w:before="240"/>
      </w:pPr>
      <w:r>
        <w:rPr>
          <w:rFonts w:ascii="Times New Roman" w:cs="Times New Roman" w:eastAsia="Times New Roman" w:hAnsi="Times New Roman"/>
          <w:b/>
          <w:bCs/>
          <w:color w:val="1B4F72"/>
          <w:sz w:val="26"/>
          <w:szCs w:val="26"/>
        </w:rPr>
        <w:t xml:space="preserve">6.3  Commodity tools (UC3)</w:t>
      </w:r>
    </w:p>
    <w:p>
      <w:pPr>
        <w:pStyle w:val="ListParagraph"/>
        <w:numPr>
          <w:ilvl w:val="0"/>
          <w:numId w:val="4"/>
        </w:numPr>
        <w:spacing w:after="70" w:line="300"/>
      </w:pPr>
      <w:r>
        <w:rPr>
          <w:rFonts w:ascii="Times New Roman" w:cs="Times New Roman" w:eastAsia="Times New Roman" w:hAnsi="Times New Roman"/>
          <w:sz w:val="24"/>
          <w:szCs w:val="24"/>
        </w:rPr>
        <w:t xml:space="preserve">Ask: “Why is Mimikatz a weak attribution signal, and which actors still use it?”</w:t>
      </w:r>
    </w:p>
    <w:p>
      <w:pPr>
        <w:pStyle w:val="ListParagraph"/>
        <w:numPr>
          <w:ilvl w:val="0"/>
          <w:numId w:val="4"/>
        </w:numPr>
        <w:spacing w:after="70" w:line="300"/>
      </w:pPr>
      <w:r>
        <w:rPr>
          <w:rFonts w:ascii="Times New Roman" w:cs="Times New Roman" w:eastAsia="Times New Roman" w:hAnsi="Times New Roman"/>
          <w:sz w:val="24"/>
          <w:szCs w:val="24"/>
        </w:rPr>
        <w:t xml:space="preserve">The answer lists five actors and shows the ⚠ caution: a tool shared by many actors is weak evidence of who is behind an intrusion.</w:t>
      </w:r>
    </w:p>
    <w:p>
      <w:pPr>
        <w:pStyle w:val="Heading2"/>
        <w:keepNext/>
        <w:spacing w:after="120" w:before="240"/>
      </w:pPr>
      <w:r>
        <w:rPr>
          <w:rFonts w:ascii="Times New Roman" w:cs="Times New Roman" w:eastAsia="Times New Roman" w:hAnsi="Times New Roman"/>
          <w:b/>
          <w:bCs/>
          <w:color w:val="1B4F72"/>
          <w:sz w:val="26"/>
          <w:szCs w:val="26"/>
        </w:rPr>
        <w:t xml:space="preserve">6.4  Indicator expiry (UC4)</w:t>
      </w:r>
    </w:p>
    <w:p>
      <w:pPr>
        <w:pStyle w:val="ListParagraph"/>
        <w:numPr>
          <w:ilvl w:val="0"/>
          <w:numId w:val="5"/>
        </w:numPr>
        <w:spacing w:after="70" w:line="300"/>
      </w:pPr>
      <w:r>
        <w:rPr>
          <w:rFonts w:ascii="Times New Roman" w:cs="Times New Roman" w:eastAsia="Times New Roman" w:hAnsi="Times New Roman"/>
          <w:sz w:val="24"/>
          <w:szCs w:val="24"/>
        </w:rPr>
        <w:t xml:space="preserve">Re-seed (</w:t>
      </w:r>
      <w:r>
        <w:rPr>
          <w:rFonts w:ascii="Courier New" w:cs="Courier New" w:eastAsia="Courier New" w:hAnsi="Courier New"/>
          <w:sz w:val="20"/>
          <w:szCs w:val="20"/>
        </w:rPr>
        <w:t xml:space="preserve">make seed</w:t>
      </w:r>
      <w:r>
        <w:rPr>
          <w:rFonts w:ascii="Times New Roman" w:cs="Times New Roman" w:eastAsia="Times New Roman" w:hAnsi="Times New Roman"/>
          <w:sz w:val="24"/>
          <w:szCs w:val="24"/>
        </w:rPr>
        <w:t xml:space="preserve">), then open the </w:t>
      </w:r>
      <w:r>
        <w:rPr>
          <w:rFonts w:ascii="Times New Roman" w:cs="Times New Roman" w:eastAsia="Times New Roman" w:hAnsi="Times New Roman"/>
          <w:b/>
          <w:bCs/>
          <w:sz w:val="24"/>
          <w:szCs w:val="24"/>
        </w:rPr>
        <w:t xml:space="preserve">IOC blocklist</w:t>
      </w:r>
      <w:r>
        <w:rPr>
          <w:rFonts w:ascii="Times New Roman" w:cs="Times New Roman" w:eastAsia="Times New Roman" w:hAnsi="Times New Roman"/>
          <w:sz w:val="24"/>
          <w:szCs w:val="24"/>
        </w:rPr>
        <w:t xml:space="preserve"> within a minute.</w:t>
      </w:r>
    </w:p>
    <w:p>
      <w:pPr>
        <w:pStyle w:val="ListParagraph"/>
        <w:numPr>
          <w:ilvl w:val="0"/>
          <w:numId w:val="5"/>
        </w:numPr>
        <w:spacing w:after="70" w:line="300"/>
      </w:pPr>
      <w:r>
        <w:rPr>
          <w:rFonts w:ascii="Times New Roman" w:cs="Times New Roman" w:eastAsia="Times New Roman" w:hAnsi="Times New Roman"/>
          <w:sz w:val="24"/>
          <w:szCs w:val="24"/>
        </w:rPr>
        <w:t xml:space="preserve">Three seeded IOCs have 90 s, 120 s and 300 s TTLs; watch them count down and move to </w:t>
      </w:r>
      <w:r>
        <w:rPr>
          <w:rFonts w:ascii="Times New Roman" w:cs="Times New Roman" w:eastAsia="Times New Roman" w:hAnsi="Times New Roman"/>
          <w:b/>
          <w:bCs/>
          <w:sz w:val="24"/>
          <w:szCs w:val="24"/>
        </w:rPr>
        <w:t xml:space="preserve">Recently expired</w:t>
      </w:r>
      <w:r>
        <w:rPr>
          <w:rFonts w:ascii="Times New Roman" w:cs="Times New Roman" w:eastAsia="Times New Roman" w:hAnsi="Times New Roman"/>
          <w:sz w:val="24"/>
          <w:szCs w:val="24"/>
        </w:rPr>
        <w:t xml:space="preserve">.</w:t>
      </w:r>
    </w:p>
    <w:p>
      <w:pPr>
        <w:pStyle w:val="ListParagraph"/>
        <w:numPr>
          <w:ilvl w:val="0"/>
          <w:numId w:val="5"/>
        </w:numPr>
        <w:spacing w:after="70" w:line="300"/>
      </w:pPr>
      <w:r>
        <w:rPr>
          <w:rFonts w:ascii="Times New Roman" w:cs="Times New Roman" w:eastAsia="Times New Roman" w:hAnsi="Times New Roman"/>
          <w:sz w:val="24"/>
          <w:szCs w:val="24"/>
        </w:rPr>
        <w:t xml:space="preserve">Click </w:t>
      </w:r>
      <w:r>
        <w:rPr>
          <w:rFonts w:ascii="Times New Roman" w:cs="Times New Roman" w:eastAsia="Times New Roman" w:hAnsi="Times New Roman"/>
          <w:b/>
          <w:bCs/>
          <w:sz w:val="24"/>
          <w:szCs w:val="24"/>
        </w:rPr>
        <w:t xml:space="preserve">show historical graph presence</w:t>
      </w:r>
      <w:r>
        <w:rPr>
          <w:rFonts w:ascii="Times New Roman" w:cs="Times New Roman" w:eastAsia="Times New Roman" w:hAnsi="Times New Roman"/>
          <w:sz w:val="24"/>
          <w:szCs w:val="24"/>
        </w:rPr>
        <w:t xml:space="preserve">: the graph still records the indicator although it is no longer enforced.</w:t>
      </w:r>
    </w:p>
    <w:p>
      <w:pPr>
        <w:pStyle w:val="Heading2"/>
        <w:keepNext/>
        <w:spacing w:after="120" w:before="240"/>
      </w:pPr>
      <w:r>
        <w:rPr>
          <w:rFonts w:ascii="Times New Roman" w:cs="Times New Roman" w:eastAsia="Times New Roman" w:hAnsi="Times New Roman"/>
          <w:b/>
          <w:bCs/>
          <w:color w:val="1B4F72"/>
          <w:sz w:val="26"/>
          <w:szCs w:val="26"/>
        </w:rPr>
        <w:t xml:space="preserve">6.5  TLP filtering</w:t>
      </w:r>
    </w:p>
    <w:p>
      <w:pPr>
        <w:pStyle w:val="ListParagraph"/>
        <w:numPr>
          <w:ilvl w:val="0"/>
          <w:numId w:val="6"/>
        </w:numPr>
        <w:spacing w:after="70" w:line="300"/>
      </w:pPr>
      <w:r>
        <w:rPr>
          <w:rFonts w:ascii="Times New Roman" w:cs="Times New Roman" w:eastAsia="Times New Roman" w:hAnsi="Times New Roman"/>
          <w:sz w:val="24"/>
          <w:szCs w:val="24"/>
        </w:rPr>
        <w:t xml:space="preserve">Sign out and sign in as </w:t>
      </w:r>
      <w:r>
        <w:rPr>
          <w:rFonts w:ascii="Times New Roman" w:cs="Times New Roman" w:eastAsia="Times New Roman" w:hAnsi="Times New Roman"/>
          <w:b/>
          <w:bCs/>
          <w:sz w:val="24"/>
          <w:szCs w:val="24"/>
        </w:rPr>
        <w:t xml:space="preserve">junior</w:t>
      </w:r>
      <w:r>
        <w:rPr>
          <w:rFonts w:ascii="Times New Roman" w:cs="Times New Roman" w:eastAsia="Times New Roman" w:hAnsi="Times New Roman"/>
          <w:sz w:val="24"/>
          <w:szCs w:val="24"/>
        </w:rPr>
        <w:t xml:space="preserve"> (GREEN).</w:t>
      </w:r>
    </w:p>
    <w:p>
      <w:pPr>
        <w:pStyle w:val="ListParagraph"/>
        <w:numPr>
          <w:ilvl w:val="0"/>
          <w:numId w:val="6"/>
        </w:numPr>
        <w:spacing w:after="70" w:line="300"/>
      </w:pPr>
      <w:r>
        <w:rPr>
          <w:rFonts w:ascii="Times New Roman" w:cs="Times New Roman" w:eastAsia="Times New Roman" w:hAnsi="Times New Roman"/>
          <w:sz w:val="24"/>
          <w:szCs w:val="24"/>
        </w:rPr>
        <w:t xml:space="preserve">The report browser hides AMBER reports and shows how many are hidden.</w:t>
      </w:r>
    </w:p>
    <w:p>
      <w:pPr>
        <w:pStyle w:val="ListParagraph"/>
        <w:numPr>
          <w:ilvl w:val="0"/>
          <w:numId w:val="6"/>
        </w:numPr>
        <w:spacing w:after="70" w:line="300"/>
      </w:pPr>
      <w:r>
        <w:rPr>
          <w:rFonts w:ascii="Times New Roman" w:cs="Times New Roman" w:eastAsia="Times New Roman" w:hAnsi="Times New Roman"/>
          <w:sz w:val="24"/>
          <w:szCs w:val="24"/>
        </w:rPr>
        <w:t xml:space="preserve">Open </w:t>
      </w:r>
      <w:r>
        <w:rPr>
          <w:rFonts w:ascii="Courier New" w:cs="Courier New" w:eastAsia="Courier New" w:hAnsi="Courier New"/>
          <w:sz w:val="20"/>
          <w:szCs w:val="20"/>
        </w:rPr>
        <w:t xml:space="preserve">/reports/rpt-001</w:t>
      </w:r>
      <w:r>
        <w:rPr>
          <w:rFonts w:ascii="Times New Roman" w:cs="Times New Roman" w:eastAsia="Times New Roman" w:hAnsi="Times New Roman"/>
          <w:sz w:val="24"/>
          <w:szCs w:val="24"/>
        </w:rPr>
        <w:t xml:space="preserve">: the report is withheld. Ask the UC1 question again: AMBER reports are not used and the answer is labelled GREEN or lower.</w:t>
      </w:r>
    </w:p>
    <w:p>
      <w:pPr>
        <w:pStyle w:val="Heading2"/>
        <w:keepNext/>
        <w:spacing w:after="120" w:before="240"/>
      </w:pPr>
      <w:r>
        <w:rPr>
          <w:rFonts w:ascii="Times New Roman" w:cs="Times New Roman" w:eastAsia="Times New Roman" w:hAnsi="Times New Roman"/>
          <w:b/>
          <w:bCs/>
          <w:color w:val="1B4F72"/>
          <w:sz w:val="26"/>
          <w:szCs w:val="26"/>
        </w:rPr>
        <w:t xml:space="preserve">6.6  Ingest a STIX bundle</w:t>
      </w:r>
    </w:p>
    <w:p>
      <w:pPr>
        <w:pStyle w:val="ListParagraph"/>
        <w:numPr>
          <w:ilvl w:val="0"/>
          <w:numId w:val="7"/>
        </w:numPr>
        <w:spacing w:after="70" w:line="300"/>
      </w:pPr>
      <w:r>
        <w:rPr>
          <w:rFonts w:ascii="Times New Roman" w:cs="Times New Roman" w:eastAsia="Times New Roman" w:hAnsi="Times New Roman"/>
          <w:sz w:val="24"/>
          <w:szCs w:val="24"/>
        </w:rPr>
        <w:t xml:space="preserve">Sign in as </w:t>
      </w:r>
      <w:r>
        <w:rPr>
          <w:rFonts w:ascii="Times New Roman" w:cs="Times New Roman" w:eastAsia="Times New Roman" w:hAnsi="Times New Roman"/>
          <w:b/>
          <w:bCs/>
          <w:sz w:val="24"/>
          <w:szCs w:val="24"/>
        </w:rPr>
        <w:t xml:space="preserve">lead</w:t>
      </w:r>
      <w:r>
        <w:rPr>
          <w:rFonts w:ascii="Times New Roman" w:cs="Times New Roman" w:eastAsia="Times New Roman" w:hAnsi="Times New Roman"/>
          <w:sz w:val="24"/>
          <w:szCs w:val="24"/>
        </w:rPr>
        <w:t xml:space="preserve">, open </w:t>
      </w:r>
      <w:r>
        <w:rPr>
          <w:rFonts w:ascii="Times New Roman" w:cs="Times New Roman" w:eastAsia="Times New Roman" w:hAnsi="Times New Roman"/>
          <w:b/>
          <w:bCs/>
          <w:sz w:val="24"/>
          <w:szCs w:val="24"/>
        </w:rPr>
        <w:t xml:space="preserve">Ingest → STIX 2.1 bundle</w:t>
      </w:r>
      <w:r>
        <w:rPr>
          <w:rFonts w:ascii="Times New Roman" w:cs="Times New Roman" w:eastAsia="Times New Roman" w:hAnsi="Times New Roman"/>
          <w:sz w:val="24"/>
          <w:szCs w:val="24"/>
        </w:rPr>
        <w:t xml:space="preserve"> and choose </w:t>
      </w:r>
      <w:r>
        <w:rPr>
          <w:rFonts w:ascii="Courier New" w:cs="Courier New" w:eastAsia="Courier New" w:hAnsi="Courier New"/>
          <w:sz w:val="20"/>
          <w:szCs w:val="20"/>
        </w:rPr>
        <w:t xml:space="preserve">samples/stix_apt28_bundle.json</w:t>
      </w:r>
      <w:r>
        <w:rPr>
          <w:rFonts w:ascii="Times New Roman" w:cs="Times New Roman" w:eastAsia="Times New Roman" w:hAnsi="Times New Roman"/>
          <w:sz w:val="24"/>
          <w:szCs w:val="24"/>
        </w:rPr>
        <w:t xml:space="preserve">.</w:t>
      </w:r>
    </w:p>
    <w:p>
      <w:pPr>
        <w:pStyle w:val="ListParagraph"/>
        <w:numPr>
          <w:ilvl w:val="0"/>
          <w:numId w:val="7"/>
        </w:numPr>
        <w:spacing w:after="70" w:line="300"/>
      </w:pPr>
      <w:r>
        <w:rPr>
          <w:rFonts w:ascii="Times New Roman" w:cs="Times New Roman" w:eastAsia="Times New Roman" w:hAnsi="Times New Roman"/>
          <w:sz w:val="24"/>
          <w:szCs w:val="24"/>
        </w:rPr>
        <w:t xml:space="preserve">Tick </w:t>
      </w:r>
      <w:r>
        <w:rPr>
          <w:rFonts w:ascii="Times New Roman" w:cs="Times New Roman" w:eastAsia="Times New Roman" w:hAnsi="Times New Roman"/>
          <w:b/>
          <w:bCs/>
          <w:sz w:val="24"/>
          <w:szCs w:val="24"/>
        </w:rPr>
        <w:t xml:space="preserve">publish indicators</w:t>
      </w:r>
      <w:r>
        <w:rPr>
          <w:rFonts w:ascii="Times New Roman" w:cs="Times New Roman" w:eastAsia="Times New Roman" w:hAnsi="Times New Roman"/>
          <w:sz w:val="24"/>
          <w:szCs w:val="24"/>
        </w:rPr>
        <w:t xml:space="preserve"> and press </w:t>
      </w:r>
      <w:r>
        <w:rPr>
          <w:rFonts w:ascii="Times New Roman" w:cs="Times New Roman" w:eastAsia="Times New Roman" w:hAnsi="Times New Roman"/>
          <w:b/>
          <w:bCs/>
          <w:sz w:val="24"/>
          <w:szCs w:val="24"/>
        </w:rPr>
        <w:t xml:space="preserve">Run ingest job</w:t>
      </w:r>
      <w:r>
        <w:rPr>
          <w:rFonts w:ascii="Times New Roman" w:cs="Times New Roman" w:eastAsia="Times New Roman" w:hAnsi="Times New Roman"/>
          <w:sz w:val="24"/>
          <w:szCs w:val="24"/>
        </w:rPr>
        <w:t xml:space="preserve">; all four steps turn green.</w:t>
      </w:r>
    </w:p>
    <w:p>
      <w:pPr>
        <w:pStyle w:val="ListParagraph"/>
        <w:numPr>
          <w:ilvl w:val="0"/>
          <w:numId w:val="7"/>
        </w:numPr>
        <w:spacing w:after="70" w:line="300"/>
      </w:pPr>
      <w:r>
        <w:rPr>
          <w:rFonts w:ascii="Times New Roman" w:cs="Times New Roman" w:eastAsia="Times New Roman" w:hAnsi="Times New Roman"/>
          <w:sz w:val="24"/>
          <w:szCs w:val="24"/>
        </w:rPr>
        <w:t xml:space="preserve">Ask “diplomatic invitation lures against foreign ministries”: the new report (Embassy Lure 2024) is retrieved.</w:t>
      </w:r>
    </w:p>
    <w:p>
      <w:pPr>
        <w:pStyle w:val="Heading1"/>
        <w:pBdr>
          <w:bottom w:val="single" w:color="0F2A47" w:sz="12" w:space="4"/>
        </w:pBdr>
        <w:spacing w:after="180" w:before="320"/>
      </w:pPr>
      <w:r>
        <w:rPr>
          <w:rFonts w:ascii="Times New Roman" w:cs="Times New Roman" w:eastAsia="Times New Roman" w:hAnsi="Times New Roman"/>
          <w:b/>
          <w:bCs/>
          <w:color w:val="0F2A47"/>
          <w:sz w:val="32"/>
          <w:szCs w:val="32"/>
        </w:rPr>
        <w:t xml:space="preserve">7.  Enforcement API for Security Tools</w:t>
      </w:r>
    </w:p>
    <w:p>
      <w:pPr>
        <w:spacing w:after="160" w:line="340"/>
        <w:jc w:val="both"/>
      </w:pPr>
      <w:r>
        <w:rPr>
          <w:rFonts w:ascii="Times New Roman" w:cs="Times New Roman" w:eastAsia="Times New Roman" w:hAnsi="Times New Roman"/>
          <w:sz w:val="24"/>
          <w:szCs w:val="24"/>
        </w:rPr>
        <w:t xml:space="preserve">Firewalls, EDR and SIEM tools use a separate API that reads only the Redis blocklist. They authenticate with the </w:t>
      </w:r>
      <w:r>
        <w:rPr>
          <w:rFonts w:ascii="Courier New" w:cs="Courier New" w:eastAsia="Courier New" w:hAnsi="Courier New"/>
          <w:sz w:val="20"/>
          <w:szCs w:val="20"/>
        </w:rPr>
        <w:t xml:space="preserve">X-API-Key</w:t>
      </w:r>
      <w:r>
        <w:rPr>
          <w:rFonts w:ascii="Times New Roman" w:cs="Times New Roman" w:eastAsia="Times New Roman" w:hAnsi="Times New Roman"/>
          <w:sz w:val="24"/>
          <w:szCs w:val="24"/>
        </w:rPr>
        <w:t xml:space="preserve"> header (</w:t>
      </w:r>
      <w:r>
        <w:rPr>
          <w:rFonts w:ascii="Courier New" w:cs="Courier New" w:eastAsia="Courier New" w:hAnsi="Courier New"/>
          <w:sz w:val="20"/>
          <w:szCs w:val="20"/>
        </w:rPr>
        <w:t xml:space="preserve">CONSUMER_API_KEY</w:t>
      </w:r>
      <w:r>
        <w:rPr>
          <w:rFonts w:ascii="Times New Roman" w:cs="Times New Roman" w:eastAsia="Times New Roman" w:hAnsi="Times New Roman"/>
          <w:sz w:val="24"/>
          <w:szCs w:val="24"/>
        </w:rPr>
        <w:t xml:space="preserve"> in </w:t>
      </w:r>
      <w:r>
        <w:rPr>
          <w:rFonts w:ascii="Courier New" w:cs="Courier New" w:eastAsia="Courier New" w:hAnsi="Courier New"/>
          <w:sz w:val="20"/>
          <w:szCs w:val="20"/>
        </w:rPr>
        <w:t xml:space="preserve">.env</w:t>
      </w:r>
      <w:r>
        <w:rPr>
          <w:rFonts w:ascii="Times New Roman" w:cs="Times New Roman" w:eastAsia="Times New Roman" w:hAnsi="Times New Roman"/>
          <w:sz w:val="24"/>
          <w:szCs w:val="24"/>
        </w:rPr>
        <w:t xml:space="preserve">), not with a user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8CDD3" w:sz="4"/>
              <w:left w:val="single" w:color="C8CDD3" w:sz="4"/>
              <w:bottom w:val="single" w:color="C8CDD3" w:sz="4"/>
              <w:right w:val="single" w:color="C8CDD3" w:sz="4"/>
            </w:tcBorders>
            <w:shd w:fill="F4F5F7" w:val="clear"/>
            <w:tcMar>
              <w:top w:type="dxa" w:w="80"/>
              <w:left w:type="dxa" w:w="140"/>
              <w:bottom w:type="dxa" w:w="80"/>
              <w:right w:type="dxa" w:w="140"/>
            </w:tcMar>
          </w:tcPr>
          <w:p>
            <w:pPr>
              <w:spacing w:after="0" w:line="250"/>
            </w:pPr>
            <w:r>
              <w:rPr>
                <w:rFonts w:ascii="Courier New" w:cs="Courier New" w:eastAsia="Courier New" w:hAnsi="Courier New"/>
                <w:sz w:val="18"/>
                <w:szCs w:val="18"/>
              </w:rPr>
              <w:t xml:space="preserve">curl -H "X-API-Key: edr-consumer-key" \</w:t>
            </w:r>
          </w:p>
          <w:p>
            <w:pPr>
              <w:spacing w:after="0" w:line="250"/>
            </w:pPr>
            <w:r>
              <w:rPr>
                <w:rFonts w:ascii="Courier New" w:cs="Courier New" w:eastAsia="Courier New" w:hAnsi="Courier New"/>
                <w:sz w:val="18"/>
                <w:szCs w:val="18"/>
              </w:rPr>
              <w:t xml:space="preserve">     "http://localhost:8000/api/enforce/check?type=ip&amp;value=185.86.77.12"</w:t>
            </w:r>
          </w:p>
          <w:p>
            <w:pPr>
              <w:spacing w:after="0" w:line="250"/>
            </w:pPr>
            <w:r>
              <w:rPr>
                <w:rFonts w:ascii="Courier New" w:cs="Courier New" w:eastAsia="Courier New" w:hAnsi="Courier New"/>
                <w:sz w:val="18"/>
                <w:szCs w:val="18"/>
              </w:rPr>
              <w:t xml:space="preserve">{"blocked": true, "ttl_remaining": 604010, "severity": "high"}</w:t>
            </w:r>
          </w:p>
          <w:p>
            <w:pPr>
              <w:spacing w:after="0" w:line="250"/>
            </w:pPr>
            <w:r>
              <w:rPr>
                <w:rFonts w:ascii="Courier New" w:cs="Courier New" w:eastAsia="Courier New" w:hAnsi="Courier New"/>
                <w:sz w:val="18"/>
                <w:szCs w:val="18"/>
              </w:rPr>
              <w:t xml:space="preserve"/>
            </w:r>
          </w:p>
          <w:p>
            <w:pPr>
              <w:spacing w:after="0" w:line="250"/>
            </w:pPr>
            <w:r>
              <w:rPr>
                <w:rFonts w:ascii="Courier New" w:cs="Courier New" w:eastAsia="Courier New" w:hAnsi="Courier New"/>
                <w:sz w:val="18"/>
                <w:szCs w:val="18"/>
              </w:rPr>
              <w:t xml:space="preserve">curl -H "X-API-Key: edr-consumer-key" "http://localhost:8000/api/enforce/export?format=txt"</w:t>
            </w:r>
          </w:p>
          <w:p>
            <w:pPr>
              <w:spacing w:after="0" w:line="250"/>
            </w:pPr>
            <w:r>
              <w:rPr>
                <w:rFonts w:ascii="Courier New" w:cs="Courier New" w:eastAsia="Courier New" w:hAnsi="Courier New"/>
                <w:sz w:val="18"/>
                <w:szCs w:val="18"/>
              </w:rPr>
              <w:t xml:space="preserve">ip,185.86.77.12</w:t>
            </w:r>
          </w:p>
          <w:p>
            <w:pPr>
              <w:spacing w:after="0" w:line="250"/>
            </w:pPr>
            <w:r>
              <w:rPr>
                <w:rFonts w:ascii="Courier New" w:cs="Courier New" w:eastAsia="Courier New" w:hAnsi="Courier New"/>
                <w:sz w:val="18"/>
                <w:szCs w:val="18"/>
              </w:rPr>
              <w:t xml:space="preserve">domain,avsvmcloud.com</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Situation</w:t>
            </w:r>
          </w:p>
        </w:tc>
        <w:tc>
          <w:tcPr>
            <w:tcW w:type="dxa" w:w="70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Response</w:t>
            </w:r>
          </w:p>
        </w:tc>
      </w:tr>
      <w:tr>
        <w:trPr>
          <w:cantSplit/>
          <w:tblHeader w:val="false"/>
        </w:trPr>
        <w:tc>
          <w:tcPr>
            <w:tcW w:type="dxa" w:w="2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indicator live</w:t>
            </w:r>
          </w:p>
        </w:tc>
        <w:tc>
          <w:tcPr>
            <w:tcW w:type="dxa" w:w="7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200, blocked: true, remaining TTL and severity</w:t>
            </w:r>
          </w:p>
        </w:tc>
      </w:tr>
      <w:tr>
        <w:trPr>
          <w:cantSplit/>
          <w:tblHeader w:val="false"/>
        </w:trPr>
        <w:tc>
          <w:tcPr>
            <w:tcW w:type="dxa" w:w="2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indicator absent or expired</w:t>
            </w:r>
          </w:p>
        </w:tc>
        <w:tc>
          <w:tcPr>
            <w:tcW w:type="dxa" w:w="7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200, blocked: false — never looked up in any other database</w:t>
            </w:r>
          </w:p>
        </w:tc>
      </w:tr>
      <w:tr>
        <w:trPr>
          <w:cantSplit/>
          <w:tblHeader w:val="false"/>
        </w:trPr>
        <w:tc>
          <w:tcPr>
            <w:tcW w:type="dxa" w:w="2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wrong or missing key</w:t>
            </w:r>
          </w:p>
        </w:tc>
        <w:tc>
          <w:tcPr>
            <w:tcW w:type="dxa" w:w="7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401</w:t>
            </w:r>
          </w:p>
        </w:tc>
      </w:tr>
      <w:tr>
        <w:trPr>
          <w:cantSplit/>
          <w:tblHeader w:val="false"/>
        </w:trPr>
        <w:tc>
          <w:tcPr>
            <w:tcW w:type="dxa" w:w="2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Redis unavailable</w:t>
            </w:r>
          </w:p>
        </w:tc>
        <w:tc>
          <w:tcPr>
            <w:tcW w:type="dxa" w:w="7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503 with blocked: true and fail_closed: true — treat as block</w:t>
            </w:r>
          </w:p>
        </w:tc>
      </w:tr>
    </w:tbl>
    <w:p>
      <w:pPr>
        <w:pStyle w:val="Heading1"/>
        <w:pageBreakBefore/>
        <w:pBdr>
          <w:bottom w:val="single" w:color="0F2A47" w:sz="12" w:space="4"/>
        </w:pBdr>
        <w:spacing w:after="180" w:before="320"/>
      </w:pPr>
      <w:r>
        <w:rPr>
          <w:rFonts w:ascii="Times New Roman" w:cs="Times New Roman" w:eastAsia="Times New Roman" w:hAnsi="Times New Roman"/>
          <w:b/>
          <w:bCs/>
          <w:color w:val="0F2A47"/>
          <w:sz w:val="32"/>
          <w:szCs w:val="32"/>
        </w:rPr>
        <w:t xml:space="preserve">8.  Configuration Reference</w:t>
      </w:r>
    </w:p>
    <w:p>
      <w:pPr>
        <w:spacing w:after="160" w:line="340"/>
        <w:jc w:val="both"/>
      </w:pPr>
      <w:r>
        <w:rPr>
          <w:rFonts w:ascii="Times New Roman" w:cs="Times New Roman" w:eastAsia="Times New Roman" w:hAnsi="Times New Roman"/>
          <w:sz w:val="24"/>
          <w:szCs w:val="24"/>
        </w:rPr>
        <w:t xml:space="preserve">Settings are read from </w:t>
      </w:r>
      <w:r>
        <w:rPr>
          <w:rFonts w:ascii="Courier New" w:cs="Courier New" w:eastAsia="Courier New" w:hAnsi="Courier New"/>
          <w:sz w:val="20"/>
          <w:szCs w:val="20"/>
        </w:rPr>
        <w:t xml:space="preserve">.env</w:t>
      </w:r>
      <w:r>
        <w:rPr>
          <w:rFonts w:ascii="Times New Roman" w:cs="Times New Roman" w:eastAsia="Times New Roman" w:hAnsi="Times New Roman"/>
          <w:sz w:val="24"/>
          <w:szCs w:val="24"/>
        </w:rPr>
        <w:t xml:space="preserve"> in the project folder (copy </w:t>
      </w:r>
      <w:r>
        <w:rPr>
          <w:rFonts w:ascii="Courier New" w:cs="Courier New" w:eastAsia="Courier New" w:hAnsi="Courier New"/>
          <w:sz w:val="20"/>
          <w:szCs w:val="20"/>
        </w:rPr>
        <w:t xml:space="preserve">.env.example</w:t>
      </w:r>
      <w:r>
        <w:rPr>
          <w:rFonts w:ascii="Times New Roman" w:cs="Times New Roman" w:eastAsia="Times New Roman" w:hAnsi="Times New Roman"/>
          <w:sz w:val="24"/>
          <w:szCs w:val="24"/>
        </w:rPr>
        <w:t xml:space="preserve">). Environment variables override the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4238"/>
      </w:tblGrid>
      <w:tr>
        <w:trPr>
          <w:cantSplit/>
          <w:tblHeader/>
        </w:trPr>
        <w:tc>
          <w:tcPr>
            <w:tcW w:type="dxa" w:w="30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Setting</w:t>
            </w:r>
          </w:p>
        </w:tc>
        <w:tc>
          <w:tcPr>
            <w:tcW w:type="dxa" w:w="24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Default</w:t>
            </w:r>
          </w:p>
        </w:tc>
        <w:tc>
          <w:tcPr>
            <w:tcW w:type="dxa" w:w="42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Purpose</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NEO4J_URI / USER / PASSWORD</w:t>
            </w:r>
          </w:p>
        </w:tc>
        <w:tc>
          <w:tcPr>
            <w:tcW w:type="dxa" w:w="2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bolt://localhost:7687, neo4j, ctiplatform</w:t>
            </w:r>
          </w:p>
        </w:tc>
        <w:tc>
          <w:tcPr>
            <w:tcW w:type="dxa" w:w="42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graph store</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MONGO_URI / MONGO_DB</w:t>
            </w:r>
          </w:p>
        </w:tc>
        <w:tc>
          <w:tcPr>
            <w:tcW w:type="dxa" w:w="2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mongodb://localhost:27017, cti</w:t>
            </w:r>
          </w:p>
        </w:tc>
        <w:tc>
          <w:tcPr>
            <w:tcW w:type="dxa" w:w="42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document store</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REDIS_URL</w:t>
            </w:r>
          </w:p>
        </w:tc>
        <w:tc>
          <w:tcPr>
            <w:tcW w:type="dxa" w:w="2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redis://localhost:6379/0</w:t>
            </w:r>
          </w:p>
        </w:tc>
        <w:tc>
          <w:tcPr>
            <w:tcW w:type="dxa" w:w="42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blocklist</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QDRANT_HOST / QDRANT_PORT</w:t>
            </w:r>
          </w:p>
        </w:tc>
        <w:tc>
          <w:tcPr>
            <w:tcW w:type="dxa" w:w="2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localhost, 6333</w:t>
            </w:r>
          </w:p>
        </w:tc>
        <w:tc>
          <w:tcPr>
            <w:tcW w:type="dxa" w:w="42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vector store (embedded fallback if unreachable)</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OLLAMA_URL / OLLAMA_MODEL</w:t>
            </w:r>
          </w:p>
        </w:tc>
        <w:tc>
          <w:tcPr>
            <w:tcW w:type="dxa" w:w="2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http://localhost:11434, llama3.2:3b</w:t>
            </w:r>
          </w:p>
        </w:tc>
        <w:tc>
          <w:tcPr>
            <w:tcW w:type="dxa" w:w="42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local language model</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LLM_TIMEOUT_S</w:t>
            </w:r>
          </w:p>
        </w:tc>
        <w:tc>
          <w:tcPr>
            <w:tcW w:type="dxa" w:w="2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60</w:t>
            </w:r>
          </w:p>
        </w:tc>
        <w:tc>
          <w:tcPr>
            <w:tcW w:type="dxa" w:w="42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give up on the model after this many seconds (retrieve-only answer)</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EMBEDDER / OLLAMA_EMBED_MODEL</w:t>
            </w:r>
          </w:p>
        </w:tc>
        <w:tc>
          <w:tcPr>
            <w:tcW w:type="dxa" w:w="2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tfidf, nomic-embed-text</w:t>
            </w:r>
          </w:p>
        </w:tc>
        <w:tc>
          <w:tcPr>
            <w:tcW w:type="dxa" w:w="42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offline TF-IDF embeddings, or a neural model via Ollama</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JWT_SECRET</w:t>
            </w:r>
          </w:p>
        </w:tc>
        <w:tc>
          <w:tcPr>
            <w:tcW w:type="dxa" w:w="2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change-me…</w:t>
            </w:r>
          </w:p>
        </w:tc>
        <w:tc>
          <w:tcPr>
            <w:tcW w:type="dxa" w:w="42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signs sessions — change outside a lab</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CONSUMER_API_KEY</w:t>
            </w:r>
          </w:p>
        </w:tc>
        <w:tc>
          <w:tcPr>
            <w:tcW w:type="dxa" w:w="2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edr-consumer-key</w:t>
            </w:r>
          </w:p>
        </w:tc>
        <w:tc>
          <w:tcPr>
            <w:tcW w:type="dxa" w:w="42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key for the enforcement API — change outside a lab</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CORS_ORIGINS</w:t>
            </w:r>
          </w:p>
        </w:tc>
        <w:tc>
          <w:tcPr>
            <w:tcW w:type="dxa" w:w="2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http://localhost:5173,…</w:t>
            </w:r>
          </w:p>
        </w:tc>
        <w:tc>
          <w:tcPr>
            <w:tcW w:type="dxa" w:w="42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browser origins allowed to call the API</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MAX_HOPS / HUB_DEGREE_THRESHOLD / MAX_NEIGHBOURS_PER_NODE</w:t>
            </w:r>
          </w:p>
        </w:tc>
        <w:tc>
          <w:tcPr>
            <w:tcW w:type="dxa" w:w="2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3, 5, 12</w:t>
            </w:r>
          </w:p>
        </w:tc>
        <w:tc>
          <w:tcPr>
            <w:tcW w:type="dxa" w:w="42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graph expansion limits and when a tool counts as a commodity hub</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VECTOR_TOP_K / MIN_CITATION_COVERAGE</w:t>
            </w:r>
          </w:p>
        </w:tc>
        <w:tc>
          <w:tcPr>
            <w:tcW w:type="dxa" w:w="2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6, 0.5</w:t>
            </w:r>
          </w:p>
        </w:tc>
        <w:tc>
          <w:tcPr>
            <w:tcW w:type="dxa" w:w="42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passages per question; refusal threshold</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LLM_MAX_FACTS / DOCS / DOC_CHARS / MAX_IOCS</w:t>
            </w:r>
          </w:p>
        </w:tc>
        <w:tc>
          <w:tcPr>
            <w:tcW w:type="dxa" w:w="2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30, 6, 300, 12</w:t>
            </w:r>
          </w:p>
        </w:tc>
        <w:tc>
          <w:tcPr>
            <w:tcW w:type="dxa" w:w="42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how much evidence the model sees (more = slower, fuller)</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LLM_NUM_PREDICT / LLM_KEEP_ALIVE</w:t>
            </w:r>
          </w:p>
        </w:tc>
        <w:tc>
          <w:tcPr>
            <w:tcW w:type="dxa" w:w="2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320, 30m</w:t>
            </w:r>
          </w:p>
        </w:tc>
        <w:tc>
          <w:tcPr>
            <w:tcW w:type="dxa" w:w="42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answer length cap; how long the model stays loaded</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AUTO_SEED</w:t>
            </w:r>
          </w:p>
        </w:tc>
        <w:tc>
          <w:tcPr>
            <w:tcW w:type="dxa" w:w="2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true</w:t>
            </w:r>
          </w:p>
        </w:tc>
        <w:tc>
          <w:tcPr>
            <w:tcW w:type="dxa" w:w="42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load the seed corpus when the stores are empty</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DATA_DIR</w:t>
            </w:r>
          </w:p>
        </w:tc>
        <w:tc>
          <w:tcPr>
            <w:tcW w:type="dxa" w:w="2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backend/data</w:t>
            </w:r>
          </w:p>
        </w:tc>
        <w:tc>
          <w:tcPr>
            <w:tcW w:type="dxa" w:w="42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fitted embedder and embedded-Qdrant files</w:t>
            </w:r>
          </w:p>
        </w:tc>
      </w:tr>
    </w:tbl>
    <w:p>
      <w:pPr>
        <w:pStyle w:val="Heading1"/>
        <w:pBdr>
          <w:bottom w:val="single" w:color="0F2A47" w:sz="12" w:space="4"/>
        </w:pBdr>
        <w:spacing w:after="180" w:before="320"/>
      </w:pPr>
      <w:r>
        <w:rPr>
          <w:rFonts w:ascii="Times New Roman" w:cs="Times New Roman" w:eastAsia="Times New Roman" w:hAnsi="Times New Roman"/>
          <w:b/>
          <w:bCs/>
          <w:color w:val="0F2A47"/>
          <w:sz w:val="32"/>
          <w:szCs w:val="32"/>
        </w:rPr>
        <w:t xml:space="preserve">9.  Administration and Maintenance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Task</w:t>
            </w:r>
          </w:p>
        </w:tc>
        <w:tc>
          <w:tcPr>
            <w:tcW w:type="dxa" w:w="63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How</w:t>
            </w:r>
          </w:p>
        </w:tc>
      </w:tr>
      <w:tr>
        <w:trPr>
          <w:cantSplit/>
          <w:tblHeader w:val="false"/>
        </w:trPr>
        <w:tc>
          <w:tcPr>
            <w:tcW w:type="dxa" w:w="3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Restore the demo data and fresh TTLs</w:t>
            </w:r>
          </w:p>
        </w:tc>
        <w:tc>
          <w:tcPr>
            <w:tcW w:type="dxa" w:w="63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Courier New" w:cs="Courier New" w:eastAsia="Courier New" w:hAnsi="Courier New"/>
                <w:sz w:val="17"/>
                <w:szCs w:val="17"/>
              </w:rPr>
              <w:t xml:space="preserve">make seed</w:t>
            </w:r>
            <w:r>
              <w:rPr>
                <w:rFonts w:ascii="Times New Roman" w:cs="Times New Roman" w:eastAsia="Times New Roman" w:hAnsi="Times New Roman"/>
                <w:b w:val="false"/>
                <w:bCs w:val="false"/>
                <w:sz w:val="19"/>
                <w:szCs w:val="19"/>
              </w:rPr>
              <w:t xml:space="preserve"> or Operations → re-seed (removes ingested data)</w:t>
            </w:r>
          </w:p>
        </w:tc>
      </w:tr>
      <w:tr>
        <w:trPr>
          <w:cantSplit/>
          <w:tblHeader w:val="false"/>
        </w:trPr>
        <w:tc>
          <w:tcPr>
            <w:tcW w:type="dxa" w:w="3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Rebuild the vector index</w:t>
            </w:r>
          </w:p>
        </w:tc>
        <w:tc>
          <w:tcPr>
            <w:tcW w:type="dxa" w:w="63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Operations → rebuild vector index, or POST /api/admin/reindex (needed after changing EMBEDDER)</w:t>
            </w:r>
          </w:p>
        </w:tc>
      </w:tr>
      <w:tr>
        <w:trPr>
          <w:cantSplit/>
          <w:tblHeader w:val="false"/>
        </w:trPr>
        <w:tc>
          <w:tcPr>
            <w:tcW w:type="dxa" w:w="3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Restore the snapshots</w:t>
            </w:r>
          </w:p>
        </w:tc>
        <w:tc>
          <w:tcPr>
            <w:tcW w:type="dxa" w:w="63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Courier New" w:cs="Courier New" w:eastAsia="Courier New" w:hAnsi="Courier New"/>
                <w:sz w:val="17"/>
                <w:szCs w:val="17"/>
              </w:rPr>
              <w:t xml:space="preserve">./scripts/restore_databases.sh dumps</w:t>
            </w:r>
            <w:r>
              <w:rPr>
                <w:rFonts w:ascii="Times New Roman" w:cs="Times New Roman" w:eastAsia="Times New Roman" w:hAnsi="Times New Roman"/>
                <w:b w:val="false"/>
                <w:bCs w:val="false"/>
                <w:sz w:val="19"/>
                <w:szCs w:val="19"/>
              </w:rPr>
              <w:t xml:space="preserve"> (seed mode: </w:t>
            </w:r>
            <w:r>
              <w:rPr>
                <w:rFonts w:ascii="Courier New" w:cs="Courier New" w:eastAsia="Courier New" w:hAnsi="Courier New"/>
                <w:sz w:val="17"/>
                <w:szCs w:val="17"/>
              </w:rPr>
              <w:t xml:space="preserve">… seed</w:t>
            </w:r>
            <w:r>
              <w:rPr>
                <w:rFonts w:ascii="Times New Roman" w:cs="Times New Roman" w:eastAsia="Times New Roman" w:hAnsi="Times New Roman"/>
                <w:b w:val="false"/>
                <w:bCs w:val="false"/>
                <w:sz w:val="19"/>
                <w:szCs w:val="19"/>
              </w:rPr>
              <w:t xml:space="preserve">)</w:t>
            </w:r>
          </w:p>
        </w:tc>
      </w:tr>
      <w:tr>
        <w:trPr>
          <w:cantSplit/>
          <w:tblHeader w:val="false"/>
        </w:trPr>
        <w:tc>
          <w:tcPr>
            <w:tcW w:type="dxa" w:w="3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Run the tests</w:t>
            </w:r>
          </w:p>
        </w:tc>
        <w:tc>
          <w:tcPr>
            <w:tcW w:type="dxa" w:w="63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Courier New" w:cs="Courier New" w:eastAsia="Courier New" w:hAnsi="Courier New"/>
                <w:sz w:val="17"/>
                <w:szCs w:val="17"/>
              </w:rPr>
              <w:t xml:space="preserve">make test</w:t>
            </w:r>
            <w:r>
              <w:rPr>
                <w:rFonts w:ascii="Times New Roman" w:cs="Times New Roman" w:eastAsia="Times New Roman" w:hAnsi="Times New Roman"/>
                <w:b w:val="false"/>
                <w:bCs w:val="false"/>
                <w:sz w:val="19"/>
                <w:szCs w:val="19"/>
              </w:rPr>
              <w:t xml:space="preserve">; with the stores running, </w:t>
            </w:r>
            <w:r>
              <w:rPr>
                <w:rFonts w:ascii="Courier New" w:cs="Courier New" w:eastAsia="Courier New" w:hAnsi="Courier New"/>
                <w:sz w:val="17"/>
                <w:szCs w:val="17"/>
              </w:rPr>
              <w:t xml:space="preserve">make test-integration</w:t>
            </w:r>
          </w:p>
        </w:tc>
      </w:tr>
      <w:tr>
        <w:trPr>
          <w:cantSplit/>
          <w:tblHeader w:val="false"/>
        </w:trPr>
        <w:tc>
          <w:tcPr>
            <w:tcW w:type="dxa" w:w="3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Check answer quality and SLOs</w:t>
            </w:r>
          </w:p>
        </w:tc>
        <w:tc>
          <w:tcPr>
            <w:tcW w:type="dxa" w:w="63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Courier New" w:cs="Courier New" w:eastAsia="Courier New" w:hAnsi="Courier New"/>
                <w:sz w:val="17"/>
                <w:szCs w:val="17"/>
              </w:rPr>
              <w:t xml:space="preserve">make eval-check</w:t>
            </w:r>
            <w:r>
              <w:rPr>
                <w:rFonts w:ascii="Times New Roman" w:cs="Times New Roman" w:eastAsia="Times New Roman" w:hAnsi="Times New Roman"/>
                <w:b w:val="false"/>
                <w:bCs w:val="false"/>
                <w:sz w:val="19"/>
                <w:szCs w:val="19"/>
              </w:rPr>
              <w:t xml:space="preserve"> (fails if a gold fact or report is missed)</w:t>
            </w:r>
          </w:p>
        </w:tc>
      </w:tr>
      <w:tr>
        <w:trPr>
          <w:cantSplit/>
          <w:tblHeader w:val="false"/>
        </w:trPr>
        <w:tc>
          <w:tcPr>
            <w:tcW w:type="dxa" w:w="3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Benchmark</w:t>
            </w:r>
          </w:p>
        </w:tc>
        <w:tc>
          <w:tcPr>
            <w:tcW w:type="dxa" w:w="63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Courier New" w:cs="Courier New" w:eastAsia="Courier New" w:hAnsi="Courier New"/>
                <w:sz w:val="17"/>
                <w:szCs w:val="17"/>
              </w:rPr>
              <w:t xml:space="preserve">docker compose --profile app stop</w:t>
            </w:r>
            <w:r>
              <w:rPr>
                <w:rFonts w:ascii="Times New Roman" w:cs="Times New Roman" w:eastAsia="Times New Roman" w:hAnsi="Times New Roman"/>
                <w:b w:val="false"/>
                <w:bCs w:val="false"/>
                <w:sz w:val="19"/>
                <w:szCs w:val="19"/>
              </w:rPr>
              <w:t xml:space="preserve">, then </w:t>
            </w:r>
            <w:r>
              <w:rPr>
                <w:rFonts w:ascii="Courier New" w:cs="Courier New" w:eastAsia="Courier New" w:hAnsi="Courier New"/>
                <w:sz w:val="17"/>
                <w:szCs w:val="17"/>
              </w:rPr>
              <w:t xml:space="preserve">make bench</w:t>
            </w:r>
            <w:r>
              <w:rPr>
                <w:rFonts w:ascii="Times New Roman" w:cs="Times New Roman" w:eastAsia="Times New Roman" w:hAnsi="Times New Roman"/>
                <w:b w:val="false"/>
                <w:bCs w:val="false"/>
                <w:sz w:val="19"/>
                <w:szCs w:val="19"/>
              </w:rPr>
              <w:t xml:space="preserve"> (uses its own throwaway stores)</w:t>
            </w:r>
          </w:p>
        </w:tc>
      </w:tr>
      <w:tr>
        <w:trPr>
          <w:cantSplit/>
          <w:tblHeader w:val="false"/>
        </w:trPr>
        <w:tc>
          <w:tcPr>
            <w:tcW w:type="dxa" w:w="3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Change the model</w:t>
            </w:r>
          </w:p>
        </w:tc>
        <w:tc>
          <w:tcPr>
            <w:tcW w:type="dxa" w:w="63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Courier New" w:cs="Courier New" w:eastAsia="Courier New" w:hAnsi="Courier New"/>
                <w:sz w:val="17"/>
                <w:szCs w:val="17"/>
              </w:rPr>
              <w:t xml:space="preserve">ollama pull &lt;model&gt;</w:t>
            </w:r>
            <w:r>
              <w:rPr>
                <w:rFonts w:ascii="Times New Roman" w:cs="Times New Roman" w:eastAsia="Times New Roman" w:hAnsi="Times New Roman"/>
                <w:b w:val="false"/>
                <w:bCs w:val="false"/>
                <w:sz w:val="19"/>
                <w:szCs w:val="19"/>
              </w:rPr>
              <w:t xml:space="preserve">, set OLLAMA_MODEL, restart the API</w:t>
            </w:r>
          </w:p>
        </w:tc>
      </w:tr>
      <w:tr>
        <w:trPr>
          <w:cantSplit/>
          <w:tblHeader w:val="false"/>
        </w:trPr>
        <w:tc>
          <w:tcPr>
            <w:tcW w:type="dxa" w:w="3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Logs</w:t>
            </w:r>
          </w:p>
        </w:tc>
        <w:tc>
          <w:tcPr>
            <w:tcW w:type="dxa" w:w="63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Courier New" w:cs="Courier New" w:eastAsia="Courier New" w:hAnsi="Courier New"/>
                <w:sz w:val="17"/>
                <w:szCs w:val="17"/>
              </w:rPr>
              <w:t xml:space="preserve">docker logs cti-api</w:t>
            </w:r>
            <w:r>
              <w:rPr>
                <w:rFonts w:ascii="Times New Roman" w:cs="Times New Roman" w:eastAsia="Times New Roman" w:hAnsi="Times New Roman"/>
                <w:b w:val="false"/>
                <w:bCs w:val="false"/>
                <w:sz w:val="19"/>
                <w:szCs w:val="19"/>
              </w:rPr>
              <w:t xml:space="preserve">, or the terminal running </w:t>
            </w:r>
            <w:r>
              <w:rPr>
                <w:rFonts w:ascii="Courier New" w:cs="Courier New" w:eastAsia="Courier New" w:hAnsi="Courier New"/>
                <w:sz w:val="17"/>
                <w:szCs w:val="17"/>
              </w:rPr>
              <w:t xml:space="preserve">make api</w:t>
            </w:r>
          </w:p>
        </w:tc>
      </w:tr>
      <w:tr>
        <w:trPr>
          <w:cantSplit/>
          <w:tblHeader w:val="false"/>
        </w:trPr>
        <w:tc>
          <w:tcPr>
            <w:tcW w:type="dxa" w:w="3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Stop everything</w:t>
            </w:r>
          </w:p>
        </w:tc>
        <w:tc>
          <w:tcPr>
            <w:tcW w:type="dxa" w:w="63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Courier New" w:cs="Courier New" w:eastAsia="Courier New" w:hAnsi="Courier New"/>
                <w:sz w:val="17"/>
                <w:szCs w:val="17"/>
              </w:rPr>
              <w:t xml:space="preserve">docker compose --profile app down</w:t>
            </w:r>
            <w:r>
              <w:rPr>
                <w:rFonts w:ascii="Times New Roman" w:cs="Times New Roman" w:eastAsia="Times New Roman" w:hAnsi="Times New Roman"/>
                <w:b w:val="false"/>
                <w:bCs w:val="false"/>
                <w:sz w:val="19"/>
                <w:szCs w:val="19"/>
              </w:rPr>
              <w:t xml:space="preserve"> (data volumes are kept; add </w:t>
            </w:r>
            <w:r>
              <w:rPr>
                <w:rFonts w:ascii="Courier New" w:cs="Courier New" w:eastAsia="Courier New" w:hAnsi="Courier New"/>
                <w:sz w:val="17"/>
                <w:szCs w:val="17"/>
              </w:rPr>
              <w:t xml:space="preserve">-v</w:t>
            </w:r>
            <w:r>
              <w:rPr>
                <w:rFonts w:ascii="Times New Roman" w:cs="Times New Roman" w:eastAsia="Times New Roman" w:hAnsi="Times New Roman"/>
                <w:b w:val="false"/>
                <w:bCs w:val="false"/>
                <w:sz w:val="19"/>
                <w:szCs w:val="19"/>
              </w:rPr>
              <w:t xml:space="preserve"> to delete them)</w:t>
            </w:r>
          </w:p>
        </w:tc>
      </w:tr>
    </w:tbl>
    <w:p>
      <w:pPr>
        <w:pStyle w:val="Heading1"/>
        <w:pBdr>
          <w:bottom w:val="single" w:color="0F2A47" w:sz="12" w:space="4"/>
        </w:pBdr>
        <w:spacing w:after="180" w:before="320"/>
      </w:pPr>
      <w:r>
        <w:rPr>
          <w:rFonts w:ascii="Times New Roman" w:cs="Times New Roman" w:eastAsia="Times New Roman" w:hAnsi="Times New Roman"/>
          <w:b/>
          <w:bCs/>
          <w:color w:val="0F2A47"/>
          <w:sz w:val="32"/>
          <w:szCs w:val="32"/>
        </w:rPr>
        <w:t xml:space="preserve">10.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200"/>
        <w:gridCol w:w="3538"/>
      </w:tblGrid>
      <w:tr>
        <w:trPr>
          <w:cantSplit/>
          <w:tblHeader/>
        </w:trPr>
        <w:tc>
          <w:tcPr>
            <w:tcW w:type="dxa" w:w="29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Symptom</w:t>
            </w:r>
          </w:p>
        </w:tc>
        <w:tc>
          <w:tcPr>
            <w:tcW w:type="dxa" w:w="32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Likely cause</w:t>
            </w:r>
          </w:p>
        </w:tc>
        <w:tc>
          <w:tcPr>
            <w:tcW w:type="dxa" w:w="35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Fix</w:t>
            </w:r>
          </w:p>
        </w:tc>
      </w:tr>
      <w:tr>
        <w:trPr>
          <w:cantSplit/>
          <w:tblHeader w:val="false"/>
        </w:trPr>
        <w:tc>
          <w:tcPr>
            <w:tcW w:type="dxa" w:w="2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Console shows a red neo4j dot after start</w:t>
            </w:r>
          </w:p>
        </w:tc>
        <w:tc>
          <w:tcPr>
            <w:tcW w:type="dxa" w:w="3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Neo4j needs ~30 s to start</w:t>
            </w:r>
          </w:p>
        </w:tc>
        <w:tc>
          <w:tcPr>
            <w:tcW w:type="dxa" w:w="35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wait; check </w:t>
            </w:r>
            <w:r>
              <w:rPr>
                <w:rFonts w:ascii="Courier New" w:cs="Courier New" w:eastAsia="Courier New" w:hAnsi="Courier New"/>
                <w:sz w:val="16"/>
                <w:szCs w:val="16"/>
              </w:rPr>
              <w:t xml:space="preserve">docker compose ps</w:t>
            </w:r>
            <w:r>
              <w:rPr>
                <w:rFonts w:ascii="Times New Roman" w:cs="Times New Roman" w:eastAsia="Times New Roman" w:hAnsi="Times New Roman"/>
                <w:b w:val="false"/>
                <w:bCs w:val="false"/>
                <w:sz w:val="18"/>
                <w:szCs w:val="18"/>
              </w:rPr>
              <w:t xml:space="preserve"> until healthy</w:t>
            </w:r>
          </w:p>
        </w:tc>
      </w:tr>
      <w:tr>
        <w:trPr>
          <w:cantSplit/>
          <w:tblHeader w:val="false"/>
        </w:trPr>
        <w:tc>
          <w:tcPr>
            <w:tcW w:type="dxa" w:w="2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llm dot red, answers say retrieve-only</w:t>
            </w:r>
          </w:p>
        </w:tc>
        <w:tc>
          <w:tcPr>
            <w:tcW w:type="dxa" w:w="32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Ollama not running or model not pulled (the tag must match exactly)</w:t>
            </w:r>
          </w:p>
        </w:tc>
        <w:tc>
          <w:tcPr>
            <w:tcW w:type="dxa" w:w="35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start Ollama; </w:t>
            </w:r>
            <w:r>
              <w:rPr>
                <w:rFonts w:ascii="Courier New" w:cs="Courier New" w:eastAsia="Courier New" w:hAnsi="Courier New"/>
                <w:sz w:val="16"/>
                <w:szCs w:val="16"/>
              </w:rPr>
              <w:t xml:space="preserve">ollama pull llama3.2:3b</w:t>
            </w:r>
          </w:p>
        </w:tc>
      </w:tr>
      <w:tr>
        <w:trPr>
          <w:cantSplit/>
          <w:tblHeader w:val="false"/>
        </w:trPr>
        <w:tc>
          <w:tcPr>
            <w:tcW w:type="dxa" w:w="2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Answers are slow (&gt; 15 s)</w:t>
            </w:r>
          </w:p>
        </w:tc>
        <w:tc>
          <w:tcPr>
            <w:tcW w:type="dxa" w:w="3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a large model, or the model was unloaded</w:t>
            </w:r>
          </w:p>
        </w:tc>
        <w:tc>
          <w:tcPr>
            <w:tcW w:type="dxa" w:w="35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use llama3.2:3b; keep LLM_KEEP_ALIVE; lower LLM_MAX_* settings</w:t>
            </w:r>
          </w:p>
        </w:tc>
      </w:tr>
      <w:tr>
        <w:trPr>
          <w:cantSplit/>
          <w:tblHeader w:val="false"/>
        </w:trPr>
        <w:tc>
          <w:tcPr>
            <w:tcW w:type="dxa" w:w="2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“Insufficient evidence…”</w:t>
            </w:r>
          </w:p>
        </w:tc>
        <w:tc>
          <w:tcPr>
            <w:tcW w:type="dxa" w:w="32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the evidence did not support any cited sentence</w:t>
            </w:r>
          </w:p>
        </w:tc>
        <w:tc>
          <w:tcPr>
            <w:tcW w:type="dxa" w:w="35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rephrase with entity names, increase hops or top-k</w:t>
            </w:r>
          </w:p>
        </w:tc>
      </w:tr>
      <w:tr>
        <w:trPr>
          <w:cantSplit/>
          <w:tblHeader w:val="false"/>
        </w:trPr>
        <w:tc>
          <w:tcPr>
            <w:tcW w:type="dxa" w:w="2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Blocklist almost empty</w:t>
            </w:r>
          </w:p>
        </w:tc>
        <w:tc>
          <w:tcPr>
            <w:tcW w:type="dxa" w:w="3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seeded TTLs expired (days later)</w:t>
            </w:r>
          </w:p>
        </w:tc>
        <w:tc>
          <w:tcPr>
            <w:tcW w:type="dxa" w:w="35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Courier New" w:cs="Courier New" w:eastAsia="Courier New" w:hAnsi="Courier New"/>
                <w:sz w:val="16"/>
                <w:szCs w:val="16"/>
              </w:rPr>
              <w:t xml:space="preserve">make seed</w:t>
            </w:r>
          </w:p>
        </w:tc>
      </w:tr>
      <w:tr>
        <w:trPr>
          <w:cantSplit/>
          <w:tblHeader w:val="false"/>
        </w:trPr>
        <w:tc>
          <w:tcPr>
            <w:tcW w:type="dxa" w:w="2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Port 8000 or 5173 in use</w:t>
            </w:r>
          </w:p>
        </w:tc>
        <w:tc>
          <w:tcPr>
            <w:tcW w:type="dxa" w:w="32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both the containerised and local app are running</w:t>
            </w:r>
          </w:p>
        </w:tc>
        <w:tc>
          <w:tcPr>
            <w:tcW w:type="dxa" w:w="35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Courier New" w:cs="Courier New" w:eastAsia="Courier New" w:hAnsi="Courier New"/>
                <w:sz w:val="16"/>
                <w:szCs w:val="16"/>
              </w:rPr>
              <w:t xml:space="preserve">docker compose --profile app stop</w:t>
            </w:r>
            <w:r>
              <w:rPr>
                <w:rFonts w:ascii="Times New Roman" w:cs="Times New Roman" w:eastAsia="Times New Roman" w:hAnsi="Times New Roman"/>
                <w:b w:val="false"/>
                <w:bCs w:val="false"/>
                <w:sz w:val="18"/>
                <w:szCs w:val="18"/>
              </w:rPr>
              <w:t xml:space="preserve">, or stop </w:t>
            </w:r>
            <w:r>
              <w:rPr>
                <w:rFonts w:ascii="Courier New" w:cs="Courier New" w:eastAsia="Courier New" w:hAnsi="Courier New"/>
                <w:sz w:val="16"/>
                <w:szCs w:val="16"/>
              </w:rPr>
              <w:t xml:space="preserve">make api</w:t>
            </w:r>
            <w:r>
              <w:rPr>
                <w:rFonts w:ascii="Times New Roman" w:cs="Times New Roman" w:eastAsia="Times New Roman" w:hAnsi="Times New Roman"/>
                <w:b w:val="false"/>
                <w:bCs w:val="false"/>
                <w:sz w:val="18"/>
                <w:szCs w:val="18"/>
              </w:rPr>
              <w:t xml:space="preserve"> / </w:t>
            </w:r>
            <w:r>
              <w:rPr>
                <w:rFonts w:ascii="Courier New" w:cs="Courier New" w:eastAsia="Courier New" w:hAnsi="Courier New"/>
                <w:sz w:val="16"/>
                <w:szCs w:val="16"/>
              </w:rPr>
              <w:t xml:space="preserve">make web</w:t>
            </w:r>
          </w:p>
        </w:tc>
      </w:tr>
      <w:tr>
        <w:trPr>
          <w:cantSplit/>
          <w:tblHeader w:val="false"/>
        </w:trPr>
        <w:tc>
          <w:tcPr>
            <w:tcW w:type="dxa" w:w="2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403 when opening a report</w:t>
            </w:r>
          </w:p>
        </w:tc>
        <w:tc>
          <w:tcPr>
            <w:tcW w:type="dxa" w:w="3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report TLP above your clearance</w:t>
            </w:r>
          </w:p>
        </w:tc>
        <w:tc>
          <w:tcPr>
            <w:tcW w:type="dxa" w:w="35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sign in with a higher clearance</w:t>
            </w:r>
          </w:p>
        </w:tc>
      </w:tr>
      <w:tr>
        <w:trPr>
          <w:cantSplit/>
          <w:tblHeader w:val="false"/>
        </w:trPr>
        <w:tc>
          <w:tcPr>
            <w:tcW w:type="dxa" w:w="2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Enforcement API returns 503</w:t>
            </w:r>
          </w:p>
        </w:tc>
        <w:tc>
          <w:tcPr>
            <w:tcW w:type="dxa" w:w="32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Redis is down — the API fails closed</w:t>
            </w:r>
          </w:p>
        </w:tc>
        <w:tc>
          <w:tcPr>
            <w:tcW w:type="dxa" w:w="35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restart Redis (</w:t>
            </w:r>
            <w:r>
              <w:rPr>
                <w:rFonts w:ascii="Courier New" w:cs="Courier New" w:eastAsia="Courier New" w:hAnsi="Courier New"/>
                <w:sz w:val="16"/>
                <w:szCs w:val="16"/>
              </w:rPr>
              <w:t xml:space="preserve">docker compose up -d redis</w:t>
            </w:r>
            <w:r>
              <w:rPr>
                <w:rFonts w:ascii="Times New Roman" w:cs="Times New Roman" w:eastAsia="Times New Roman" w:hAnsi="Times New Roman"/>
                <w:b w:val="false"/>
                <w:bCs w:val="false"/>
                <w:sz w:val="18"/>
                <w:szCs w:val="18"/>
              </w:rPr>
              <w:t xml:space="preserve">)</w:t>
            </w:r>
          </w:p>
        </w:tc>
      </w:tr>
      <w:tr>
        <w:trPr>
          <w:cantSplit/>
          <w:tblHeader w:val="false"/>
        </w:trPr>
        <w:tc>
          <w:tcPr>
            <w:tcW w:type="dxa" w:w="2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Semantic search returns nothing</w:t>
            </w:r>
          </w:p>
        </w:tc>
        <w:tc>
          <w:tcPr>
            <w:tcW w:type="dxa" w:w="3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vector collection missing</w:t>
            </w:r>
          </w:p>
        </w:tc>
        <w:tc>
          <w:tcPr>
            <w:tcW w:type="dxa" w:w="35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Operations → rebuild vector index</w:t>
            </w:r>
          </w:p>
        </w:tc>
      </w:tr>
      <w:tr>
        <w:trPr>
          <w:cantSplit/>
          <w:tblHeader w:val="false"/>
        </w:trPr>
        <w:tc>
          <w:tcPr>
            <w:tcW w:type="dxa" w:w="2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Storage folder … already accessed</w:t>
            </w:r>
          </w:p>
        </w:tc>
        <w:tc>
          <w:tcPr>
            <w:tcW w:type="dxa" w:w="32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two processes using embedded Qdrant</w:t>
            </w:r>
          </w:p>
        </w:tc>
        <w:tc>
          <w:tcPr>
            <w:tcW w:type="dxa" w:w="35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start the Qdrant container, or run a single API process</w:t>
            </w:r>
          </w:p>
        </w:tc>
      </w:tr>
    </w:tbl>
    <w:p>
      <w:pPr>
        <w:pStyle w:val="Heading1"/>
        <w:pBdr>
          <w:bottom w:val="single" w:color="0F2A47" w:sz="12" w:space="4"/>
        </w:pBdr>
        <w:spacing w:after="180" w:before="320"/>
      </w:pPr>
      <w:r>
        <w:rPr>
          <w:rFonts w:ascii="Times New Roman" w:cs="Times New Roman" w:eastAsia="Times New Roman" w:hAnsi="Times New Roman"/>
          <w:b/>
          <w:bCs/>
          <w:color w:val="0F2A47"/>
          <w:sz w:val="32"/>
          <w:szCs w:val="32"/>
        </w:rPr>
        <w:t xml:space="preserve">11.  Glossary</w:t>
      </w:r>
    </w:p>
    <w:p>
      <w:pPr>
        <w:pStyle w:val="ListParagraph"/>
        <w:numPr>
          <w:ilvl w:val="0"/>
          <w:numId w:val="8"/>
        </w:numPr>
        <w:spacing w:after="70" w:line="300"/>
      </w:pPr>
      <w:r>
        <w:rPr>
          <w:rFonts w:ascii="Times New Roman" w:cs="Times New Roman" w:eastAsia="Times New Roman" w:hAnsi="Times New Roman"/>
          <w:b/>
          <w:bCs/>
          <w:sz w:val="24"/>
          <w:szCs w:val="24"/>
        </w:rPr>
        <w:t xml:space="preserve">CTI — </w:t>
      </w:r>
      <w:r>
        <w:rPr>
          <w:rFonts w:ascii="Times New Roman" w:cs="Times New Roman" w:eastAsia="Times New Roman" w:hAnsi="Times New Roman"/>
          <w:sz w:val="24"/>
          <w:szCs w:val="24"/>
        </w:rPr>
        <w:t xml:space="preserve">cyber threat intelligence: knowledge about threat actors, their tools, infrastructure and behaviour</w:t>
      </w:r>
    </w:p>
    <w:p>
      <w:pPr>
        <w:pStyle w:val="ListParagraph"/>
        <w:numPr>
          <w:ilvl w:val="0"/>
          <w:numId w:val="8"/>
        </w:numPr>
        <w:spacing w:after="70" w:line="300"/>
      </w:pPr>
      <w:r>
        <w:rPr>
          <w:rFonts w:ascii="Times New Roman" w:cs="Times New Roman" w:eastAsia="Times New Roman" w:hAnsi="Times New Roman"/>
          <w:b/>
          <w:bCs/>
          <w:sz w:val="24"/>
          <w:szCs w:val="24"/>
        </w:rPr>
        <w:t xml:space="preserve">IOC — </w:t>
      </w:r>
      <w:r>
        <w:rPr>
          <w:rFonts w:ascii="Times New Roman" w:cs="Times New Roman" w:eastAsia="Times New Roman" w:hAnsi="Times New Roman"/>
          <w:sz w:val="24"/>
          <w:szCs w:val="24"/>
        </w:rPr>
        <w:t xml:space="preserve">indicator of compromise: an IP, domain, URL or file hash associated with malicious activity</w:t>
      </w:r>
    </w:p>
    <w:p>
      <w:pPr>
        <w:pStyle w:val="ListParagraph"/>
        <w:numPr>
          <w:ilvl w:val="0"/>
          <w:numId w:val="8"/>
        </w:numPr>
        <w:spacing w:after="70" w:line="300"/>
      </w:pPr>
      <w:r>
        <w:rPr>
          <w:rFonts w:ascii="Times New Roman" w:cs="Times New Roman" w:eastAsia="Times New Roman" w:hAnsi="Times New Roman"/>
          <w:b/>
          <w:bCs/>
          <w:sz w:val="24"/>
          <w:szCs w:val="24"/>
        </w:rPr>
        <w:t xml:space="preserve">TTL — </w:t>
      </w:r>
      <w:r>
        <w:rPr>
          <w:rFonts w:ascii="Times New Roman" w:cs="Times New Roman" w:eastAsia="Times New Roman" w:hAnsi="Times New Roman"/>
          <w:sz w:val="24"/>
          <w:szCs w:val="24"/>
        </w:rPr>
        <w:t xml:space="preserve">time to live: seconds until a blocklist entry expires</w:t>
      </w:r>
    </w:p>
    <w:p>
      <w:pPr>
        <w:pStyle w:val="ListParagraph"/>
        <w:numPr>
          <w:ilvl w:val="0"/>
          <w:numId w:val="8"/>
        </w:numPr>
        <w:spacing w:after="70" w:line="300"/>
      </w:pPr>
      <w:r>
        <w:rPr>
          <w:rFonts w:ascii="Times New Roman" w:cs="Times New Roman" w:eastAsia="Times New Roman" w:hAnsi="Times New Roman"/>
          <w:b/>
          <w:bCs/>
          <w:sz w:val="24"/>
          <w:szCs w:val="24"/>
        </w:rPr>
        <w:t xml:space="preserve">TLP — </w:t>
      </w:r>
      <w:r>
        <w:rPr>
          <w:rFonts w:ascii="Times New Roman" w:cs="Times New Roman" w:eastAsia="Times New Roman" w:hAnsi="Times New Roman"/>
          <w:sz w:val="24"/>
          <w:szCs w:val="24"/>
        </w:rPr>
        <w:t xml:space="preserve">Traffic Light Protocol: sharing restriction on a report (WHITE/CLEAR, GREEN, AMBER, RED)</w:t>
      </w:r>
    </w:p>
    <w:p>
      <w:pPr>
        <w:pStyle w:val="ListParagraph"/>
        <w:numPr>
          <w:ilvl w:val="0"/>
          <w:numId w:val="8"/>
        </w:numPr>
        <w:spacing w:after="70" w:line="300"/>
      </w:pPr>
      <w:r>
        <w:rPr>
          <w:rFonts w:ascii="Times New Roman" w:cs="Times New Roman" w:eastAsia="Times New Roman" w:hAnsi="Times New Roman"/>
          <w:b/>
          <w:bCs/>
          <w:sz w:val="24"/>
          <w:szCs w:val="24"/>
        </w:rPr>
        <w:t xml:space="preserve">STIX 2.1 — </w:t>
      </w:r>
      <w:r>
        <w:rPr>
          <w:rFonts w:ascii="Times New Roman" w:cs="Times New Roman" w:eastAsia="Times New Roman" w:hAnsi="Times New Roman"/>
          <w:sz w:val="24"/>
          <w:szCs w:val="24"/>
        </w:rPr>
        <w:t xml:space="preserve">standard JSON format for exchanging CTI objects and their relationships</w:t>
      </w:r>
    </w:p>
    <w:p>
      <w:pPr>
        <w:pStyle w:val="ListParagraph"/>
        <w:numPr>
          <w:ilvl w:val="0"/>
          <w:numId w:val="8"/>
        </w:numPr>
        <w:spacing w:after="70" w:line="300"/>
      </w:pPr>
      <w:r>
        <w:rPr>
          <w:rFonts w:ascii="Times New Roman" w:cs="Times New Roman" w:eastAsia="Times New Roman" w:hAnsi="Times New Roman"/>
          <w:b/>
          <w:bCs/>
          <w:sz w:val="24"/>
          <w:szCs w:val="24"/>
        </w:rPr>
        <w:t xml:space="preserve">ATT&amp;CK — </w:t>
      </w:r>
      <w:r>
        <w:rPr>
          <w:rFonts w:ascii="Times New Roman" w:cs="Times New Roman" w:eastAsia="Times New Roman" w:hAnsi="Times New Roman"/>
          <w:sz w:val="24"/>
          <w:szCs w:val="24"/>
        </w:rPr>
        <w:t xml:space="preserve">MITRE's catalogue of adversary techniques (for example T1566 Phishing)</w:t>
      </w:r>
    </w:p>
    <w:p>
      <w:pPr>
        <w:pStyle w:val="ListParagraph"/>
        <w:numPr>
          <w:ilvl w:val="0"/>
          <w:numId w:val="8"/>
        </w:numPr>
        <w:spacing w:after="70" w:line="300"/>
      </w:pPr>
      <w:r>
        <w:rPr>
          <w:rFonts w:ascii="Times New Roman" w:cs="Times New Roman" w:eastAsia="Times New Roman" w:hAnsi="Times New Roman"/>
          <w:b/>
          <w:bCs/>
          <w:sz w:val="24"/>
          <w:szCs w:val="24"/>
        </w:rPr>
        <w:t xml:space="preserve">GraphRAG — </w:t>
      </w:r>
      <w:r>
        <w:rPr>
          <w:rFonts w:ascii="Times New Roman" w:cs="Times New Roman" w:eastAsia="Times New Roman" w:hAnsi="Times New Roman"/>
          <w:sz w:val="24"/>
          <w:szCs w:val="24"/>
        </w:rPr>
        <w:t xml:space="preserve">answering questions with evidence retrieved from a graph and a vector index before generation</w:t>
      </w:r>
    </w:p>
    <w:p>
      <w:pPr>
        <w:pStyle w:val="ListParagraph"/>
        <w:numPr>
          <w:ilvl w:val="0"/>
          <w:numId w:val="8"/>
        </w:numPr>
        <w:spacing w:after="70" w:line="300"/>
      </w:pPr>
      <w:r>
        <w:rPr>
          <w:rFonts w:ascii="Times New Roman" w:cs="Times New Roman" w:eastAsia="Times New Roman" w:hAnsi="Times New Roman"/>
          <w:b/>
          <w:bCs/>
          <w:sz w:val="24"/>
          <w:szCs w:val="24"/>
        </w:rPr>
        <w:t xml:space="preserve">Commodity hub — </w:t>
      </w:r>
      <w:r>
        <w:rPr>
          <w:rFonts w:ascii="Times New Roman" w:cs="Times New Roman" w:eastAsia="Times New Roman" w:hAnsi="Times New Roman"/>
          <w:sz w:val="24"/>
          <w:szCs w:val="24"/>
        </w:rPr>
        <w:t xml:space="preserve">a tool used by many unrelated actors, and therefore weak evidence of attribution</w:t>
      </w:r>
    </w:p>
    <w:p>
      <w:pPr>
        <w:pStyle w:val="ListParagraph"/>
        <w:numPr>
          <w:ilvl w:val="0"/>
          <w:numId w:val="8"/>
        </w:numPr>
        <w:spacing w:after="70" w:line="300"/>
      </w:pPr>
      <w:r>
        <w:rPr>
          <w:rFonts w:ascii="Times New Roman" w:cs="Times New Roman" w:eastAsia="Times New Roman" w:hAnsi="Times New Roman"/>
          <w:b/>
          <w:bCs/>
          <w:sz w:val="24"/>
          <w:szCs w:val="24"/>
        </w:rPr>
        <w:t xml:space="preserve">Retrieve-only — </w:t>
      </w:r>
      <w:r>
        <w:rPr>
          <w:rFonts w:ascii="Times New Roman" w:cs="Times New Roman" w:eastAsia="Times New Roman" w:hAnsi="Times New Roman"/>
          <w:sz w:val="24"/>
          <w:szCs w:val="24"/>
        </w:rPr>
        <w:t xml:space="preserve">an answer made of evidence sentences without the language model</w:t>
      </w:r>
    </w:p>
    <w:p>
      <w:pPr>
        <w:pStyle w:val="ListParagraph"/>
        <w:numPr>
          <w:ilvl w:val="0"/>
          <w:numId w:val="8"/>
        </w:numPr>
        <w:spacing w:after="70" w:line="300"/>
      </w:pPr>
      <w:r>
        <w:rPr>
          <w:rFonts w:ascii="Times New Roman" w:cs="Times New Roman" w:eastAsia="Times New Roman" w:hAnsi="Times New Roman"/>
          <w:b/>
          <w:bCs/>
          <w:sz w:val="24"/>
          <w:szCs w:val="24"/>
        </w:rPr>
        <w:t xml:space="preserve">Groundedness gate — </w:t>
      </w:r>
      <w:r>
        <w:rPr>
          <w:rFonts w:ascii="Times New Roman" w:cs="Times New Roman" w:eastAsia="Times New Roman" w:hAnsi="Times New Roman"/>
          <w:sz w:val="24"/>
          <w:szCs w:val="24"/>
        </w:rPr>
        <w:t xml:space="preserve">the check that removes uncited sentences and refuses unsupported answers</w:t>
      </w:r>
    </w:p>
    <w:p>
      <w:pPr>
        <w:pStyle w:val="ListParagraph"/>
        <w:numPr>
          <w:ilvl w:val="0"/>
          <w:numId w:val="8"/>
        </w:numPr>
        <w:spacing w:after="70" w:line="300"/>
      </w:pPr>
      <w:r>
        <w:rPr>
          <w:rFonts w:ascii="Times New Roman" w:cs="Times New Roman" w:eastAsia="Times New Roman" w:hAnsi="Times New Roman"/>
          <w:b/>
          <w:bCs/>
          <w:sz w:val="24"/>
          <w:szCs w:val="24"/>
        </w:rPr>
        <w:t xml:space="preserve">Hot set — </w:t>
      </w:r>
      <w:r>
        <w:rPr>
          <w:rFonts w:ascii="Times New Roman" w:cs="Times New Roman" w:eastAsia="Times New Roman" w:hAnsi="Times New Roman"/>
          <w:sz w:val="24"/>
          <w:szCs w:val="24"/>
        </w:rPr>
        <w:t xml:space="preserve">the IOCs currently live in the Redis blocklist</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F2A47" w:sz="6" w:space="6"/>
      </w:pBdr>
      <w:tabs>
        <w:tab w:val="right" w:pos="9638"/>
      </w:tabs>
      <w:spacing w:before="80"/>
    </w:pPr>
    <w:r>
      <w:rPr>
        <w:rFonts w:ascii="Times New Roman" w:cs="Times New Roman" w:eastAsia="Times New Roman" w:hAnsi="Times New Roman"/>
        <w:color w:val="4A5560"/>
        <w:sz w:val="16"/>
        <w:szCs w:val="16"/>
      </w:rPr>
      <w:t xml:space="preserve">Review–III deliverable</w:t>
    </w:r>
    <w:r>
      <w:rPr>
        <w:rFonts w:ascii="Times New Roman" w:cs="Times New Roman" w:eastAsia="Times New Roman" w:hAnsi="Times New Roman"/>
        <w:color w:val="4A5560"/>
        <w:sz w:val="16"/>
        <w:szCs w:val="16"/>
      </w:rPr>
      <w:t xml:space="preserve">	Page </w:t>
    </w:r>
    <w:r>
      <w:rPr>
        <w:rFonts w:ascii="Times New Roman" w:cs="Times New Roman" w:eastAsia="Times New Roman" w:hAnsi="Times New Roman"/>
        <w:color w:val="4A556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2A47" w:sz="6" w:space="4"/>
      </w:pBdr>
      <w:tabs>
        <w:tab w:val="right" w:pos="9638"/>
      </w:tabs>
      <w:spacing w:after="80"/>
    </w:pPr>
    <w:r>
      <w:rPr>
        <w:rFonts w:ascii="Times New Roman" w:cs="Times New Roman" w:eastAsia="Times New Roman" w:hAnsi="Times New Roman"/>
        <w:color w:val="4A5560"/>
        <w:sz w:val="16"/>
        <w:szCs w:val="16"/>
      </w:rPr>
      <w:t xml:space="preserve">GraphRAG CTI Platform  ·  User Manual</w:t>
    </w:r>
    <w:r>
      <w:rPr>
        <w:rFonts w:ascii="Times New Roman" w:cs="Times New Roman" w:eastAsia="Times New Roman" w:hAnsi="Times New Roman"/>
        <w:color w:val="4A5560"/>
        <w:sz w:val="16"/>
        <w:szCs w:val="16"/>
      </w:rPr>
      <w:t xml:space="preserve">	Version 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lvl w:ilvl="1" w15:tentative="1">
      <w:start w:val="1"/>
      <w:numFmt w:val="bullet"/>
      <w:lvlText w:val="–"/>
      <w:lvlJc w:val="left"/>
      <w:pPr>
        <w:ind w:left="1100" w:hanging="300"/>
      </w:pPr>
    </w:lvl>
  </w:abstractNum>
  <w:abstractNum w:abstractNumId="3" w15:restartNumberingAfterBreak="0">
    <w:multiLevelType w:val="hybridMultilevel"/>
    <w:lvl w:ilvl="0" w15:tentative="1">
      <w:start w:val="1"/>
      <w:numFmt w:val="decimal"/>
      <w:lvlText w:val="%1."/>
      <w:lvlJc w:val="left"/>
      <w:pPr>
        <w:ind w:left="640" w:hanging="320"/>
      </w:pPr>
    </w:lvl>
    <w:lvl w:ilvl="1" w15:tentative="1">
      <w:start w:val="1"/>
      <w:numFmt w:val="bullet"/>
      <w:lvlText w:val="–"/>
      <w:lvlJc w:val="left"/>
      <w:pPr>
        <w:ind w:left="1100" w:hanging="300"/>
      </w:pPr>
    </w:lvl>
  </w:abstractNum>
  <w:abstractNum w:abstractNumId="4" w15:restartNumberingAfterBreak="0">
    <w:multiLevelType w:val="hybridMultilevel"/>
    <w:lvl w:ilvl="0" w15:tentative="1">
      <w:start w:val="1"/>
      <w:numFmt w:val="decimal"/>
      <w:lvlText w:val="%1."/>
      <w:lvlJc w:val="left"/>
      <w:pPr>
        <w:ind w:left="640" w:hanging="320"/>
      </w:pPr>
    </w:lvl>
    <w:lvl w:ilvl="1" w15:tentative="1">
      <w:start w:val="1"/>
      <w:numFmt w:val="bullet"/>
      <w:lvlText w:val="–"/>
      <w:lvlJc w:val="left"/>
      <w:pPr>
        <w:ind w:left="1100" w:hanging="300"/>
      </w:pPr>
    </w:lvl>
  </w:abstractNum>
  <w:abstractNum w:abstractNumId="5" w15:restartNumberingAfterBreak="0">
    <w:multiLevelType w:val="hybridMultilevel"/>
    <w:lvl w:ilvl="0" w15:tentative="1">
      <w:start w:val="1"/>
      <w:numFmt w:val="decimal"/>
      <w:lvlText w:val="%1."/>
      <w:lvlJc w:val="left"/>
      <w:pPr>
        <w:ind w:left="640" w:hanging="320"/>
      </w:pPr>
    </w:lvl>
    <w:lvl w:ilvl="1" w15:tentative="1">
      <w:start w:val="1"/>
      <w:numFmt w:val="bullet"/>
      <w:lvlText w:val="–"/>
      <w:lvlJc w:val="left"/>
      <w:pPr>
        <w:ind w:left="1100" w:hanging="300"/>
      </w:pPr>
    </w:lvl>
  </w:abstractNum>
  <w:abstractNum w:abstractNumId="6" w15:restartNumberingAfterBreak="0">
    <w:multiLevelType w:val="hybridMultilevel"/>
    <w:lvl w:ilvl="0" w15:tentative="1">
      <w:start w:val="1"/>
      <w:numFmt w:val="decimal"/>
      <w:lvlText w:val="%1."/>
      <w:lvlJc w:val="left"/>
      <w:pPr>
        <w:ind w:left="640" w:hanging="320"/>
      </w:pPr>
    </w:lvl>
    <w:lvl w:ilvl="1" w15:tentative="1">
      <w:start w:val="1"/>
      <w:numFmt w:val="bullet"/>
      <w:lvlText w:val="–"/>
      <w:lvlJc w:val="left"/>
      <w:pPr>
        <w:ind w:left="1100" w:hanging="300"/>
      </w:pPr>
    </w:lvl>
  </w:abstractNum>
  <w:abstractNum w:abstractNumId="7" w15:restartNumberingAfterBreak="0">
    <w:multiLevelType w:val="hybridMultilevel"/>
    <w:lvl w:ilvl="0" w15:tentative="1">
      <w:start w:val="1"/>
      <w:numFmt w:val="decimal"/>
      <w:lvlText w:val="%1."/>
      <w:lvlJc w:val="left"/>
      <w:pPr>
        <w:ind w:left="640" w:hanging="320"/>
      </w:pPr>
    </w:lvl>
    <w:lvl w:ilvl="1" w15:tentative="1">
      <w:start w:val="1"/>
      <w:numFmt w:val="bullet"/>
      <w:lvlText w:val="–"/>
      <w:lvlJc w:val="left"/>
      <w:pPr>
        <w:ind w:left="1100" w:hanging="300"/>
      </w:pPr>
    </w:lvl>
  </w:abstractNum>
  <w:abstractNum w:abstractNumId="8" w15:restartNumberingAfterBreak="0">
    <w:multiLevelType w:val="hybridMultilevel"/>
    <w:lvl w:ilvl="0" w15:tentative="1">
      <w:start w:val="1"/>
      <w:numFmt w:val="decimal"/>
      <w:lvlText w:val="%1."/>
      <w:lvlJc w:val="left"/>
      <w:pPr>
        <w:ind w:left="640" w:hanging="320"/>
      </w:pPr>
    </w:lvl>
    <w:lvl w:ilvl="1" w15:tentative="1">
      <w:start w:val="1"/>
      <w:numFmt w:val="bullet"/>
      <w:lvlText w:val="–"/>
      <w:lvlJc w:val="left"/>
      <w:pPr>
        <w:ind w:left="110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Times New Roman" w:cs="Times New Roman" w:eastAsia="Times New Roman" w:hAnsi="Times New Roman"/>
      <w:b/>
      <w:bCs/>
      <w:color w:val="0F2A47"/>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B4F72"/>
      <w:sz w:val="26"/>
      <w:szCs w:val="26"/>
    </w:rPr>
  </w:style>
  <w:style w:type="paragraph" w:styleId="Heading3">
    <w:name w:val="Heading 3"/>
    <w:basedOn w:val="Normal"/>
    <w:next w:val="Normal"/>
    <w:qFormat/>
    <w:pPr>
      <w:spacing w:after="80" w:before="18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99e0b94323dba54d92a94aa248aedcacc5e68ef.png"/><Relationship Id="rId12" Type="http://schemas.openxmlformats.org/officeDocument/2006/relationships/image" Target="media/dcef2786a20de6a448183ba572659e5c41567cde.png"/><Relationship Id="rId13" Type="http://schemas.openxmlformats.org/officeDocument/2006/relationships/image" Target="media/22e0a649f6d6f938e3a9f0110c9393811f3c8f8d.png"/><Relationship Id="rId14" Type="http://schemas.openxmlformats.org/officeDocument/2006/relationships/image" Target="media/d382ceab5280cf81e364b5cdea2c27073c13aeaf.png"/><Relationship Id="rId15" Type="http://schemas.openxmlformats.org/officeDocument/2006/relationships/image" Target="media/8871ee6458886a2964138536545864abc6ca30cc.png"/><Relationship Id="rId16" Type="http://schemas.openxmlformats.org/officeDocument/2006/relationships/image" Target="media/aeb5127780b96ee6c9b2ac5595ec5995cb47efd3.png"/><Relationship Id="rId17" Type="http://schemas.openxmlformats.org/officeDocument/2006/relationships/image" Target="media/7f606444812a603f244dc1ef693ad9d54b98c4e1.png"/><Relationship Id="rId18" Type="http://schemas.openxmlformats.org/officeDocument/2006/relationships/image" Target="media/c3e00089679d733b98ddebb3270af7e07a8178c8.png"/><Relationship Id="rId19" Type="http://schemas.openxmlformats.org/officeDocument/2006/relationships/image" Target="media/731f2e4ea48b5184adbb12f6ccc904614b6fbdac.png"/><Relationship Id="rId20" Type="http://schemas.openxmlformats.org/officeDocument/2006/relationships/image" Target="media/2461f6ee9bc80075f2aa6dca49b638808b6eac69.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GraphRAG CTI Platform  ·  User Manual</dc:title>
  <dc:creator>Shivansh Sharma, Himali Sharma, Aayush Sinha</dc:creator>
  <cp:lastModifiedBy>Un-named</cp:lastModifiedBy>
  <cp:revision>1</cp:revision>
  <dcterms:created xsi:type="dcterms:W3CDTF">2026-10-25T16:55:54.249Z</dcterms:created>
  <dcterms:modified xsi:type="dcterms:W3CDTF">2026-10-25T16:55:54.250Z</dcterms:modified>
</cp:coreProperties>
</file>

<file path=docProps/custom.xml><?xml version="1.0" encoding="utf-8"?>
<Properties xmlns="http://schemas.openxmlformats.org/officeDocument/2006/custom-properties" xmlns:vt="http://schemas.openxmlformats.org/officeDocument/2006/docPropsVTypes"/>
</file>