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2A47" w:sz="18" w:space="8"/>
        </w:pBdr>
        <w:spacing w:after="120"/>
      </w:pPr>
    </w:p>
    <w:p>
      <w:pPr>
        <w:spacing w:after="80" w:before="80"/>
        <w:jc w:val="center"/>
      </w:pPr>
      <w:r>
        <w:rPr>
          <w:rFonts w:ascii="Times New Roman" w:cs="Times New Roman" w:eastAsia="Times New Roman" w:hAnsi="Times New Roman"/>
          <w:b/>
          <w:bCs/>
          <w:color w:val="0F2A47"/>
          <w:spacing w:val="60"/>
          <w:sz w:val="30"/>
          <w:szCs w:val="30"/>
        </w:rPr>
        <w:t xml:space="preserve">USER MANUAL</w:t>
      </w:r>
    </w:p>
    <w:p>
      <w:pPr>
        <w:spacing w:after="80" w:before="360"/>
        <w:jc w:val="center"/>
      </w:pPr>
      <w:r>
        <w:rPr>
          <w:rFonts w:ascii="Times New Roman" w:cs="Times New Roman" w:eastAsia="Times New Roman" w:hAnsi="Times New Roman"/>
          <w:b/>
          <w:bCs/>
          <w:color w:val="0F2A47"/>
          <w:sz w:val="34"/>
          <w:szCs w:val="34"/>
        </w:rPr>
        <w:t xml:space="preserve">GraphRAG-Powered Cyber Threat Intelligence Platform</w:t>
      </w:r>
    </w:p>
    <w:p>
      <w:pPr>
        <w:spacing w:after="360"/>
        <w:jc w:val="center"/>
      </w:pPr>
      <w:r>
        <w:rPr>
          <w:rFonts w:ascii="Times New Roman" w:cs="Times New Roman" w:eastAsia="Times New Roman" w:hAnsi="Times New Roman"/>
          <w:i/>
          <w:iCs/>
          <w:color w:val="4A5560"/>
          <w:sz w:val="24"/>
          <w:szCs w:val="24"/>
        </w:rPr>
        <w:t xml:space="preserve">CTI Workstation — installation, operation and administration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2"/>
                <w:szCs w:val="22"/>
              </w:rPr>
              <w:t xml:space="preserve">Item</w:t>
            </w:r>
          </w:p>
        </w:tc>
        <w:tc>
          <w:tcPr>
            <w:tcW w:type="dxa" w:w="66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2"/>
                <w:szCs w:val="22"/>
              </w:rPr>
              <w:t xml:space="preserve">Value</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Version</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1.0 (Review III), October 2026</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Audience</w:t>
            </w:r>
          </w:p>
        </w:tc>
        <w:tc>
          <w:tcPr>
            <w:tcW w:type="dxa" w:w="6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SOC analysts, CTI leads, platform operators, and engineers integrating firewalls, EDR or SIEM</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Authors</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Shivansh Sharma (23BCE0254)</w:t>
            </w:r>
          </w:p>
          <w:p>
            <w:pPr>
              <w:spacing w:after="0" w:line="260"/>
              <w:jc w:val="left"/>
            </w:pPr>
            <w:r>
              <w:rPr>
                <w:rFonts w:ascii="Times New Roman" w:cs="Times New Roman" w:eastAsia="Times New Roman" w:hAnsi="Times New Roman"/>
                <w:b w:val="false"/>
                <w:bCs w:val="false"/>
                <w:sz w:val="22"/>
                <w:szCs w:val="22"/>
              </w:rPr>
              <w:t xml:space="preserve">Himali Sharma (23BCE0317)</w:t>
            </w:r>
          </w:p>
          <w:p>
            <w:pPr>
              <w:spacing w:after="0" w:line="260"/>
              <w:jc w:val="left"/>
            </w:pPr>
            <w:r>
              <w:rPr>
                <w:rFonts w:ascii="Times New Roman" w:cs="Times New Roman" w:eastAsia="Times New Roman" w:hAnsi="Times New Roman"/>
                <w:b w:val="false"/>
                <w:bCs w:val="false"/>
                <w:sz w:val="22"/>
                <w:szCs w:val="22"/>
              </w:rPr>
              <w:t xml:space="preserve">Aayush Sinha (23BCE0558)</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Institution / guide</w:t>
            </w:r>
          </w:p>
        </w:tc>
        <w:tc>
          <w:tcPr>
            <w:tcW w:type="dxa" w:w="6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VIT Vellore · Dr. Lydia Jane G</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Source</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github.com/Shivansharmaaaa/graphrag</w:t>
            </w:r>
          </w:p>
        </w:tc>
      </w:tr>
    </w:tbl>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2038"/>
      </w:tblGrid>
      <w:tr>
        <w:trPr>
          <w:cantSplit/>
          <w:tblHeader/>
        </w:trPr>
        <w:tc>
          <w:tcPr>
            <w:tcW w:type="dxa" w:w="76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2"/>
                <w:szCs w:val="22"/>
              </w:rPr>
              <w:t xml:space="preserve">Section</w:t>
            </w:r>
          </w:p>
        </w:tc>
        <w:tc>
          <w:tcPr>
            <w:tcW w:type="dxa" w:w="20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2"/>
                <w:szCs w:val="22"/>
              </w:rPr>
              <w:t xml:space="preserve">Page</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1.  About This Manual</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3</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2.  System Overview</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3</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3.  Installation</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4.  Signing In</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6</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5.  Using the Console</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8</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6.  Walkthroughs</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15</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7.  Enforcement API for Security Tools</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16</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8.  Inspecting the Databases Directly</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17</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9.  Configuration Reference</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20</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10.  Administration and Maintenance</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20</w:t>
            </w:r>
          </w:p>
        </w:tc>
      </w:tr>
      <w:tr>
        <w:trPr>
          <w:cantSplit/>
          <w:tblHeader w:val="false"/>
        </w:trPr>
        <w:tc>
          <w:tcPr>
            <w:tcW w:type="dxa" w:w="7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11.  Troubleshooting</w:t>
            </w:r>
          </w:p>
        </w:tc>
        <w:tc>
          <w:tcPr>
            <w:tcW w:type="dxa" w:w="2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21</w:t>
            </w:r>
          </w:p>
        </w:tc>
      </w:tr>
      <w:tr>
        <w:trPr>
          <w:cantSplit/>
          <w:tblHeader w:val="false"/>
        </w:trPr>
        <w:tc>
          <w:tcPr>
            <w:tcW w:type="dxa" w:w="7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2"/>
                <w:szCs w:val="22"/>
              </w:rPr>
              <w:t xml:space="preserve">12.  Glossary</w:t>
            </w:r>
          </w:p>
        </w:tc>
        <w:tc>
          <w:tcPr>
            <w:tcW w:type="dxa" w:w="2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22"/>
                <w:szCs w:val="22"/>
              </w:rPr>
              <w:t xml:space="preserve">21</w:t>
            </w:r>
          </w:p>
        </w:tc>
      </w:tr>
    </w:tbl>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1.  About This Manual</w:t>
      </w:r>
    </w:p>
    <w:p>
      <w:pPr>
        <w:spacing w:after="160" w:line="340"/>
        <w:jc w:val="both"/>
      </w:pPr>
      <w:r>
        <w:rPr>
          <w:rFonts w:ascii="Times New Roman" w:cs="Times New Roman" w:eastAsia="Times New Roman" w:hAnsi="Times New Roman"/>
          <w:sz w:val="24"/>
          <w:szCs w:val="24"/>
        </w:rPr>
        <w:t xml:space="preserve">This manual explains how to install the CTI Workstation, use each page of the analyst console, connect enforcement tools, and keep the platform healthy. Design rationale and measurements are in the separate Final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0"/>
                <w:szCs w:val="20"/>
              </w:rPr>
              <w:t xml:space="preserve">If you are…</w:t>
            </w:r>
          </w:p>
        </w:tc>
        <w:tc>
          <w:tcPr>
            <w:tcW w:type="dxa" w:w="70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0"/>
                <w:szCs w:val="20"/>
              </w:rPr>
              <w:t xml:space="preserve">Read</w:t>
            </w:r>
          </w:p>
        </w:tc>
      </w:tr>
      <w:tr>
        <w:trPr>
          <w:cantSplit/>
          <w:tblHeader w:val="false"/>
        </w:trPr>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an analyst</w:t>
            </w:r>
          </w:p>
        </w:tc>
        <w:tc>
          <w:tcPr>
            <w:tcW w:type="dxa" w:w="7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Sections 4, 5 and 6</w:t>
            </w:r>
          </w:p>
        </w:tc>
      </w:tr>
      <w:tr>
        <w:trPr>
          <w:cantSplit/>
          <w:tblHeader w:val="false"/>
        </w:trPr>
        <w:tc>
          <w:tcPr>
            <w:tcW w:type="dxa" w:w="2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a CTI lead or detection engineer</w:t>
            </w:r>
          </w:p>
        </w:tc>
        <w:tc>
          <w:tcPr>
            <w:tcW w:type="dxa" w:w="7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also 5.4 (blocklist), 5.6 (ingest) and 7</w:t>
            </w:r>
          </w:p>
        </w:tc>
      </w:tr>
      <w:tr>
        <w:trPr>
          <w:cantSplit/>
          <w:tblHeader w:val="false"/>
        </w:trPr>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a platform operator</w:t>
            </w:r>
          </w:p>
        </w:tc>
        <w:tc>
          <w:tcPr>
            <w:tcW w:type="dxa" w:w="7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Sections 3, 8, 9 and 10</w:t>
            </w:r>
          </w:p>
        </w:tc>
      </w:tr>
      <w:tr>
        <w:trPr>
          <w:cantSplit/>
          <w:tblHeader w:val="false"/>
        </w:trPr>
        <w:tc>
          <w:tcPr>
            <w:tcW w:type="dxa" w:w="2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integrating a firewall, EDR or SIEM</w:t>
            </w:r>
          </w:p>
        </w:tc>
        <w:tc>
          <w:tcPr>
            <w:tcW w:type="dxa" w:w="7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Section 7</w:t>
            </w:r>
          </w:p>
        </w:tc>
      </w:tr>
      <w:tr>
        <w:trPr>
          <w:cantSplit/>
          <w:tblHeader w:val="false"/>
        </w:trPr>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showing the databases themselves</w:t>
            </w:r>
          </w:p>
        </w:tc>
        <w:tc>
          <w:tcPr>
            <w:tcW w:type="dxa" w:w="7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Section 8</w:t>
            </w:r>
          </w:p>
        </w:tc>
      </w:tr>
    </w:tbl>
    <w:p>
      <w:pPr>
        <w:spacing w:after="100"/>
      </w:pPr>
    </w:p>
    <w:p>
      <w:pPr>
        <w:spacing w:after="160" w:line="340"/>
        <w:jc w:val="both"/>
      </w:pPr>
      <w:r>
        <w:rPr>
          <w:rFonts w:ascii="Times New Roman" w:cs="Times New Roman" w:eastAsia="Times New Roman" w:hAnsi="Times New Roman"/>
          <w:b/>
          <w:bCs/>
          <w:sz w:val="24"/>
          <w:szCs w:val="24"/>
        </w:rPr>
        <w:t xml:space="preserve">Conventions.</w:t>
      </w:r>
      <w:r>
        <w:rPr>
          <w:rFonts w:ascii="Times New Roman" w:cs="Times New Roman" w:eastAsia="Times New Roman" w:hAnsi="Times New Roman"/>
          <w:sz w:val="24"/>
          <w:szCs w:val="24"/>
        </w:rPr>
        <w:t xml:space="preserve"> Commands are shown in a monospace box and run from the project folder (</w:t>
      </w:r>
      <w:r>
        <w:rPr>
          <w:rFonts w:ascii="Courier New" w:cs="Courier New" w:eastAsia="Courier New" w:hAnsi="Courier New"/>
          <w:sz w:val="20"/>
          <w:szCs w:val="20"/>
        </w:rPr>
        <w:t xml:space="preserve">nosql/</w:t>
      </w:r>
      <w:r>
        <w:rPr>
          <w:rFonts w:ascii="Times New Roman" w:cs="Times New Roman" w:eastAsia="Times New Roman" w:hAnsi="Times New Roman"/>
          <w:sz w:val="24"/>
          <w:szCs w:val="24"/>
        </w:rPr>
        <w:t xml:space="preserve">). Text in </w:t>
      </w:r>
      <w:r>
        <w:rPr>
          <w:rFonts w:ascii="Courier New" w:cs="Courier New" w:eastAsia="Courier New" w:hAnsi="Courier New"/>
          <w:sz w:val="20"/>
          <w:szCs w:val="20"/>
        </w:rPr>
        <w:t xml:space="preserve">monospace</w:t>
      </w:r>
      <w:r>
        <w:rPr>
          <w:rFonts w:ascii="Times New Roman" w:cs="Times New Roman" w:eastAsia="Times New Roman" w:hAnsi="Times New Roman"/>
          <w:sz w:val="24"/>
          <w:szCs w:val="24"/>
        </w:rPr>
        <w:t xml:space="preserve"> is typed exactly. Screens are shown in the console's dark theme.</w:t>
      </w:r>
    </w:p>
    <w:p>
      <w:pPr>
        <w:pStyle w:val="Heading1"/>
        <w:pBdr>
          <w:bottom w:val="single" w:color="0F2A47" w:sz="12" w:space="4"/>
        </w:pBdr>
        <w:spacing w:after="180" w:before="320"/>
      </w:pPr>
      <w:r>
        <w:rPr>
          <w:rFonts w:ascii="Times New Roman" w:cs="Times New Roman" w:eastAsia="Times New Roman" w:hAnsi="Times New Roman"/>
          <w:b/>
          <w:bCs/>
          <w:color w:val="0F2A47"/>
          <w:sz w:val="32"/>
          <w:szCs w:val="32"/>
        </w:rPr>
        <w:t xml:space="preserve">2.  System Overview</w:t>
      </w:r>
    </w:p>
    <w:p>
      <w:pPr>
        <w:spacing w:after="160" w:line="340"/>
        <w:jc w:val="both"/>
      </w:pPr>
      <w:r>
        <w:rPr>
          <w:rFonts w:ascii="Times New Roman" w:cs="Times New Roman" w:eastAsia="Times New Roman" w:hAnsi="Times New Roman"/>
          <w:sz w:val="24"/>
          <w:szCs w:val="24"/>
        </w:rPr>
        <w:t xml:space="preserve">The workstation stores cyber threat intelligence in four databases, each used for what it does best, and answers questions in plain English using all four at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538"/>
      </w:tblGrid>
      <w:tr>
        <w:trPr>
          <w:cantSplit/>
          <w:tblHeader/>
        </w:trPr>
        <w:tc>
          <w:tcPr>
            <w:tcW w:type="dxa" w:w="19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Store</w:t>
            </w:r>
          </w:p>
        </w:tc>
        <w:tc>
          <w:tcPr>
            <w:tcW w:type="dxa" w:w="32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Holds</w:t>
            </w:r>
          </w:p>
        </w:tc>
        <w:tc>
          <w:tcPr>
            <w:tcW w:type="dxa" w:w="45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You see it in</w:t>
            </w:r>
          </w:p>
        </w:tc>
      </w:tr>
      <w:tr>
        <w:trPr>
          <w:cantSplit/>
          <w:tblHeader w:val="false"/>
        </w:trPr>
        <w:tc>
          <w:tcPr>
            <w:tcW w:type="dxa" w:w="1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Neo4j</w:t>
            </w:r>
          </w:p>
        </w:tc>
        <w:tc>
          <w:tcPr>
            <w:tcW w:type="dxa" w:w="3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the threat graph: actors, campaigns, malware, infrastructure, techniques, victims, indicators, reports</w:t>
            </w:r>
          </w:p>
        </w:tc>
        <w:tc>
          <w:tcPr>
            <w:tcW w:type="dxa" w:w="45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Graph explorer; graph hops in GraphRAG answers</w:t>
            </w:r>
          </w:p>
        </w:tc>
      </w:tr>
      <w:tr>
        <w:trPr>
          <w:cantSplit/>
          <w:tblHeader w:val="false"/>
        </w:trPr>
        <w:tc>
          <w:tcPr>
            <w:tcW w:type="dxa" w:w="1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MongoDB</w:t>
            </w:r>
          </w:p>
        </w:tc>
        <w:tc>
          <w:tcPr>
            <w:tcW w:type="dxa" w:w="32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full reports, STIX bundles, users, audit log, ingest log</w:t>
            </w:r>
          </w:p>
        </w:tc>
        <w:tc>
          <w:tcPr>
            <w:tcW w:type="dxa" w:w="45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Report browser; documents in answers; Audit</w:t>
            </w:r>
          </w:p>
        </w:tc>
      </w:tr>
      <w:tr>
        <w:trPr>
          <w:cantSplit/>
          <w:tblHeader w:val="false"/>
        </w:trPr>
        <w:tc>
          <w:tcPr>
            <w:tcW w:type="dxa" w:w="1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Redis</w:t>
            </w:r>
          </w:p>
        </w:tc>
        <w:tc>
          <w:tcPr>
            <w:tcW w:type="dxa" w:w="3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the live IOC blocklist, each entry expiring after its TTL</w:t>
            </w:r>
          </w:p>
        </w:tc>
        <w:tc>
          <w:tcPr>
            <w:tcW w:type="dxa" w:w="45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IOC blocklist; IOC state in answers</w:t>
            </w:r>
          </w:p>
        </w:tc>
      </w:tr>
      <w:tr>
        <w:trPr>
          <w:cantSplit/>
          <w:tblHeader w:val="false"/>
        </w:trPr>
        <w:tc>
          <w:tcPr>
            <w:tcW w:type="dxa" w:w="1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Qdrant</w:t>
            </w:r>
          </w:p>
        </w:tc>
        <w:tc>
          <w:tcPr>
            <w:tcW w:type="dxa" w:w="32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report passages as vectors for similarity search</w:t>
            </w:r>
          </w:p>
        </w:tc>
        <w:tc>
          <w:tcPr>
            <w:tcW w:type="dxa" w:w="45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Semantic search; passages in answers</w:t>
            </w:r>
          </w:p>
        </w:tc>
      </w:tr>
    </w:tbl>
    <w:p>
      <w:pPr>
        <w:spacing w:after="100"/>
      </w:pPr>
    </w:p>
    <w:p>
      <w:pPr>
        <w:spacing w:after="160" w:line="340"/>
        <w:jc w:val="both"/>
      </w:pPr>
      <w:r>
        <w:rPr>
          <w:rFonts w:ascii="Times New Roman" w:cs="Times New Roman" w:eastAsia="Times New Roman" w:hAnsi="Times New Roman"/>
          <w:b/>
          <w:bCs/>
          <w:sz w:val="24"/>
          <w:szCs w:val="24"/>
        </w:rPr>
        <w:t xml:space="preserve">GraphRAG answers.</w:t>
      </w:r>
      <w:r>
        <w:rPr>
          <w:rFonts w:ascii="Times New Roman" w:cs="Times New Roman" w:eastAsia="Times New Roman" w:hAnsi="Times New Roman"/>
          <w:sz w:val="24"/>
          <w:szCs w:val="24"/>
        </w:rPr>
        <w:t xml:space="preserve"> When you ask a question, the system retrieves passages, graph paths, reports and IOC states, and a local language model writes the answer. Every sentence must cite evidence; sentences without a valid citation are removed, and if too few remain the answer is replaced by an evidence-only summary or a refusal.</w:t>
      </w:r>
    </w:p>
    <w:p>
      <w:pPr>
        <w:spacing w:after="160" w:line="340"/>
        <w:jc w:val="both"/>
      </w:pPr>
      <w:r>
        <w:rPr>
          <w:rFonts w:ascii="Times New Roman" w:cs="Times New Roman" w:eastAsia="Times New Roman" w:hAnsi="Times New Roman"/>
          <w:b/>
          <w:bCs/>
          <w:sz w:val="24"/>
          <w:szCs w:val="24"/>
        </w:rPr>
        <w:t xml:space="preserve">Roles and clearance.</w:t>
      </w:r>
      <w:r>
        <w:rPr>
          <w:rFonts w:ascii="Times New Roman" w:cs="Times New Roman" w:eastAsia="Times New Roman" w:hAnsi="Times New Roman"/>
          <w:sz w:val="24"/>
          <w:szCs w:val="24"/>
        </w:rPr>
        <w:t xml:space="preserve"> Each account has a role that limits what it can change and a TLP clearance that limits what it can 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638"/>
      </w:tblGrid>
      <w:tr>
        <w:trPr>
          <w:cantSplit/>
          <w:tblHeader/>
        </w:trPr>
        <w:tc>
          <w:tcPr>
            <w:tcW w:type="dxa" w:w="17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Role</w:t>
            </w:r>
          </w:p>
        </w:tc>
        <w:tc>
          <w:tcPr>
            <w:tcW w:type="dxa" w:w="43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Can</w:t>
            </w:r>
          </w:p>
        </w:tc>
        <w:tc>
          <w:tcPr>
            <w:tcW w:type="dxa" w:w="36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Cannot</w:t>
            </w:r>
          </w:p>
        </w:tc>
      </w:tr>
      <w:tr>
        <w:trPr>
          <w:cantSplit/>
          <w:tblHeader w:val="false"/>
        </w:trPr>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analyst</w:t>
            </w:r>
          </w:p>
        </w:tc>
        <w:tc>
          <w:tcPr>
            <w:tcW w:type="dxa" w:w="4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ask questions, browse the graph and reports, search, view the blocklist and own audit entries</w:t>
            </w:r>
          </w:p>
        </w:tc>
        <w:tc>
          <w:tcPr>
            <w:tcW w:type="dxa" w:w="3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publish IOCs, ingest, run admin actions</w:t>
            </w:r>
          </w:p>
        </w:tc>
      </w:tr>
      <w:tr>
        <w:trPr>
          <w:cantSplit/>
          <w:tblHeader w:val="false"/>
        </w:trPr>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lead</w:t>
            </w:r>
          </w:p>
        </w:tc>
        <w:tc>
          <w:tcPr>
            <w:tcW w:type="dxa" w:w="4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everything an analyst can, plus publish and revoke IOCs and ingest reports or STIX bundles</w:t>
            </w:r>
          </w:p>
        </w:tc>
        <w:tc>
          <w:tcPr>
            <w:tcW w:type="dxa" w:w="3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re-seed, reindex, delete reports</w:t>
            </w:r>
          </w:p>
        </w:tc>
      </w:tr>
      <w:tr>
        <w:trPr>
          <w:cantSplit/>
          <w:tblHeader w:val="false"/>
        </w:trPr>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admin</w:t>
            </w:r>
          </w:p>
        </w:tc>
        <w:tc>
          <w:tcPr>
            <w:tcW w:type="dxa" w:w="4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everything, including re-seed, vector reindex, report deletion and all users' audit entries</w:t>
            </w:r>
          </w:p>
        </w:tc>
        <w:tc>
          <w:tcPr>
            <w:tcW w:type="dxa" w:w="3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TLP</w:t>
            </w:r>
          </w:p>
        </w:tc>
        <w:tc>
          <w:tcPr>
            <w:tcW w:type="dxa" w:w="81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Meaning for this platform (FIRST TLP 2.0)</w:t>
            </w:r>
          </w:p>
        </w:tc>
      </w:tr>
      <w:tr>
        <w:trPr>
          <w:cantSplit/>
          <w:tblHeader w:val="false"/>
        </w:trPr>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WHITE / CLEAR</w:t>
            </w:r>
          </w:p>
        </w:tc>
        <w:tc>
          <w:tcPr>
            <w:tcW w:type="dxa" w:w="81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no restriction</w:t>
            </w:r>
          </w:p>
        </w:tc>
      </w:tr>
      <w:tr>
        <w:trPr>
          <w:cantSplit/>
          <w:tblHeader w:val="false"/>
        </w:trPr>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GREEN</w:t>
            </w:r>
          </w:p>
        </w:tc>
        <w:tc>
          <w:tcPr>
            <w:tcW w:type="dxa" w:w="81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community use; visible to GREEN clearance and above</w:t>
            </w:r>
          </w:p>
        </w:tc>
      </w:tr>
      <w:tr>
        <w:trPr>
          <w:cantSplit/>
          <w:tblHeader w:val="false"/>
        </w:trPr>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AMBER</w:t>
            </w:r>
          </w:p>
        </w:tc>
        <w:tc>
          <w:tcPr>
            <w:tcW w:type="dxa" w:w="81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limited distribution; hidden from GREEN accounts (list, search and GraphRAG), detail page returns 403</w:t>
            </w:r>
          </w:p>
        </w:tc>
      </w:tr>
      <w:tr>
        <w:trPr>
          <w:cantSplit/>
          <w:tblHeader w:val="false"/>
        </w:trPr>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RED</w:t>
            </w:r>
          </w:p>
        </w:tc>
        <w:tc>
          <w:tcPr>
            <w:tcW w:type="dxa" w:w="81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named recipients only; visible to RED clearance</w:t>
            </w:r>
          </w:p>
        </w:tc>
      </w:tr>
    </w:tbl>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3.  Installation</w:t>
      </w:r>
    </w:p>
    <w:p>
      <w:pPr>
        <w:pStyle w:val="Heading2"/>
        <w:keepNext/>
        <w:spacing w:after="120" w:before="240"/>
      </w:pPr>
      <w:r>
        <w:rPr>
          <w:rFonts w:ascii="Times New Roman" w:cs="Times New Roman" w:eastAsia="Times New Roman" w:hAnsi="Times New Roman"/>
          <w:b/>
          <w:bCs/>
          <w:color w:val="1B4F72"/>
          <w:sz w:val="26"/>
          <w:szCs w:val="26"/>
        </w:rPr>
        <w:t xml:space="preserve">3.1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0"/>
                <w:szCs w:val="20"/>
              </w:rPr>
              <w:t xml:space="preserve">Component</w:t>
            </w:r>
          </w:p>
        </w:tc>
        <w:tc>
          <w:tcPr>
            <w:tcW w:type="dxa" w:w="66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20"/>
                <w:szCs w:val="20"/>
              </w:rPr>
              <w:t xml:space="preserve">Requirement</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Operating system</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macOS, Linux, or Windows with WSL 2</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Docker</w:t>
            </w:r>
          </w:p>
        </w:tc>
        <w:tc>
          <w:tcPr>
            <w:tcW w:type="dxa" w:w="6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Docker Desktop or Docker Engine with Compose v2; at least 4 GB of memory for the containers</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Python</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3.10 or newer (3.11 tested)</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Node.js</w:t>
            </w:r>
          </w:p>
        </w:tc>
        <w:tc>
          <w:tcPr>
            <w:tcW w:type="dxa" w:w="6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18 or newer, for the console</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Ollama (optional)</w:t>
            </w:r>
          </w:p>
        </w:tc>
        <w:tc>
          <w:tcPr>
            <w:tcW w:type="dxa" w:w="66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for fluent answers; without it the platform answers in retrieve-only mode</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Ports</w:t>
            </w:r>
          </w:p>
        </w:tc>
        <w:tc>
          <w:tcPr>
            <w:tcW w:type="dxa" w:w="66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20"/>
                <w:szCs w:val="20"/>
              </w:rPr>
              <w:t xml:space="preserve">5173 (console), 8000 (API), 7474/7687 (Neo4j), 27017 (MongoDB), 6379 (Redis), 6333 (Qdrant), 11434 (Ollama)</w:t>
            </w:r>
          </w:p>
        </w:tc>
      </w:tr>
    </w:tbl>
    <w:p>
      <w:pPr>
        <w:pStyle w:val="Heading2"/>
        <w:keepNext/>
        <w:spacing w:after="120" w:before="240"/>
      </w:pPr>
      <w:r>
        <w:rPr>
          <w:rFonts w:ascii="Times New Roman" w:cs="Times New Roman" w:eastAsia="Times New Roman" w:hAnsi="Times New Roman"/>
          <w:b/>
          <w:bCs/>
          <w:color w:val="1B4F72"/>
          <w:sz w:val="26"/>
          <w:szCs w:val="26"/>
        </w:rPr>
        <w:t xml:space="preserve">3.2  Option A — run the API and console locally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CDD3" w:sz="4"/>
              <w:left w:val="single" w:color="C8CDD3" w:sz="4"/>
              <w:bottom w:val="single" w:color="C8CDD3" w:sz="4"/>
              <w:right w:val="single" w:color="C8CDD3" w:sz="4"/>
            </w:tcBorders>
            <w:shd w:fill="F4F5F7" w:val="clear"/>
            <w:tcMar>
              <w:top w:type="dxa" w:w="80"/>
              <w:left w:type="dxa" w:w="140"/>
              <w:bottom w:type="dxa" w:w="80"/>
              <w:right w:type="dxa" w:w="140"/>
            </w:tcMar>
          </w:tcPr>
          <w:p>
            <w:pPr>
              <w:spacing w:after="0" w:line="250"/>
            </w:pPr>
            <w:r>
              <w:rPr>
                <w:rFonts w:ascii="Courier New" w:cs="Courier New" w:eastAsia="Courier New" w:hAnsi="Courier New"/>
                <w:sz w:val="18"/>
                <w:szCs w:val="18"/>
              </w:rPr>
              <w:t xml:space="preserve">cp .env.example .env</w:t>
            </w:r>
          </w:p>
          <w:p>
            <w:pPr>
              <w:spacing w:after="0" w:line="250"/>
            </w:pPr>
            <w:r>
              <w:rPr>
                <w:rFonts w:ascii="Courier New" w:cs="Courier New" w:eastAsia="Courier New" w:hAnsi="Courier New"/>
                <w:sz w:val="18"/>
                <w:szCs w:val="18"/>
              </w:rPr>
              <w:t xml:space="preserve">docker compose up -d            # Neo4j, MongoDB, Redis, Qdrant (wait ~30 s)</w:t>
            </w:r>
          </w:p>
          <w:p>
            <w:pPr>
              <w:spacing w:after="0" w:line="250"/>
            </w:pPr>
            <w:r>
              <w:rPr>
                <w:rFonts w:ascii="Courier New" w:cs="Courier New" w:eastAsia="Courier New" w:hAnsi="Courier New"/>
                <w:sz w:val="18"/>
                <w:szCs w:val="18"/>
              </w:rPr>
              <w:t xml:space="preserve">python3 -m venv .venv &amp;&amp; .venv/bin/pip install -r backend/requirements.txt</w:t>
            </w:r>
          </w:p>
          <w:p>
            <w:pPr>
              <w:spacing w:after="0" w:line="250"/>
            </w:pPr>
            <w:r>
              <w:rPr>
                <w:rFonts w:ascii="Courier New" w:cs="Courier New" w:eastAsia="Courier New" w:hAnsi="Courier New"/>
                <w:sz w:val="18"/>
                <w:szCs w:val="18"/>
              </w:rPr>
              <w:t xml:space="preserve">make api                        # terminal 1: API on http://localhost:8000</w:t>
            </w:r>
          </w:p>
          <w:p>
            <w:pPr>
              <w:spacing w:after="0" w:line="250"/>
            </w:pPr>
            <w:r>
              <w:rPr>
                <w:rFonts w:ascii="Courier New" w:cs="Courier New" w:eastAsia="Courier New" w:hAnsi="Courier New"/>
                <w:sz w:val="18"/>
                <w:szCs w:val="18"/>
              </w:rPr>
              <w:t xml:space="preserve">make web                        # terminal 2: console on http://localhost:5173</w:t>
            </w:r>
          </w:p>
        </w:tc>
      </w:tr>
    </w:tbl>
    <w:p>
      <w:pPr>
        <w:spacing w:after="160" w:line="340"/>
        <w:jc w:val="both"/>
      </w:pPr>
      <w:r>
        <w:rPr>
          <w:rFonts w:ascii="Times New Roman" w:cs="Times New Roman" w:eastAsia="Times New Roman" w:hAnsi="Times New Roman"/>
          <w:sz w:val="24"/>
          <w:szCs w:val="24"/>
        </w:rPr>
        <w:t xml:space="preserve">On its first start the API creates the database schema and loads the seed corpus into all four stores; this takes a few seconds. API documentation is served at </w:t>
      </w:r>
      <w:r>
        <w:rPr>
          <w:rFonts w:ascii="Courier New" w:cs="Courier New" w:eastAsia="Courier New" w:hAnsi="Courier New"/>
          <w:sz w:val="20"/>
          <w:szCs w:val="20"/>
        </w:rPr>
        <w:t xml:space="preserve">http://localhost:8000/docs</w:t>
      </w:r>
      <w:r>
        <w:rPr>
          <w:rFonts w:ascii="Times New Roman" w:cs="Times New Roman" w:eastAsia="Times New Roman" w:hAnsi="Times New Roman"/>
          <w:sz w:val="24"/>
          <w:szCs w:val="24"/>
        </w:rPr>
        <w:t xml:space="preserve">.</w:t>
      </w:r>
    </w:p>
    <w:p>
      <w:pPr>
        <w:pStyle w:val="Heading2"/>
        <w:keepNext/>
        <w:spacing w:after="120" w:before="240"/>
      </w:pPr>
      <w:r>
        <w:rPr>
          <w:rFonts w:ascii="Times New Roman" w:cs="Times New Roman" w:eastAsia="Times New Roman" w:hAnsi="Times New Roman"/>
          <w:b/>
          <w:bCs/>
          <w:color w:val="1B4F72"/>
          <w:sz w:val="26"/>
          <w:szCs w:val="26"/>
        </w:rPr>
        <w:t xml:space="preserve">3.3  Option B — everything in containers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CDD3" w:sz="4"/>
              <w:left w:val="single" w:color="C8CDD3" w:sz="4"/>
              <w:bottom w:val="single" w:color="C8CDD3" w:sz="4"/>
              <w:right w:val="single" w:color="C8CDD3" w:sz="4"/>
            </w:tcBorders>
            <w:shd w:fill="F4F5F7" w:val="clear"/>
            <w:tcMar>
              <w:top w:type="dxa" w:w="80"/>
              <w:left w:type="dxa" w:w="140"/>
              <w:bottom w:type="dxa" w:w="80"/>
              <w:right w:type="dxa" w:w="140"/>
            </w:tcMar>
          </w:tcPr>
          <w:p>
            <w:pPr>
              <w:spacing w:after="0" w:line="250"/>
            </w:pPr>
            <w:r>
              <w:rPr>
                <w:rFonts w:ascii="Courier New" w:cs="Courier New" w:eastAsia="Courier New" w:hAnsi="Courier New"/>
                <w:sz w:val="18"/>
                <w:szCs w:val="18"/>
              </w:rPr>
              <w:t xml:space="preserve">cp .env.example .env</w:t>
            </w:r>
          </w:p>
          <w:p>
            <w:pPr>
              <w:spacing w:after="0" w:line="250"/>
            </w:pPr>
            <w:r>
              <w:rPr>
                <w:rFonts w:ascii="Courier New" w:cs="Courier New" w:eastAsia="Courier New" w:hAnsi="Courier New"/>
                <w:sz w:val="18"/>
                <w:szCs w:val="18"/>
              </w:rPr>
              <w:t xml:space="preserve">docker compose --profile app up -d --build      # stores + API + console on :5173</w:t>
            </w:r>
          </w:p>
        </w:tc>
      </w:tr>
    </w:tbl>
    <w:p>
      <w:pPr>
        <w:spacing w:after="160" w:line="340"/>
        <w:jc w:val="both"/>
      </w:pPr>
      <w:r>
        <w:rPr>
          <w:rFonts w:ascii="Times New Roman" w:cs="Times New Roman" w:eastAsia="Times New Roman" w:hAnsi="Times New Roman"/>
          <w:sz w:val="24"/>
          <w:szCs w:val="24"/>
        </w:rPr>
        <w:t xml:space="preserve">To stop: </w:t>
      </w:r>
      <w:r>
        <w:rPr>
          <w:rFonts w:ascii="Courier New" w:cs="Courier New" w:eastAsia="Courier New" w:hAnsi="Courier New"/>
          <w:sz w:val="20"/>
          <w:szCs w:val="20"/>
        </w:rPr>
        <w:t xml:space="preserve">docker compose --profile app stop</w:t>
      </w:r>
      <w:r>
        <w:rPr>
          <w:rFonts w:ascii="Times New Roman" w:cs="Times New Roman" w:eastAsia="Times New Roman" w:hAnsi="Times New Roman"/>
          <w:sz w:val="24"/>
          <w:szCs w:val="24"/>
        </w:rPr>
        <w:t xml:space="preserve">. Stop the containerised API and console before using Option A, because both use ports 8000 and 5173.</w:t>
      </w:r>
    </w:p>
    <w:p>
      <w:pPr>
        <w:pStyle w:val="Heading2"/>
        <w:keepNext/>
        <w:spacing w:after="120" w:before="240"/>
      </w:pPr>
      <w:r>
        <w:rPr>
          <w:rFonts w:ascii="Times New Roman" w:cs="Times New Roman" w:eastAsia="Times New Roman" w:hAnsi="Times New Roman"/>
          <w:b/>
          <w:bCs/>
          <w:color w:val="1B4F72"/>
          <w:sz w:val="26"/>
          <w:szCs w:val="26"/>
        </w:rPr>
        <w:t xml:space="preserve">3.4  Local language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CDD3" w:sz="4"/>
              <w:left w:val="single" w:color="C8CDD3" w:sz="4"/>
              <w:bottom w:val="single" w:color="C8CDD3" w:sz="4"/>
              <w:right w:val="single" w:color="C8CDD3" w:sz="4"/>
            </w:tcBorders>
            <w:shd w:fill="F4F5F7" w:val="clear"/>
            <w:tcMar>
              <w:top w:type="dxa" w:w="80"/>
              <w:left w:type="dxa" w:w="140"/>
              <w:bottom w:type="dxa" w:w="80"/>
              <w:right w:type="dxa" w:w="140"/>
            </w:tcMar>
          </w:tcPr>
          <w:p>
            <w:pPr>
              <w:spacing w:after="0" w:line="250"/>
            </w:pPr>
            <w:r>
              <w:rPr>
                <w:rFonts w:ascii="Courier New" w:cs="Courier New" w:eastAsia="Courier New" w:hAnsi="Courier New"/>
                <w:sz w:val="18"/>
                <w:szCs w:val="18"/>
              </w:rPr>
              <w:t xml:space="preserve">ollama pull llama3.2:3b         # default model, meets the 15 s answer target</w:t>
            </w:r>
          </w:p>
          <w:p>
            <w:pPr>
              <w:spacing w:after="0" w:line="250"/>
            </w:pPr>
            <w:r>
              <w:rPr>
                <w:rFonts w:ascii="Courier New" w:cs="Courier New" w:eastAsia="Courier New" w:hAnsi="Courier New"/>
                <w:sz w:val="18"/>
                <w:szCs w:val="18"/>
              </w:rPr>
              <w:t xml:space="preserve">ollama pull llama3.1             # optional: fuller answers, slower (set OLLAMA_MODEL=llama3.1)</w:t>
            </w:r>
          </w:p>
        </w:tc>
      </w:tr>
    </w:tbl>
    <w:p>
      <w:pPr>
        <w:spacing w:after="160" w:line="340"/>
        <w:jc w:val="both"/>
      </w:pPr>
      <w:r>
        <w:rPr>
          <w:rFonts w:ascii="Times New Roman" w:cs="Times New Roman" w:eastAsia="Times New Roman" w:hAnsi="Times New Roman"/>
          <w:sz w:val="24"/>
          <w:szCs w:val="24"/>
        </w:rPr>
        <w:t xml:space="preserve">The </w:t>
      </w:r>
      <w:r>
        <w:rPr>
          <w:rFonts w:ascii="Courier New" w:cs="Courier New" w:eastAsia="Courier New" w:hAnsi="Courier New"/>
          <w:sz w:val="20"/>
          <w:szCs w:val="20"/>
        </w:rPr>
        <w:t xml:space="preserve">llm</w:t>
      </w:r>
      <w:r>
        <w:rPr>
          <w:rFonts w:ascii="Times New Roman" w:cs="Times New Roman" w:eastAsia="Times New Roman" w:hAnsi="Times New Roman"/>
          <w:sz w:val="24"/>
          <w:szCs w:val="24"/>
        </w:rPr>
        <w:t xml:space="preserve"> dot in the console sidebar turns green when Ollama is reachable and the configured model is pulled. In containers, the API reaches Ollama on the host through </w:t>
      </w:r>
      <w:r>
        <w:rPr>
          <w:rFonts w:ascii="Courier New" w:cs="Courier New" w:eastAsia="Courier New" w:hAnsi="Courier New"/>
          <w:sz w:val="20"/>
          <w:szCs w:val="20"/>
        </w:rPr>
        <w:t xml:space="preserve">host.docker.internal</w:t>
      </w:r>
      <w:r>
        <w:rPr>
          <w:rFonts w:ascii="Times New Roman" w:cs="Times New Roman" w:eastAsia="Times New Roman" w:hAnsi="Times New Roman"/>
          <w:sz w:val="24"/>
          <w:szCs w:val="24"/>
        </w:rPr>
        <w:t xml:space="preserve">; to run Ollama in a container instead, add </w:t>
      </w:r>
      <w:r>
        <w:rPr>
          <w:rFonts w:ascii="Courier New" w:cs="Courier New" w:eastAsia="Courier New" w:hAnsi="Courier New"/>
          <w:sz w:val="20"/>
          <w:szCs w:val="20"/>
        </w:rPr>
        <w:t xml:space="preserve">--profile llm</w:t>
      </w:r>
      <w:r>
        <w:rPr>
          <w:rFonts w:ascii="Times New Roman" w:cs="Times New Roman" w:eastAsia="Times New Roman" w:hAnsi="Times New Roman"/>
          <w:sz w:val="24"/>
          <w:szCs w:val="24"/>
        </w:rPr>
        <w:t xml:space="preserve"> and set </w:t>
      </w:r>
      <w:r>
        <w:rPr>
          <w:rFonts w:ascii="Courier New" w:cs="Courier New" w:eastAsia="Courier New" w:hAnsi="Courier New"/>
          <w:sz w:val="20"/>
          <w:szCs w:val="20"/>
        </w:rPr>
        <w:t xml:space="preserve">OLLAMA_URL_DOCKER=http://ollama:11434</w:t>
      </w:r>
      <w:r>
        <w:rPr>
          <w:rFonts w:ascii="Times New Roman" w:cs="Times New Roman" w:eastAsia="Times New Roman" w:hAnsi="Times New Roman"/>
          <w:sz w:val="24"/>
          <w:szCs w:val="24"/>
        </w:rPr>
        <w:t xml:space="preserve"> in </w:t>
      </w:r>
      <w:r>
        <w:rPr>
          <w:rFonts w:ascii="Courier New" w:cs="Courier New" w:eastAsia="Courier New" w:hAnsi="Courier New"/>
          <w:sz w:val="20"/>
          <w:szCs w:val="20"/>
        </w:rPr>
        <w:t xml:space="preserve">.env</w:t>
      </w:r>
      <w:r>
        <w:rPr>
          <w:rFonts w:ascii="Times New Roman" w:cs="Times New Roman" w:eastAsia="Times New Roman" w:hAnsi="Times New Roman"/>
          <w:sz w:val="24"/>
          <w:szCs w:val="24"/>
        </w:rPr>
        <w:t xml:space="preserve">.</w:t>
      </w:r>
    </w:p>
    <w:p>
      <w:pPr>
        <w:pStyle w:val="Heading2"/>
        <w:keepNext/>
        <w:spacing w:after="120" w:before="240"/>
      </w:pPr>
      <w:r>
        <w:rPr>
          <w:rFonts w:ascii="Times New Roman" w:cs="Times New Roman" w:eastAsia="Times New Roman" w:hAnsi="Times New Roman"/>
          <w:b/>
          <w:bCs/>
          <w:color w:val="1B4F72"/>
          <w:sz w:val="26"/>
          <w:szCs w:val="26"/>
        </w:rPr>
        <w:t xml:space="preserve">3.5  Check the installation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CDD3" w:sz="4"/>
              <w:left w:val="single" w:color="C8CDD3" w:sz="4"/>
              <w:bottom w:val="single" w:color="C8CDD3" w:sz="4"/>
              <w:right w:val="single" w:color="C8CDD3" w:sz="4"/>
            </w:tcBorders>
            <w:shd w:fill="F4F5F7" w:val="clear"/>
            <w:tcMar>
              <w:top w:type="dxa" w:w="80"/>
              <w:left w:type="dxa" w:w="140"/>
              <w:bottom w:type="dxa" w:w="80"/>
              <w:right w:type="dxa" w:w="140"/>
            </w:tcMar>
          </w:tcPr>
          <w:p>
            <w:pPr>
              <w:spacing w:after="0" w:line="250"/>
            </w:pPr>
            <w:r>
              <w:rPr>
                <w:rFonts w:ascii="Courier New" w:cs="Courier New" w:eastAsia="Courier New" w:hAnsi="Courier New"/>
                <w:sz w:val="18"/>
                <w:szCs w:val="18"/>
              </w:rPr>
              <w:t xml:space="preserve">curl -s http://localhost:8000/api/health     # "startup": {"ok": true, "detail": "ready"}</w:t>
            </w:r>
          </w:p>
          <w:p>
            <w:pPr>
              <w:spacing w:after="0" w:line="250"/>
            </w:pPr>
            <w:r>
              <w:rPr>
                <w:rFonts w:ascii="Courier New" w:cs="Courier New" w:eastAsia="Courier New" w:hAnsi="Courier New"/>
                <w:sz w:val="18"/>
                <w:szCs w:val="18"/>
              </w:rPr>
              <w:t xml:space="preserve">make test                                    # 18 unit tests, no databases needed</w:t>
            </w:r>
          </w:p>
          <w:p>
            <w:pPr>
              <w:spacing w:after="0" w:line="250"/>
            </w:pPr>
            <w:r>
              <w:rPr>
                <w:rFonts w:ascii="Courier New" w:cs="Courier New" w:eastAsia="Courier New" w:hAnsi="Courier New"/>
                <w:sz w:val="18"/>
                <w:szCs w:val="18"/>
              </w:rPr>
              <w:t xml:space="preserve">make test-integration                        # 16 API tests against the running stores</w:t>
            </w:r>
          </w:p>
        </w:tc>
      </w:tr>
    </w:tbl>
    <w:p>
      <w:pPr>
        <w:pStyle w:val="Heading2"/>
        <w:keepNext/>
        <w:spacing w:after="120" w:before="240"/>
      </w:pPr>
      <w:r>
        <w:rPr>
          <w:rFonts w:ascii="Times New Roman" w:cs="Times New Roman" w:eastAsia="Times New Roman" w:hAnsi="Times New Roman"/>
          <w:b/>
          <w:bCs/>
          <w:color w:val="1B4F72"/>
          <w:sz w:val="26"/>
          <w:szCs w:val="26"/>
        </w:rPr>
        <w:t xml:space="preserve">3.6  Real threat intelligence (optional)</w:t>
      </w:r>
    </w:p>
    <w:p>
      <w:pPr>
        <w:spacing w:after="160" w:line="340"/>
        <w:jc w:val="both"/>
      </w:pPr>
      <w:r>
        <w:rPr>
          <w:rFonts w:ascii="Times New Roman" w:cs="Times New Roman" w:eastAsia="Times New Roman" w:hAnsi="Times New Roman"/>
          <w:sz w:val="24"/>
          <w:szCs w:val="24"/>
        </w:rPr>
        <w:t xml:space="preserve">The seed corpus is small and curated. To add real, public threat intelligence on top of it,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CDD3" w:sz="4"/>
              <w:left w:val="single" w:color="C8CDD3" w:sz="4"/>
              <w:bottom w:val="single" w:color="C8CDD3" w:sz="4"/>
              <w:right w:val="single" w:color="C8CDD3" w:sz="4"/>
            </w:tcBorders>
            <w:shd w:fill="F4F5F7" w:val="clear"/>
            <w:tcMar>
              <w:top w:type="dxa" w:w="80"/>
              <w:left w:type="dxa" w:w="140"/>
              <w:bottom w:type="dxa" w:w="80"/>
              <w:right w:type="dxa" w:w="140"/>
            </w:tcMar>
          </w:tcPr>
          <w:p>
            <w:pPr>
              <w:spacing w:after="0" w:line="250"/>
            </w:pPr>
            <w:r>
              <w:rPr>
                <w:rFonts w:ascii="Courier New" w:cs="Courier New" w:eastAsia="Courier New" w:hAnsi="Courier New"/>
                <w:sz w:val="18"/>
                <w:szCs w:val="18"/>
              </w:rPr>
              <w:t xml:space="preserve">make import-feeds                # MITRE ATT&amp;CK, abuse.ch Feodo Tracker, Emerging Threats (a few minutes)</w:t>
            </w:r>
          </w:p>
          <w:p>
            <w:pPr>
              <w:spacing w:after="0" w:line="250"/>
            </w:pPr>
            <w:r>
              <w:rPr>
                <w:rFonts w:ascii="Courier New" w:cs="Courier New" w:eastAsia="Courier New" w:hAnsi="Courier New"/>
                <w:sz w:val="18"/>
                <w:szCs w:val="18"/>
              </w:rPr>
              <w:t xml:space="preserve">                                 # then restart the API (stop make api, start it again)</w:t>
            </w:r>
          </w:p>
        </w:tc>
      </w:tr>
    </w:tbl>
    <w:p>
      <w:pPr>
        <w:spacing w:after="160" w:line="340"/>
        <w:jc w:val="both"/>
      </w:pPr>
      <w:r>
        <w:rPr>
          <w:rFonts w:ascii="Times New Roman" w:cs="Times New Roman" w:eastAsia="Times New Roman" w:hAnsi="Times New Roman"/>
          <w:sz w:val="24"/>
          <w:szCs w:val="24"/>
        </w:rPr>
        <w:t xml:space="preserve">This downloads MITRE ATT&amp;CK Enterprise (178 groups, 842 malware families and tools, 227 techniques, 57 campaigns), the abuse.ch Feodo Tracker botnet C2 list and the Emerging Threats compromised-host list. ATT&amp;CK groups that already exist in the corpus (APT28, Sandworm …) are merged, not duplicated. Every group and campaign gets a report in the Report browser, and the feed IPs go on the blocklist with a TTL of one to seven days. Run it again to refresh; run it again after </w:t>
      </w:r>
      <w:r>
        <w:rPr>
          <w:rFonts w:ascii="Courier New" w:cs="Courier New" w:eastAsia="Courier New" w:hAnsi="Courier New"/>
          <w:sz w:val="20"/>
          <w:szCs w:val="20"/>
        </w:rPr>
        <w:t xml:space="preserve">make seed</w:t>
      </w:r>
      <w:r>
        <w:rPr>
          <w:rFonts w:ascii="Times New Roman" w:cs="Times New Roman" w:eastAsia="Times New Roman" w:hAnsi="Times New Roman"/>
          <w:sz w:val="24"/>
          <w:szCs w:val="24"/>
        </w:rPr>
        <w:t xml:space="preserve">, which removes it.</w:t>
      </w:r>
    </w:p>
    <w:p>
      <w:pPr>
        <w:pStyle w:val="Heading2"/>
        <w:keepNext/>
        <w:spacing w:after="120" w:before="240"/>
      </w:pPr>
      <w:r>
        <w:rPr>
          <w:rFonts w:ascii="Times New Roman" w:cs="Times New Roman" w:eastAsia="Times New Roman" w:hAnsi="Times New Roman"/>
          <w:b/>
          <w:bCs/>
          <w:color w:val="1B4F72"/>
          <w:sz w:val="26"/>
          <w:szCs w:val="26"/>
        </w:rPr>
        <w:t xml:space="preserve">3.7  Hosted databases (optional)</w:t>
      </w:r>
    </w:p>
    <w:p>
      <w:pPr>
        <w:spacing w:after="160" w:line="340"/>
        <w:jc w:val="both"/>
      </w:pPr>
      <w:r>
        <w:rPr>
          <w:rFonts w:ascii="Times New Roman" w:cs="Times New Roman" w:eastAsia="Times New Roman" w:hAnsi="Times New Roman"/>
          <w:sz w:val="24"/>
          <w:szCs w:val="24"/>
        </w:rPr>
        <w:t xml:space="preserve">Instead of local containers, the four databases can run on their vendors' free cloud services: Neo4j AuraDB, MongoDB Atlas, Redis Cloud and Qdrant Cloud. </w:t>
      </w:r>
      <w:r>
        <w:rPr>
          <w:rFonts w:ascii="Courier New" w:cs="Courier New" w:eastAsia="Courier New" w:hAnsi="Courier New"/>
          <w:sz w:val="20"/>
          <w:szCs w:val="20"/>
        </w:rPr>
        <w:t xml:space="preserve">docs/cloud-setup.md</w:t>
      </w:r>
      <w:r>
        <w:rPr>
          <w:rFonts w:ascii="Times New Roman" w:cs="Times New Roman" w:eastAsia="Times New Roman" w:hAnsi="Times New Roman"/>
          <w:sz w:val="24"/>
          <w:szCs w:val="24"/>
        </w:rPr>
        <w:t xml:space="preserve"> explains how to create each one. Put the connection details in </w:t>
      </w:r>
      <w:r>
        <w:rPr>
          <w:rFonts w:ascii="Courier New" w:cs="Courier New" w:eastAsia="Courier New" w:hAnsi="Courier New"/>
          <w:sz w:val="20"/>
          <w:szCs w:val="20"/>
        </w:rPr>
        <w:t xml:space="preserve">.env.cloud</w:t>
      </w:r>
      <w:r>
        <w:rPr>
          <w:rFonts w:ascii="Times New Roman" w:cs="Times New Roman" w:eastAsia="Times New Roman" w:hAnsi="Times New Roman"/>
          <w:sz w:val="24"/>
          <w:szCs w:val="24"/>
        </w:rPr>
        <w:t xml:space="preserve"> (never commit it), then: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CDD3" w:sz="4"/>
              <w:left w:val="single" w:color="C8CDD3" w:sz="4"/>
              <w:bottom w:val="single" w:color="C8CDD3" w:sz="4"/>
              <w:right w:val="single" w:color="C8CDD3" w:sz="4"/>
            </w:tcBorders>
            <w:shd w:fill="F4F5F7" w:val="clear"/>
            <w:tcMar>
              <w:top w:type="dxa" w:w="80"/>
              <w:left w:type="dxa" w:w="140"/>
              <w:bottom w:type="dxa" w:w="80"/>
              <w:right w:type="dxa" w:w="140"/>
            </w:tcMar>
          </w:tcPr>
          <w:p>
            <w:pPr>
              <w:spacing w:after="0" w:line="250"/>
            </w:pPr>
            <w:r>
              <w:rPr>
                <w:rFonts w:ascii="Courier New" w:cs="Courier New" w:eastAsia="Courier New" w:hAnsi="Courier New"/>
                <w:sz w:val="18"/>
                <w:szCs w:val="18"/>
              </w:rPr>
              <w:t xml:space="preserve">make cloud-check                 # connects read-only; every line must say OK … hosted</w:t>
            </w:r>
          </w:p>
          <w:p>
            <w:pPr>
              <w:spacing w:after="0" w:line="250"/>
            </w:pPr>
            <w:r>
              <w:rPr>
                <w:rFonts w:ascii="Courier New" w:cs="Courier New" w:eastAsia="Courier New" w:hAnsi="Courier New"/>
                <w:sz w:val="18"/>
                <w:szCs w:val="18"/>
              </w:rPr>
              <w:t xml:space="preserve">make cloud-seed                  # schema + seed corpus into the hosted databases</w:t>
            </w:r>
          </w:p>
          <w:p>
            <w:pPr>
              <w:spacing w:after="0" w:line="250"/>
            </w:pPr>
            <w:r>
              <w:rPr>
                <w:rFonts w:ascii="Courier New" w:cs="Courier New" w:eastAsia="Courier New" w:hAnsi="Courier New"/>
                <w:sz w:val="18"/>
                <w:szCs w:val="18"/>
              </w:rPr>
              <w:t xml:space="preserve">make cloud-import-feeds          # real threat intelligence (about 5 minutes)</w:t>
            </w:r>
          </w:p>
          <w:p>
            <w:pPr>
              <w:spacing w:after="0" w:line="250"/>
            </w:pPr>
            <w:r>
              <w:rPr>
                <w:rFonts w:ascii="Courier New" w:cs="Courier New" w:eastAsia="Courier New" w:hAnsi="Courier New"/>
                <w:sz w:val="18"/>
                <w:szCs w:val="18"/>
              </w:rPr>
              <w:t xml:space="preserve">make cloud-api                   # API on :8000 against the hosted databases; then make web</w:t>
            </w:r>
          </w:p>
        </w:tc>
      </w:tr>
    </w:tbl>
    <w:p>
      <w:pPr>
        <w:spacing w:after="160" w:line="340"/>
        <w:jc w:val="both"/>
      </w:pPr>
      <w:r>
        <w:rPr>
          <w:rFonts w:ascii="Times New Roman" w:cs="Times New Roman" w:eastAsia="Times New Roman" w:hAnsi="Times New Roman"/>
          <w:b/>
          <w:bCs/>
          <w:sz w:val="24"/>
          <w:szCs w:val="24"/>
        </w:rPr>
        <w:t xml:space="preserve">Operations</w:t>
      </w:r>
      <w:r>
        <w:rPr>
          <w:rFonts w:ascii="Times New Roman" w:cs="Times New Roman" w:eastAsia="Times New Roman" w:hAnsi="Times New Roman"/>
          <w:sz w:val="24"/>
          <w:szCs w:val="24"/>
        </w:rPr>
        <w:t xml:space="preserve"> then shows each store's cloud hostname. MongoDB Atlas only accepts computers whose IP address is on its access list: if </w:t>
      </w:r>
      <w:r>
        <w:rPr>
          <w:rFonts w:ascii="Courier New" w:cs="Courier New" w:eastAsia="Courier New" w:hAnsi="Courier New"/>
          <w:sz w:val="20"/>
          <w:szCs w:val="20"/>
        </w:rPr>
        <w:t xml:space="preserve">make cloud-check</w:t>
      </w:r>
      <w:r>
        <w:rPr>
          <w:rFonts w:ascii="Times New Roman" w:cs="Times New Roman" w:eastAsia="Times New Roman" w:hAnsi="Times New Roman"/>
          <w:sz w:val="24"/>
          <w:szCs w:val="24"/>
        </w:rPr>
        <w:t xml:space="preserve"> reports an SSL or TLS error for MongoDB, add your current IP under Atlas → Security → Network Access.</w:t>
      </w:r>
    </w:p>
    <w:p>
      <w:pPr>
        <w:pStyle w:val="Heading1"/>
        <w:pBdr>
          <w:bottom w:val="single" w:color="0F2A47" w:sz="12" w:space="4"/>
        </w:pBdr>
        <w:spacing w:after="180" w:before="320"/>
      </w:pPr>
      <w:r>
        <w:rPr>
          <w:rFonts w:ascii="Times New Roman" w:cs="Times New Roman" w:eastAsia="Times New Roman" w:hAnsi="Times New Roman"/>
          <w:b/>
          <w:bCs/>
          <w:color w:val="0F2A47"/>
          <w:sz w:val="32"/>
          <w:szCs w:val="32"/>
        </w:rPr>
        <w:t xml:space="preserve">4.  Signing In</w:t>
      </w:r>
    </w:p>
    <w:p>
      <w:pPr>
        <w:keepNext/>
        <w:spacing w:after="40" w:before="120"/>
        <w:jc w:val="center"/>
      </w:pPr>
      <w:r>
        <w:drawing>
          <wp:inline distT="0" distB="0" distL="0" distR="0">
            <wp:extent cx="4381500" cy="2743200"/>
            <wp:effectExtent t="0" r="0" b="0" l="0"/>
            <wp:docPr id="1" name="Sign-in page with the demo accounts." descr="Sign-in page with the demo accounts." title="Sign-in page with the demo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74320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  Sign-in page with the demo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4338"/>
      </w:tblGrid>
      <w:tr>
        <w:trPr>
          <w:cantSplit/>
          <w:tblHeader/>
        </w:trPr>
        <w:tc>
          <w:tcPr>
            <w:tcW w:type="dxa" w:w="23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Account / password</w:t>
            </w:r>
          </w:p>
        </w:tc>
        <w:tc>
          <w:tcPr>
            <w:tcW w:type="dxa" w:w="15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Role</w:t>
            </w:r>
          </w:p>
        </w:tc>
        <w:tc>
          <w:tcPr>
            <w:tcW w:type="dxa" w:w="15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Clearance</w:t>
            </w:r>
          </w:p>
        </w:tc>
        <w:tc>
          <w:tcPr>
            <w:tcW w:type="dxa" w:w="43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Use it to</w:t>
            </w:r>
          </w:p>
        </w:tc>
      </w:tr>
      <w:tr>
        <w:trPr>
          <w:cantSplit/>
          <w:tblHeader w:val="false"/>
        </w:trPr>
        <w:tc>
          <w:tcPr>
            <w:tcW w:type="dxa" w:w="2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analyst / analyst123</w:t>
            </w:r>
          </w:p>
        </w:tc>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analyst</w:t>
            </w:r>
          </w:p>
        </w:tc>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AMBER</w:t>
            </w:r>
          </w:p>
        </w:tc>
        <w:tc>
          <w:tcPr>
            <w:tcW w:type="dxa" w:w="4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explore and ask questions</w:t>
            </w:r>
          </w:p>
        </w:tc>
      </w:tr>
      <w:tr>
        <w:trPr>
          <w:cantSplit/>
          <w:tblHeader w:val="false"/>
        </w:trPr>
        <w:tc>
          <w:tcPr>
            <w:tcW w:type="dxa" w:w="2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junior / junior123</w:t>
            </w:r>
          </w:p>
        </w:tc>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analyst</w:t>
            </w:r>
          </w:p>
        </w:tc>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GREEN</w:t>
            </w:r>
          </w:p>
        </w:tc>
        <w:tc>
          <w:tcPr>
            <w:tcW w:type="dxa" w:w="4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see TLP filtering (AMBER hidden)</w:t>
            </w:r>
          </w:p>
        </w:tc>
      </w:tr>
      <w:tr>
        <w:trPr>
          <w:cantSplit/>
          <w:tblHeader w:val="false"/>
        </w:trPr>
        <w:tc>
          <w:tcPr>
            <w:tcW w:type="dxa" w:w="2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lead / lead123</w:t>
            </w:r>
          </w:p>
        </w:tc>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lead</w:t>
            </w:r>
          </w:p>
        </w:tc>
        <w:tc>
          <w:tcPr>
            <w:tcW w:type="dxa" w:w="1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RED</w:t>
            </w:r>
          </w:p>
        </w:tc>
        <w:tc>
          <w:tcPr>
            <w:tcW w:type="dxa" w:w="4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publish IOCs and ingest</w:t>
            </w:r>
          </w:p>
        </w:tc>
      </w:tr>
      <w:tr>
        <w:trPr>
          <w:cantSplit/>
          <w:tblHeader w:val="false"/>
        </w:trPr>
        <w:tc>
          <w:tcPr>
            <w:tcW w:type="dxa" w:w="2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admin / admin123</w:t>
            </w:r>
          </w:p>
        </w:tc>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admin</w:t>
            </w:r>
          </w:p>
        </w:tc>
        <w:tc>
          <w:tcPr>
            <w:tcW w:type="dxa" w:w="1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val="false"/>
                <w:bCs w:val="false"/>
                <w:sz w:val="19"/>
                <w:szCs w:val="19"/>
              </w:rPr>
              <w:t xml:space="preserve">RED</w:t>
            </w:r>
          </w:p>
        </w:tc>
        <w:tc>
          <w:tcPr>
            <w:tcW w:type="dxa" w:w="4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re-seed, reindex, delete reports</w:t>
            </w:r>
          </w:p>
        </w:tc>
      </w:tr>
    </w:tbl>
    <w:p>
      <w:pPr>
        <w:spacing w:after="80"/>
      </w:pPr>
    </w:p>
    <w:p>
      <w:pPr>
        <w:spacing w:after="160" w:line="340"/>
        <w:jc w:val="both"/>
      </w:pPr>
      <w:r>
        <w:rPr>
          <w:rFonts w:ascii="Times New Roman" w:cs="Times New Roman" w:eastAsia="Times New Roman" w:hAnsi="Times New Roman"/>
          <w:sz w:val="24"/>
          <w:szCs w:val="24"/>
        </w:rPr>
        <w:t xml:space="preserve">Click an account name to fill the form, or type the credentials and press </w:t>
      </w:r>
      <w:r>
        <w:rPr>
          <w:rFonts w:ascii="Times New Roman" w:cs="Times New Roman" w:eastAsia="Times New Roman" w:hAnsi="Times New Roman"/>
          <w:b/>
          <w:bCs/>
          <w:sz w:val="24"/>
          <w:szCs w:val="24"/>
        </w:rPr>
        <w:t xml:space="preserve">Sign in</w:t>
      </w:r>
      <w:r>
        <w:rPr>
          <w:rFonts w:ascii="Times New Roman" w:cs="Times New Roman" w:eastAsia="Times New Roman" w:hAnsi="Times New Roman"/>
          <w:sz w:val="24"/>
          <w:szCs w:val="24"/>
        </w:rPr>
        <w:t xml:space="preserve">. A session lasts eight hours; when it expires you are returned to this page. The sidebar shows your name, role and clearance, the health of each store, and </w:t>
      </w:r>
      <w:r>
        <w:rPr>
          <w:rFonts w:ascii="Times New Roman" w:cs="Times New Roman" w:eastAsia="Times New Roman" w:hAnsi="Times New Roman"/>
          <w:b/>
          <w:bCs/>
          <w:sz w:val="24"/>
          <w:szCs w:val="24"/>
        </w:rPr>
        <w:t xml:space="preserve">Sign out</w:t>
      </w:r>
      <w:r>
        <w:rPr>
          <w:rFonts w:ascii="Times New Roman" w:cs="Times New Roman" w:eastAsia="Times New Roman" w:hAnsi="Times New Roman"/>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4F72" w:sz="6"/>
              <w:left w:val="single" w:color="1B4F72" w:sz="24"/>
              <w:bottom w:val="single" w:color="1B4F72" w:sz="6"/>
              <w:right w:val="single" w:color="1B4F72" w:sz="6"/>
            </w:tcBorders>
            <w:shd w:fill="EEF3F8" w:val="clear"/>
            <w:tcMar>
              <w:top w:type="dxa" w:w="100"/>
              <w:left w:type="dxa" w:w="160"/>
              <w:bottom w:type="dxa" w:w="100"/>
              <w:right w:type="dxa" w:w="160"/>
            </w:tcMar>
          </w:tcPr>
          <w:p>
            <w:pPr>
              <w:spacing w:after="60" w:line="300"/>
            </w:pPr>
            <w:r>
              <w:rPr>
                <w:rFonts w:ascii="Times New Roman" w:cs="Times New Roman" w:eastAsia="Times New Roman" w:hAnsi="Times New Roman"/>
                <w:b/>
                <w:bCs/>
                <w:sz w:val="22"/>
                <w:szCs w:val="22"/>
              </w:rPr>
              <w:t xml:space="preserve">Change these passwords and the session secret before using the platform outside a lab</w:t>
            </w:r>
            <w:r>
              <w:rPr>
                <w:rFonts w:ascii="Times New Roman" w:cs="Times New Roman" w:eastAsia="Times New Roman" w:hAnsi="Times New Roman"/>
                <w:sz w:val="22"/>
                <w:szCs w:val="22"/>
              </w:rPr>
              <w:t xml:space="preserve"> (</w:t>
            </w:r>
            <w:r>
              <w:rPr>
                <w:rFonts w:ascii="Courier New" w:cs="Courier New" w:eastAsia="Courier New" w:hAnsi="Courier New"/>
                <w:sz w:val="20"/>
                <w:szCs w:val="20"/>
              </w:rPr>
              <w:t xml:space="preserve">JWT_SECRET</w:t>
            </w:r>
            <w:r>
              <w:rPr>
                <w:rFonts w:ascii="Times New Roman" w:cs="Times New Roman" w:eastAsia="Times New Roman" w:hAnsi="Times New Roman"/>
                <w:sz w:val="22"/>
                <w:szCs w:val="22"/>
              </w:rPr>
              <w:t xml:space="preserve"> in </w:t>
            </w:r>
            <w:r>
              <w:rPr>
                <w:rFonts w:ascii="Courier New" w:cs="Courier New" w:eastAsia="Courier New" w:hAnsi="Courier New"/>
                <w:sz w:val="20"/>
                <w:szCs w:val="20"/>
              </w:rPr>
              <w:t xml:space="preserve">.env</w:t>
            </w:r>
            <w:r>
              <w:rPr>
                <w:rFonts w:ascii="Times New Roman" w:cs="Times New Roman" w:eastAsia="Times New Roman" w:hAnsi="Times New Roman"/>
                <w:sz w:val="22"/>
                <w:szCs w:val="22"/>
              </w:rPr>
              <w:t xml:space="preserve">). The demo accounts are created automatically when the user collection is empty.</w:t>
            </w:r>
          </w:p>
        </w:tc>
      </w:tr>
    </w:tbl>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5.  Using the Console</w:t>
      </w:r>
    </w:p>
    <w:p>
      <w:pPr>
        <w:pStyle w:val="Heading2"/>
        <w:keepNext/>
        <w:spacing w:after="120" w:before="240"/>
      </w:pPr>
      <w:r>
        <w:rPr>
          <w:rFonts w:ascii="Times New Roman" w:cs="Times New Roman" w:eastAsia="Times New Roman" w:hAnsi="Times New Roman"/>
          <w:b/>
          <w:bCs/>
          <w:color w:val="1B4F72"/>
          <w:sz w:val="26"/>
          <w:szCs w:val="26"/>
        </w:rPr>
        <w:t xml:space="preserve">5.1  GraphRAG console</w:t>
      </w:r>
    </w:p>
    <w:p>
      <w:pPr>
        <w:spacing w:after="160" w:line="340"/>
        <w:jc w:val="both"/>
      </w:pPr>
      <w:r>
        <w:rPr>
          <w:rFonts w:ascii="Times New Roman" w:cs="Times New Roman" w:eastAsia="Times New Roman" w:hAnsi="Times New Roman"/>
          <w:sz w:val="24"/>
          <w:szCs w:val="24"/>
        </w:rPr>
        <w:t xml:space="preserve">Type a question, or click one of the six example questions, and press </w:t>
      </w:r>
      <w:r>
        <w:rPr>
          <w:rFonts w:ascii="Times New Roman" w:cs="Times New Roman" w:eastAsia="Times New Roman" w:hAnsi="Times New Roman"/>
          <w:b/>
          <w:bCs/>
          <w:sz w:val="24"/>
          <w:szCs w:val="24"/>
        </w:rPr>
        <w:t xml:space="preserve">Ask</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hops</w:t>
      </w:r>
      <w:r>
        <w:rPr>
          <w:rFonts w:ascii="Times New Roman" w:cs="Times New Roman" w:eastAsia="Times New Roman" w:hAnsi="Times New Roman"/>
          <w:sz w:val="24"/>
          <w:szCs w:val="24"/>
        </w:rPr>
        <w:t xml:space="preserve"> (1–3) sets how far the graph is expanded from the entities named in the question, </w:t>
      </w:r>
      <w:r>
        <w:rPr>
          <w:rFonts w:ascii="Times New Roman" w:cs="Times New Roman" w:eastAsia="Times New Roman" w:hAnsi="Times New Roman"/>
          <w:b/>
          <w:bCs/>
          <w:sz w:val="24"/>
          <w:szCs w:val="24"/>
        </w:rPr>
        <w:t xml:space="preserve">top-k chunks</w:t>
      </w:r>
      <w:r>
        <w:rPr>
          <w:rFonts w:ascii="Times New Roman" w:cs="Times New Roman" w:eastAsia="Times New Roman" w:hAnsi="Times New Roman"/>
          <w:sz w:val="24"/>
          <w:szCs w:val="24"/>
        </w:rPr>
        <w:t xml:space="preserve"> how many passages are retrieved, and </w:t>
      </w:r>
      <w:r>
        <w:rPr>
          <w:rFonts w:ascii="Times New Roman" w:cs="Times New Roman" w:eastAsia="Times New Roman" w:hAnsi="Times New Roman"/>
          <w:b/>
          <w:bCs/>
          <w:sz w:val="24"/>
          <w:szCs w:val="24"/>
        </w:rPr>
        <w:t xml:space="preserve">use local LLM</w:t>
      </w:r>
      <w:r>
        <w:rPr>
          <w:rFonts w:ascii="Times New Roman" w:cs="Times New Roman" w:eastAsia="Times New Roman" w:hAnsi="Times New Roman"/>
          <w:sz w:val="24"/>
          <w:szCs w:val="24"/>
        </w:rPr>
        <w:t xml:space="preserve"> switches between a written answer and an evidence-only (retrieve-only) answer.</w:t>
      </w:r>
    </w:p>
    <w:p>
      <w:pPr>
        <w:keepNext/>
        <w:spacing w:after="40" w:before="120"/>
        <w:jc w:val="center"/>
      </w:pPr>
      <w:r>
        <w:drawing>
          <wp:inline distT="0" distB="0" distL="0" distR="0">
            <wp:extent cx="5715000" cy="3571875"/>
            <wp:effectExtent t="0" r="0" b="0" l="0"/>
            <wp:docPr id="1" name="A cited answer with a commodity-tool caution and the evidence panel." descr="A cited answer with a commodity-tool caution and the evidence panel." title="A cited answer with a commodity-tool caution and the evidenc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2.  A cited answer with a commodity-tool caution and the evidence panel.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Element</w:t>
            </w:r>
          </w:p>
        </w:tc>
        <w:tc>
          <w:tcPr>
            <w:tcW w:type="dxa" w:w="71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Meaning</w:t>
            </w:r>
          </w:p>
        </w:tc>
      </w:tr>
      <w:tr>
        <w:trPr>
          <w:cantSplit/>
          <w:tblHeader w:val="false"/>
        </w:trPr>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mode badge</w:t>
            </w:r>
          </w:p>
        </w:tc>
        <w:tc>
          <w:tcPr>
            <w:tcW w:type="dxa" w:w="71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llm (written by the model) or retrieve-only (evidence sentences; used when the LLM is off, down, or its answer failed the citation check)</w:t>
            </w:r>
          </w:p>
        </w:tc>
      </w:tr>
      <w:tr>
        <w:trPr>
          <w:cantSplit/>
          <w:tblHeader w:val="false"/>
        </w:trPr>
        <w:tc>
          <w:tcPr>
            <w:tcW w:type="dxa" w:w="2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TLP badge</w:t>
            </w:r>
          </w:p>
        </w:tc>
        <w:tc>
          <w:tcPr>
            <w:tcW w:type="dxa" w:w="71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the highest TLP among the reports the answer cites</w:t>
            </w:r>
          </w:p>
        </w:tc>
      </w:tr>
      <w:tr>
        <w:trPr>
          <w:cantSplit/>
          <w:tblHeader w:val="false"/>
        </w:trPr>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citation coverage</w:t>
            </w:r>
          </w:p>
        </w:tc>
        <w:tc>
          <w:tcPr>
            <w:tcW w:type="dxa" w:w="71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share of the model's sentences that carried a valid citation; below 50% the answer is refused</w:t>
            </w:r>
          </w:p>
        </w:tc>
      </w:tr>
      <w:tr>
        <w:trPr>
          <w:cantSplit/>
          <w:tblHeader w:val="false"/>
        </w:trPr>
        <w:tc>
          <w:tcPr>
            <w:tcW w:type="dxa" w:w="2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citation chips</w:t>
            </w:r>
          </w:p>
        </w:tc>
        <w:tc>
          <w:tcPr>
            <w:tcW w:type="dxa" w:w="71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G = graph edge, C = passage, R = report, I = IOC state; click one to highlight it in the evidence panel</w:t>
            </w:r>
          </w:p>
        </w:tc>
      </w:tr>
      <w:tr>
        <w:trPr>
          <w:cantSplit/>
          <w:tblHeader w:val="false"/>
        </w:trPr>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 caution</w:t>
            </w:r>
          </w:p>
        </w:tc>
        <w:tc>
          <w:tcPr>
            <w:tcW w:type="dxa" w:w="71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shown when a tool used by many actors (for example Mimikatz) appears: it is weak evidence of attribution</w:t>
            </w:r>
          </w:p>
        </w:tc>
      </w:tr>
      <w:tr>
        <w:trPr>
          <w:cantSplit/>
          <w:tblHeader w:val="false"/>
        </w:trPr>
        <w:tc>
          <w:tcPr>
            <w:tcW w:type="dxa" w:w="25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removed sentences</w:t>
            </w:r>
          </w:p>
        </w:tc>
        <w:tc>
          <w:tcPr>
            <w:tcW w:type="dxa" w:w="71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expand to see sentences the groundedness gate dropped</w:t>
            </w:r>
          </w:p>
        </w:tc>
      </w:tr>
      <w:tr>
        <w:trPr>
          <w:cantSplit/>
          <w:tblHeader w:val="false"/>
        </w:trPr>
        <w:tc>
          <w:tcPr>
            <w:tcW w:type="dxa" w:w="25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audit link</w:t>
            </w:r>
          </w:p>
        </w:tc>
        <w:tc>
          <w:tcPr>
            <w:tcW w:type="dxa" w:w="71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opens the stored record of this answer for replay</w:t>
            </w:r>
          </w:p>
        </w:tc>
      </w:tr>
    </w:tbl>
    <w:p>
      <w:pPr>
        <w:spacing w:after="80"/>
      </w:pPr>
    </w:p>
    <w:p>
      <w:pPr>
        <w:spacing w:after="160" w:line="340"/>
        <w:jc w:val="both"/>
      </w:pPr>
      <w:r>
        <w:rPr>
          <w:rFonts w:ascii="Times New Roman" w:cs="Times New Roman" w:eastAsia="Times New Roman" w:hAnsi="Times New Roman"/>
          <w:sz w:val="24"/>
          <w:szCs w:val="24"/>
        </w:rPr>
        <w:t xml:space="preserve">The evidence panel has five tabs: </w:t>
      </w:r>
      <w:r>
        <w:rPr>
          <w:rFonts w:ascii="Times New Roman" w:cs="Times New Roman" w:eastAsia="Times New Roman" w:hAnsi="Times New Roman"/>
          <w:b/>
          <w:bCs/>
          <w:sz w:val="24"/>
          <w:szCs w:val="24"/>
        </w:rPr>
        <w:t xml:space="preserve">Graph hops</w:t>
      </w:r>
      <w:r>
        <w:rPr>
          <w:rFonts w:ascii="Times New Roman" w:cs="Times New Roman" w:eastAsia="Times New Roman" w:hAnsi="Times New Roman"/>
          <w:sz w:val="24"/>
          <w:szCs w:val="24"/>
        </w:rPr>
        <w:t xml:space="preserve"> (an animated graph and the numbered facts), </w:t>
      </w:r>
      <w:r>
        <w:rPr>
          <w:rFonts w:ascii="Times New Roman" w:cs="Times New Roman" w:eastAsia="Times New Roman" w:hAnsi="Times New Roman"/>
          <w:b/>
          <w:bCs/>
          <w:sz w:val="24"/>
          <w:szCs w:val="24"/>
        </w:rPr>
        <w:t xml:space="preserve">Chunks</w:t>
      </w:r>
      <w:r>
        <w:rPr>
          <w:rFonts w:ascii="Times New Roman" w:cs="Times New Roman" w:eastAsia="Times New Roman" w:hAnsi="Times New Roman"/>
          <w:sz w:val="24"/>
          <w:szCs w:val="24"/>
        </w:rPr>
        <w:t xml:space="preserve"> (passages with similarity scores and a 2-D similarity map), </w:t>
      </w:r>
      <w:r>
        <w:rPr>
          <w:rFonts w:ascii="Times New Roman" w:cs="Times New Roman" w:eastAsia="Times New Roman" w:hAnsi="Times New Roman"/>
          <w:b/>
          <w:bCs/>
          <w:sz w:val="24"/>
          <w:szCs w:val="24"/>
        </w:rPr>
        <w:t xml:space="preserve">Documents</w:t>
      </w:r>
      <w:r>
        <w:rPr>
          <w:rFonts w:ascii="Times New Roman" w:cs="Times New Roman" w:eastAsia="Times New Roman" w:hAnsi="Times New Roman"/>
          <w:sz w:val="24"/>
          <w:szCs w:val="24"/>
        </w:rPr>
        <w:t xml:space="preserve"> (reports used, with their report-specific fields), </w:t>
      </w:r>
      <w:r>
        <w:rPr>
          <w:rFonts w:ascii="Times New Roman" w:cs="Times New Roman" w:eastAsia="Times New Roman" w:hAnsi="Times New Roman"/>
          <w:b/>
          <w:bCs/>
          <w:sz w:val="24"/>
          <w:szCs w:val="24"/>
        </w:rPr>
        <w:t xml:space="preserve">IOC state</w:t>
      </w:r>
      <w:r>
        <w:rPr>
          <w:rFonts w:ascii="Times New Roman" w:cs="Times New Roman" w:eastAsia="Times New Roman" w:hAnsi="Times New Roman"/>
          <w:sz w:val="24"/>
          <w:szCs w:val="24"/>
        </w:rPr>
        <w:t xml:space="preserve"> (live or expired on the blocklist, with remaining TTL) and </w:t>
      </w:r>
      <w:r>
        <w:rPr>
          <w:rFonts w:ascii="Times New Roman" w:cs="Times New Roman" w:eastAsia="Times New Roman" w:hAnsi="Times New Roman"/>
          <w:b/>
          <w:bCs/>
          <w:sz w:val="24"/>
          <w:szCs w:val="24"/>
        </w:rPr>
        <w:t xml:space="preserve">Latency</w:t>
      </w:r>
      <w:r>
        <w:rPr>
          <w:rFonts w:ascii="Times New Roman" w:cs="Times New Roman" w:eastAsia="Times New Roman" w:hAnsi="Times New Roman"/>
          <w:sz w:val="24"/>
          <w:szCs w:val="24"/>
        </w:rPr>
        <w:t xml:space="preserve"> (time spent in each store and the model).</w:t>
      </w:r>
    </w:p>
    <w:p>
      <w:pPr>
        <w:keepNext/>
        <w:spacing w:after="40" w:before="120"/>
        <w:jc w:val="center"/>
      </w:pPr>
      <w:r>
        <w:drawing>
          <wp:inline distT="0" distB="0" distL="0" distR="0">
            <wp:extent cx="4953000" cy="3095625"/>
            <wp:effectExtent t="0" r="0" b="0" l="0"/>
            <wp:docPr id="1" name="IOC state tab: whether each indicator in the evidence is live on the blocklist." descr="IOC state tab: whether each indicator in the evidence is live on the blocklist." title="IOC state tab: whether each indicator in the evidence is live on the blo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9562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3.  IOC state tab: whether each indicator in the evidence is live on the blocklist.</w:t>
      </w:r>
    </w:p>
    <w:p>
      <w:pPr>
        <w:pStyle w:val="Heading2"/>
        <w:keepNext/>
        <w:spacing w:after="120" w:before="240"/>
      </w:pPr>
      <w:r>
        <w:rPr>
          <w:rFonts w:ascii="Times New Roman" w:cs="Times New Roman" w:eastAsia="Times New Roman" w:hAnsi="Times New Roman"/>
          <w:b/>
          <w:bCs/>
          <w:color w:val="1B4F72"/>
          <w:sz w:val="26"/>
          <w:szCs w:val="26"/>
        </w:rPr>
        <w:t xml:space="preserve">5.2  Graph explorer</w:t>
      </w:r>
    </w:p>
    <w:p>
      <w:pPr>
        <w:spacing w:after="160" w:line="340"/>
        <w:jc w:val="both"/>
      </w:pPr>
      <w:r>
        <w:rPr>
          <w:rFonts w:ascii="Times New Roman" w:cs="Times New Roman" w:eastAsia="Times New Roman" w:hAnsi="Times New Roman"/>
          <w:sz w:val="24"/>
          <w:szCs w:val="24"/>
        </w:rPr>
        <w:t xml:space="preserve">Shows the whole graph (reports hidden). Search by name, alias, id or IOC value; click a node to open its neighbourhood; run the presets — shared infrastructure, shared tooling, common victims, tool users — or find the shortest path between two ids. Traversals stop at commodity hubs so that tools such as Cobalt Strike do not swamp the view.</w:t>
      </w:r>
    </w:p>
    <w:p>
      <w:pPr>
        <w:keepNext/>
        <w:spacing w:after="40" w:before="120"/>
        <w:jc w:val="center"/>
      </w:pPr>
      <w:r>
        <w:drawing>
          <wp:inline distT="0" distB="0" distL="0" distR="0">
            <wp:extent cx="5715000" cy="3571875"/>
            <wp:effectExtent t="0" r="0" b="0" l="0"/>
            <wp:docPr id="1" name="Graph explorer." descr="Graph explorer." title="Graph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4.  Graph explorer.</w:t>
      </w:r>
    </w:p>
    <w:p>
      <w:pPr>
        <w:pStyle w:val="Heading2"/>
        <w:keepNext/>
        <w:spacing w:after="120" w:before="240"/>
      </w:pPr>
      <w:r>
        <w:rPr>
          <w:rFonts w:ascii="Times New Roman" w:cs="Times New Roman" w:eastAsia="Times New Roman" w:hAnsi="Times New Roman"/>
          <w:b/>
          <w:bCs/>
          <w:color w:val="1B4F72"/>
          <w:sz w:val="26"/>
          <w:szCs w:val="26"/>
        </w:rPr>
        <w:t xml:space="preserve">5.3  Report browser</w:t>
      </w:r>
    </w:p>
    <w:p>
      <w:pPr>
        <w:spacing w:after="160" w:line="340"/>
        <w:jc w:val="both"/>
      </w:pPr>
      <w:r>
        <w:rPr>
          <w:rFonts w:ascii="Times New Roman" w:cs="Times New Roman" w:eastAsia="Times New Roman" w:hAnsi="Times New Roman"/>
          <w:sz w:val="24"/>
          <w:szCs w:val="24"/>
        </w:rPr>
        <w:t xml:space="preserve">Lists the reports your clearance allows, newest first, with their report-specific fields; filter by text, actor id or TLP. Opening a report shows the full body, linked actors, campaigns, malware and IOCs. An administrator can delete a report, which also removes its passages and graph links. Accounts without clearance see a notice of how many reports are hidden, and opening one returns “withheld by TLP policy”.</w:t>
      </w:r>
    </w:p>
    <w:p>
      <w:pPr>
        <w:keepNext/>
        <w:spacing w:after="40" w:before="120"/>
        <w:jc w:val="center"/>
      </w:pPr>
      <w:r>
        <w:drawing>
          <wp:inline distT="0" distB="0" distL="0" distR="0">
            <wp:extent cx="5334000" cy="3333750"/>
            <wp:effectExtent t="0" r="0" b="0" l="0"/>
            <wp:docPr id="1" name="Report detail, including fields specific to this report (build pipeline, MITRE techniques)." descr="Report detail, including fields specific to this report (build pipeline, MITRE techniques)." title="Report detail, including fields specific to this report (build pipeline, MITRE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5.  Report detail, including fields specific to this report (build pipeline, MITRE techniques).</w:t>
      </w:r>
    </w:p>
    <w:p>
      <w:pPr>
        <w:pStyle w:val="Heading2"/>
        <w:keepNext/>
        <w:spacing w:after="120" w:before="240"/>
      </w:pPr>
      <w:r>
        <w:rPr>
          <w:rFonts w:ascii="Times New Roman" w:cs="Times New Roman" w:eastAsia="Times New Roman" w:hAnsi="Times New Roman"/>
          <w:b/>
          <w:bCs/>
          <w:color w:val="1B4F72"/>
          <w:sz w:val="26"/>
          <w:szCs w:val="26"/>
        </w:rPr>
        <w:t xml:space="preserve">5.4  IOC blocklist</w:t>
      </w:r>
    </w:p>
    <w:p>
      <w:pPr>
        <w:spacing w:after="160" w:line="340"/>
        <w:jc w:val="both"/>
      </w:pPr>
      <w:r>
        <w:rPr>
          <w:rFonts w:ascii="Times New Roman" w:cs="Times New Roman" w:eastAsia="Times New Roman" w:hAnsi="Times New Roman"/>
          <w:sz w:val="24"/>
          <w:szCs w:val="24"/>
        </w:rPr>
        <w:t xml:space="preserve">The hot set lists live indicators with severity, actor or campaign, publisher and a ticking TTL. When a TTL reaches zero the indicator moves to </w:t>
      </w:r>
      <w:r>
        <w:rPr>
          <w:rFonts w:ascii="Times New Roman" w:cs="Times New Roman" w:eastAsia="Times New Roman" w:hAnsi="Times New Roman"/>
          <w:b/>
          <w:bCs/>
          <w:sz w:val="24"/>
          <w:szCs w:val="24"/>
        </w:rPr>
        <w:t xml:space="preserve">Recently expired</w:t>
      </w:r>
      <w:r>
        <w:rPr>
          <w:rFonts w:ascii="Times New Roman" w:cs="Times New Roman" w:eastAsia="Times New Roman" w:hAnsi="Times New Roman"/>
          <w:sz w:val="24"/>
          <w:szCs w:val="24"/>
        </w:rPr>
        <w:t xml:space="preserve">: it is no longer enforced, but </w:t>
      </w:r>
      <w:r>
        <w:rPr>
          <w:rFonts w:ascii="Times New Roman" w:cs="Times New Roman" w:eastAsia="Times New Roman" w:hAnsi="Times New Roman"/>
          <w:b/>
          <w:bCs/>
          <w:sz w:val="24"/>
          <w:szCs w:val="24"/>
        </w:rPr>
        <w:t xml:space="preserve">show historical graph presence</w:t>
      </w:r>
      <w:r>
        <w:rPr>
          <w:rFonts w:ascii="Times New Roman" w:cs="Times New Roman" w:eastAsia="Times New Roman" w:hAnsi="Times New Roman"/>
          <w:sz w:val="24"/>
          <w:szCs w:val="24"/>
        </w:rPr>
        <w:t xml:space="preserve"> proves the graph still records it. </w:t>
      </w:r>
      <w:r>
        <w:rPr>
          <w:rFonts w:ascii="Times New Roman" w:cs="Times New Roman" w:eastAsia="Times New Roman" w:hAnsi="Times New Roman"/>
          <w:b/>
          <w:bCs/>
          <w:sz w:val="24"/>
          <w:szCs w:val="24"/>
        </w:rPr>
        <w:t xml:space="preserve">O(1) lookup</w:t>
      </w:r>
      <w:r>
        <w:rPr>
          <w:rFonts w:ascii="Times New Roman" w:cs="Times New Roman" w:eastAsia="Times New Roman" w:hAnsi="Times New Roman"/>
          <w:sz w:val="24"/>
          <w:szCs w:val="24"/>
        </w:rPr>
        <w:t xml:space="preserve"> checks a single value the way a firewall would.</w:t>
      </w:r>
    </w:p>
    <w:p>
      <w:pPr>
        <w:keepNext/>
        <w:spacing w:after="40" w:before="120"/>
        <w:jc w:val="center"/>
      </w:pPr>
      <w:r>
        <w:drawing>
          <wp:inline distT="0" distB="0" distL="0" distR="0">
            <wp:extent cx="5334000" cy="3333750"/>
            <wp:effectExtent t="0" r="0" b="0" l="0"/>
            <wp:docPr id="1" name="IOC blocklist with live TTLs." descr="IOC blocklist with live TTLs." title="IOC blocklist with live TT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6.  IOC blocklist with live TTLs.</w:t>
      </w:r>
    </w:p>
    <w:p>
      <w:pPr>
        <w:spacing w:after="160" w:line="340"/>
        <w:jc w:val="both"/>
      </w:pPr>
      <w:r>
        <w:rPr>
          <w:rFonts w:ascii="Times New Roman" w:cs="Times New Roman" w:eastAsia="Times New Roman" w:hAnsi="Times New Roman"/>
          <w:b/>
          <w:bCs/>
          <w:sz w:val="24"/>
          <w:szCs w:val="24"/>
        </w:rPr>
        <w:t xml:space="preserve">Requests blocked by the API.</w:t>
      </w:r>
      <w:r>
        <w:rPr>
          <w:rFonts w:ascii="Times New Roman" w:cs="Times New Roman" w:eastAsia="Times New Roman" w:hAnsi="Times New Roman"/>
          <w:sz w:val="24"/>
          <w:szCs w:val="24"/>
        </w:rPr>
        <w:t xml:space="preserve"> Any request to the platform's API from an IP address that is live on this blocklist is refused with HTTP 403 — the address is treated as hostile. Each refusal appears in this card with its time, source IP, request and the blocklist key that matched. The log is kept in MongoDB and deleted automatically after 7 days (a TTL index); the block itself ends when the blocklist entry's TTL runs out or it is revoked.</w:t>
      </w:r>
    </w:p>
    <w:p>
      <w:pPr>
        <w:keepNext/>
        <w:spacing w:after="40" w:before="120"/>
        <w:jc w:val="center"/>
      </w:pPr>
      <w:r>
        <w:drawing>
          <wp:inline distT="0" distB="0" distL="0" distR="0">
            <wp:extent cx="5334000" cy="1276350"/>
            <wp:effectExtent t="0" r="0" b="0" l="0"/>
            <wp:docPr id="1" name="Requests from the QakBot C2 address 50.16.16.211 (abuse.ch Feodo Tracker) refused by the API." descr="Requests from the QakBot C2 address 50.16.16.211 (abuse.ch Feodo Tracker) refused by the API." title="Requests from the QakBot C2 address 50.16.16.211 (abuse.ch Feodo Tracker) refused by the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2763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7.  Requests from the QakBot C2 address 50.16.16.211 (abuse.ch Feodo Tracker) refused by the API.</w:t>
      </w:r>
    </w:p>
    <w:p>
      <w:pPr>
        <w:spacing w:after="160" w:line="340"/>
        <w:jc w:val="both"/>
      </w:pPr>
      <w:r>
        <w:rPr>
          <w:rFonts w:ascii="Times New Roman" w:cs="Times New Roman" w:eastAsia="Times New Roman" w:hAnsi="Times New Roman"/>
          <w:b/>
          <w:bCs/>
          <w:sz w:val="24"/>
          <w:szCs w:val="24"/>
        </w:rPr>
        <w:t xml:space="preserve">Publishing (lead or admin).</w:t>
      </w:r>
      <w:r>
        <w:rPr>
          <w:rFonts w:ascii="Times New Roman" w:cs="Times New Roman" w:eastAsia="Times New Roman" w:hAnsi="Times New Roman"/>
          <w:sz w:val="24"/>
          <w:szCs w:val="24"/>
        </w:rPr>
        <w:t xml:space="preserve"> Fill in type (ip, domain, hash, url), value, TTL in seconds (up to 90 days), severity and optionally actor and campaign, then press </w:t>
      </w:r>
      <w:r>
        <w:rPr>
          <w:rFonts w:ascii="Times New Roman" w:cs="Times New Roman" w:eastAsia="Times New Roman" w:hAnsi="Times New Roman"/>
          <w:b/>
          <w:bCs/>
          <w:sz w:val="24"/>
          <w:szCs w:val="24"/>
        </w:rPr>
        <w:t xml:space="preserve">SET … EX</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revoke</w:t>
      </w:r>
      <w:r>
        <w:rPr>
          <w:rFonts w:ascii="Times New Roman" w:cs="Times New Roman" w:eastAsia="Times New Roman" w:hAnsi="Times New Roman"/>
          <w:sz w:val="24"/>
          <w:szCs w:val="24"/>
        </w:rPr>
        <w:t xml:space="preserve"> removes an entry immediately. Neither action changes the historical graph.</w:t>
      </w:r>
    </w:p>
    <w:p>
      <w:pPr>
        <w:pStyle w:val="Heading2"/>
        <w:keepNext/>
        <w:spacing w:after="120" w:before="240"/>
      </w:pPr>
      <w:r>
        <w:rPr>
          <w:rFonts w:ascii="Times New Roman" w:cs="Times New Roman" w:eastAsia="Times New Roman" w:hAnsi="Times New Roman"/>
          <w:b/>
          <w:bCs/>
          <w:color w:val="1B4F72"/>
          <w:sz w:val="26"/>
          <w:szCs w:val="26"/>
        </w:rPr>
        <w:t xml:space="preserve">5.5  Semantic search</w:t>
      </w:r>
    </w:p>
    <w:p>
      <w:pPr>
        <w:spacing w:after="160" w:line="340"/>
        <w:jc w:val="both"/>
      </w:pPr>
      <w:r>
        <w:rPr>
          <w:rFonts w:ascii="Times New Roman" w:cs="Times New Roman" w:eastAsia="Times New Roman" w:hAnsi="Times New Roman"/>
          <w:sz w:val="24"/>
          <w:szCs w:val="24"/>
        </w:rPr>
        <w:t xml:space="preserve">Finds passages that mean something similar to your text, not just matching words. Filter by actor ids, TLP levels and a date range; results show the score, report, TLP and passage, plus a similarity map. Use it for questions like “what else looks like this lure?”; use the graph explorer for “who is connected to whom?”.</w:t>
      </w:r>
    </w:p>
    <w:p>
      <w:pPr>
        <w:keepNext/>
        <w:spacing w:after="40" w:before="120"/>
        <w:jc w:val="center"/>
      </w:pPr>
      <w:r>
        <w:drawing>
          <wp:inline distT="0" distB="0" distL="0" distR="0">
            <wp:extent cx="5334000" cy="3333750"/>
            <wp:effectExtent t="0" r="0" b="0" l="0"/>
            <wp:docPr id="1" name="Semantic search." descr="Semantic search." title="Semantic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8.  Semantic search.</w:t>
      </w:r>
    </w:p>
    <w:p>
      <w:pPr>
        <w:pStyle w:val="Heading2"/>
        <w:keepNext/>
        <w:spacing w:after="120" w:before="240"/>
      </w:pPr>
      <w:r>
        <w:rPr>
          <w:rFonts w:ascii="Times New Roman" w:cs="Times New Roman" w:eastAsia="Times New Roman" w:hAnsi="Times New Roman"/>
          <w:b/>
          <w:bCs/>
          <w:color w:val="1B4F72"/>
          <w:sz w:val="26"/>
          <w:szCs w:val="26"/>
        </w:rPr>
        <w:t xml:space="preserve">5.6  Ingest (lead or admin)</w:t>
      </w:r>
    </w:p>
    <w:p>
      <w:pPr>
        <w:spacing w:after="160" w:line="340"/>
        <w:jc w:val="both"/>
      </w:pPr>
      <w:r>
        <w:rPr>
          <w:rFonts w:ascii="Times New Roman" w:cs="Times New Roman" w:eastAsia="Times New Roman" w:hAnsi="Times New Roman"/>
          <w:b/>
          <w:bCs/>
          <w:sz w:val="24"/>
          <w:szCs w:val="24"/>
        </w:rPr>
        <w:t xml:space="preserve">Free-text report:</w:t>
      </w:r>
      <w:r>
        <w:rPr>
          <w:rFonts w:ascii="Times New Roman" w:cs="Times New Roman" w:eastAsia="Times New Roman" w:hAnsi="Times New Roman"/>
          <w:sz w:val="24"/>
          <w:szCs w:val="24"/>
        </w:rPr>
        <w:t xml:space="preserve"> enter title, body, source, date, TLP and optional report-specific fields as JSON. Entities and IOCs are found automatically, and defanged IOCs (</w:t>
      </w:r>
      <w:r>
        <w:rPr>
          <w:rFonts w:ascii="Courier New" w:cs="Courier New" w:eastAsia="Courier New" w:hAnsi="Courier New"/>
          <w:sz w:val="20"/>
          <w:szCs w:val="20"/>
        </w:rPr>
        <w:t xml:space="preserve">hxxp</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w:t>
      </w:r>
      <w:r>
        <w:rPr>
          <w:rFonts w:ascii="Times New Roman" w:cs="Times New Roman" w:eastAsia="Times New Roman" w:hAnsi="Times New Roman"/>
          <w:sz w:val="24"/>
          <w:szCs w:val="24"/>
        </w:rPr>
        <w:t xml:space="preserve">) are restored. </w:t>
      </w:r>
      <w:r>
        <w:rPr>
          <w:rFonts w:ascii="Times New Roman" w:cs="Times New Roman" w:eastAsia="Times New Roman" w:hAnsi="Times New Roman"/>
          <w:b/>
          <w:bCs/>
          <w:sz w:val="24"/>
          <w:szCs w:val="24"/>
        </w:rPr>
        <w:t xml:space="preserve">STIX 2.1 bundle:</w:t>
      </w:r>
      <w:r>
        <w:rPr>
          <w:rFonts w:ascii="Times New Roman" w:cs="Times New Roman" w:eastAsia="Times New Roman" w:hAnsi="Times New Roman"/>
          <w:sz w:val="24"/>
          <w:szCs w:val="24"/>
        </w:rPr>
        <w:t xml:space="preserve"> choose a </w:t>
      </w:r>
      <w:r>
        <w:rPr>
          <w:rFonts w:ascii="Courier New" w:cs="Courier New" w:eastAsia="Courier New" w:hAnsi="Courier New"/>
          <w:sz w:val="20"/>
          <w:szCs w:val="20"/>
        </w:rPr>
        <w:t xml:space="preserve">.json</w:t>
      </w:r>
      <w:r>
        <w:rPr>
          <w:rFonts w:ascii="Times New Roman" w:cs="Times New Roman" w:eastAsia="Times New Roman" w:hAnsi="Times New Roman"/>
          <w:sz w:val="24"/>
          <w:szCs w:val="24"/>
        </w:rPr>
        <w:t xml:space="preserve"> file or paste a bundle; TLP is read from marking definitions, and </w:t>
      </w:r>
      <w:r>
        <w:rPr>
          <w:rFonts w:ascii="Courier New" w:cs="Courier New" w:eastAsia="Courier New" w:hAnsi="Courier New"/>
          <w:sz w:val="20"/>
          <w:szCs w:val="20"/>
        </w:rPr>
        <w:t xml:space="preserve">valid_until</w:t>
      </w:r>
      <w:r>
        <w:rPr>
          <w:rFonts w:ascii="Times New Roman" w:cs="Times New Roman" w:eastAsia="Times New Roman" w:hAnsi="Times New Roman"/>
          <w:sz w:val="24"/>
          <w:szCs w:val="24"/>
        </w:rPr>
        <w:t xml:space="preserve"> becomes the blocklist TTL if </w:t>
      </w:r>
      <w:r>
        <w:rPr>
          <w:rFonts w:ascii="Times New Roman" w:cs="Times New Roman" w:eastAsia="Times New Roman" w:hAnsi="Times New Roman"/>
          <w:b/>
          <w:bCs/>
          <w:sz w:val="24"/>
          <w:szCs w:val="24"/>
        </w:rPr>
        <w:t xml:space="preserve">publish indicators</w:t>
      </w:r>
      <w:r>
        <w:rPr>
          <w:rFonts w:ascii="Times New Roman" w:cs="Times New Roman" w:eastAsia="Times New Roman" w:hAnsi="Times New Roman"/>
          <w:sz w:val="24"/>
          <w:szCs w:val="24"/>
        </w:rPr>
        <w:t xml:space="preserve"> is ticked.</w:t>
      </w:r>
    </w:p>
    <w:p>
      <w:pPr>
        <w:spacing w:after="160" w:line="340"/>
        <w:jc w:val="both"/>
      </w:pPr>
      <w:r>
        <w:rPr>
          <w:rFonts w:ascii="Times New Roman" w:cs="Times New Roman" w:eastAsia="Times New Roman" w:hAnsi="Times New Roman"/>
          <w:b/>
          <w:bCs/>
          <w:sz w:val="24"/>
          <w:szCs w:val="24"/>
        </w:rPr>
        <w:t xml:space="preserve">Run ingest job</w:t>
      </w:r>
      <w:r>
        <w:rPr>
          <w:rFonts w:ascii="Times New Roman" w:cs="Times New Roman" w:eastAsia="Times New Roman" w:hAnsi="Times New Roman"/>
          <w:sz w:val="24"/>
          <w:szCs w:val="24"/>
        </w:rPr>
        <w:t xml:space="preserve"> writes to Neo4j, MongoDB, Qdrant and (if requested) Redis, showing each step's status and time. If a step fails, fix the cause and press </w:t>
      </w:r>
      <w:r>
        <w:rPr>
          <w:rFonts w:ascii="Times New Roman" w:cs="Times New Roman" w:eastAsia="Times New Roman" w:hAnsi="Times New Roman"/>
          <w:b/>
          <w:bCs/>
          <w:sz w:val="24"/>
          <w:szCs w:val="24"/>
        </w:rPr>
        <w:t xml:space="preserve">retry</w:t>
      </w:r>
      <w:r>
        <w:rPr>
          <w:rFonts w:ascii="Times New Roman" w:cs="Times New Roman" w:eastAsia="Times New Roman" w:hAnsi="Times New Roman"/>
          <w:sz w:val="24"/>
          <w:szCs w:val="24"/>
        </w:rPr>
        <w:t xml:space="preserve">: the job resumes from the first step that did not finish.</w:t>
      </w:r>
    </w:p>
    <w:p>
      <w:pPr>
        <w:keepNext/>
        <w:spacing w:after="40" w:before="120"/>
        <w:jc w:val="center"/>
      </w:pPr>
      <w:r>
        <w:drawing>
          <wp:inline distT="0" distB="0" distL="0" distR="0">
            <wp:extent cx="5334000" cy="3333750"/>
            <wp:effectExtent t="0" r="0" b="0" l="0"/>
            <wp:docPr id="1" name="Ingesting the sample STIX bundle: each store's step and the resulting report." descr="Ingesting the sample STIX bundle: each store's step and the resulting report." title="Ingesting the sample STIX bundle: each store's step and the resulting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9.  Ingesting the sample STIX bundle: each store's step and the resulting report.</w:t>
      </w:r>
    </w:p>
    <w:p>
      <w:pPr>
        <w:pStyle w:val="Heading2"/>
        <w:keepNext/>
        <w:spacing w:after="120" w:before="240"/>
      </w:pPr>
      <w:r>
        <w:rPr>
          <w:rFonts w:ascii="Times New Roman" w:cs="Times New Roman" w:eastAsia="Times New Roman" w:hAnsi="Times New Roman"/>
          <w:b/>
          <w:bCs/>
          <w:color w:val="1B4F72"/>
          <w:sz w:val="26"/>
          <w:szCs w:val="26"/>
        </w:rPr>
        <w:t xml:space="preserve">5.7  Audit and replay</w:t>
      </w:r>
    </w:p>
    <w:p>
      <w:pPr>
        <w:spacing w:after="160" w:line="340"/>
        <w:jc w:val="both"/>
      </w:pPr>
      <w:r>
        <w:rPr>
          <w:rFonts w:ascii="Times New Roman" w:cs="Times New Roman" w:eastAsia="Times New Roman" w:hAnsi="Times New Roman"/>
          <w:sz w:val="24"/>
          <w:szCs w:val="24"/>
        </w:rPr>
        <w:t xml:space="preserve">Every answer is recorded with the hops, passages, reports and IOC states it used. Select an entry and press </w:t>
      </w:r>
      <w:r>
        <w:rPr>
          <w:rFonts w:ascii="Times New Roman" w:cs="Times New Roman" w:eastAsia="Times New Roman" w:hAnsi="Times New Roman"/>
          <w:b/>
          <w:bCs/>
          <w:sz w:val="24"/>
          <w:szCs w:val="24"/>
        </w:rPr>
        <w:t xml:space="preserve">Replay against the stores</w:t>
      </w:r>
      <w:r>
        <w:rPr>
          <w:rFonts w:ascii="Times New Roman" w:cs="Times New Roman" w:eastAsia="Times New Roman" w:hAnsi="Times New Roman"/>
          <w:sz w:val="24"/>
          <w:szCs w:val="24"/>
        </w:rPr>
        <w:t xml:space="preserve"> to check each item still exists and whether any IOC has changed state since — for example, an indicator that has expired.</w:t>
      </w:r>
    </w:p>
    <w:p>
      <w:pPr>
        <w:keepNext/>
        <w:spacing w:after="40" w:before="120"/>
        <w:jc w:val="center"/>
      </w:pPr>
      <w:r>
        <w:drawing>
          <wp:inline distT="0" distB="0" distL="0" distR="0">
            <wp:extent cx="5334000" cy="3333750"/>
            <wp:effectExtent t="0" r="0" b="0" l="0"/>
            <wp:docPr id="1" name="Audit entry replayed against the live stores." descr="Audit entry replayed against the live stores." title="Audit entry replayed against the live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10.  Audit entry replayed against the live stores.</w:t>
      </w:r>
    </w:p>
    <w:p>
      <w:pPr>
        <w:pStyle w:val="Heading2"/>
        <w:keepNext/>
        <w:spacing w:after="120" w:before="240"/>
      </w:pPr>
      <w:r>
        <w:rPr>
          <w:rFonts w:ascii="Times New Roman" w:cs="Times New Roman" w:eastAsia="Times New Roman" w:hAnsi="Times New Roman"/>
          <w:b/>
          <w:bCs/>
          <w:color w:val="1B4F72"/>
          <w:sz w:val="26"/>
          <w:szCs w:val="26"/>
        </w:rPr>
        <w:t xml:space="preserve">5.8  Operations</w:t>
      </w:r>
    </w:p>
    <w:p>
      <w:pPr>
        <w:spacing w:after="160" w:line="340"/>
        <w:jc w:val="both"/>
      </w:pPr>
      <w:r>
        <w:rPr>
          <w:rFonts w:ascii="Times New Roman" w:cs="Times New Roman" w:eastAsia="Times New Roman" w:hAnsi="Times New Roman"/>
          <w:sz w:val="24"/>
          <w:szCs w:val="24"/>
        </w:rPr>
        <w:t xml:space="preserve">Shows each store's status and round-trip time, latency percentiles per store against their targets (Redis p99 &lt; 5 ms, Neo4j p95 &lt; 500 ms, GraphRAG p95 &lt; 15 s), the graph inventory and the cross-store integrity check. Administrators can </w:t>
      </w:r>
      <w:r>
        <w:rPr>
          <w:rFonts w:ascii="Times New Roman" w:cs="Times New Roman" w:eastAsia="Times New Roman" w:hAnsi="Times New Roman"/>
          <w:b/>
          <w:bCs/>
          <w:sz w:val="24"/>
          <w:szCs w:val="24"/>
        </w:rPr>
        <w:t xml:space="preserve">re-seed</w:t>
      </w:r>
      <w:r>
        <w:rPr>
          <w:rFonts w:ascii="Times New Roman" w:cs="Times New Roman" w:eastAsia="Times New Roman" w:hAnsi="Times New Roman"/>
          <w:sz w:val="24"/>
          <w:szCs w:val="24"/>
        </w:rPr>
        <w:t xml:space="preserve"> (reload the initial corpus; removes ingested data) and </w:t>
      </w:r>
      <w:r>
        <w:rPr>
          <w:rFonts w:ascii="Times New Roman" w:cs="Times New Roman" w:eastAsia="Times New Roman" w:hAnsi="Times New Roman"/>
          <w:b/>
          <w:bCs/>
          <w:sz w:val="24"/>
          <w:szCs w:val="24"/>
        </w:rPr>
        <w:t xml:space="preserve">rebuild the vector index</w:t>
      </w:r>
      <w:r>
        <w:rPr>
          <w:rFonts w:ascii="Times New Roman" w:cs="Times New Roman" w:eastAsia="Times New Roman" w:hAnsi="Times New Roman"/>
          <w:sz w:val="24"/>
          <w:szCs w:val="24"/>
        </w:rPr>
        <w:t xml:space="preserve">.</w:t>
      </w:r>
    </w:p>
    <w:p>
      <w:pPr>
        <w:keepNext/>
        <w:spacing w:after="40" w:before="120"/>
        <w:jc w:val="center"/>
      </w:pPr>
      <w:r>
        <w:drawing>
          <wp:inline distT="0" distB="0" distL="0" distR="0">
            <wp:extent cx="5334000" cy="3333750"/>
            <wp:effectExtent t="0" r="0" b="0" l="0"/>
            <wp:docPr id="1" name="Operations: store health, latency against SLOs and integrity." descr="Operations: store health, latency against SLOs and integrity." title="Operations: store health, latency against SLOs and integ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11.  Operations: store health, latency against SLOs and integrity.</w:t>
      </w:r>
    </w:p>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6.  Walkthroughs</w:t>
      </w:r>
    </w:p>
    <w:p>
      <w:pPr>
        <w:spacing w:after="160" w:line="340"/>
        <w:jc w:val="both"/>
      </w:pPr>
      <w:r>
        <w:rPr>
          <w:rFonts w:ascii="Times New Roman" w:cs="Times New Roman" w:eastAsia="Times New Roman" w:hAnsi="Times New Roman"/>
          <w:sz w:val="24"/>
          <w:szCs w:val="24"/>
        </w:rPr>
        <w:t xml:space="preserve">The walkthroughs below are the use cases the platform was designed for. They work on a freshly seeded stack (</w:t>
      </w:r>
      <w:r>
        <w:rPr>
          <w:rFonts w:ascii="Courier New" w:cs="Courier New" w:eastAsia="Courier New" w:hAnsi="Courier New"/>
          <w:sz w:val="20"/>
          <w:szCs w:val="20"/>
        </w:rPr>
        <w:t xml:space="preserve">make seed</w:t>
      </w:r>
      <w:r>
        <w:rPr>
          <w:rFonts w:ascii="Times New Roman" w:cs="Times New Roman" w:eastAsia="Times New Roman" w:hAnsi="Times New Roman"/>
          <w:sz w:val="24"/>
          <w:szCs w:val="24"/>
        </w:rPr>
        <w:t xml:space="preserve">).</w:t>
      </w:r>
    </w:p>
    <w:p>
      <w:pPr>
        <w:pStyle w:val="Heading2"/>
        <w:keepNext/>
        <w:spacing w:after="120" w:before="240"/>
      </w:pPr>
      <w:r>
        <w:rPr>
          <w:rFonts w:ascii="Times New Roman" w:cs="Times New Roman" w:eastAsia="Times New Roman" w:hAnsi="Times New Roman"/>
          <w:b/>
          <w:bCs/>
          <w:color w:val="1B4F72"/>
          <w:sz w:val="26"/>
          <w:szCs w:val="26"/>
        </w:rPr>
        <w:t xml:space="preserve">6.1  Shared infrastructure (UC1)</w:t>
      </w:r>
    </w:p>
    <w:p>
      <w:pPr>
        <w:pStyle w:val="ListParagraph"/>
        <w:numPr>
          <w:ilvl w:val="0"/>
          <w:numId w:val="2"/>
        </w:numPr>
        <w:spacing w:after="70" w:line="300"/>
      </w:pPr>
      <w:r>
        <w:rPr>
          <w:rFonts w:ascii="Times New Roman" w:cs="Times New Roman" w:eastAsia="Times New Roman" w:hAnsi="Times New Roman"/>
          <w:sz w:val="24"/>
          <w:szCs w:val="24"/>
        </w:rPr>
        <w:t xml:space="preserve">Sign in as </w:t>
      </w:r>
      <w:r>
        <w:rPr>
          <w:rFonts w:ascii="Times New Roman" w:cs="Times New Roman" w:eastAsia="Times New Roman" w:hAnsi="Times New Roman"/>
          <w:b/>
          <w:bCs/>
          <w:sz w:val="24"/>
          <w:szCs w:val="24"/>
        </w:rPr>
        <w:t xml:space="preserve">analyst</w:t>
      </w:r>
      <w:r>
        <w:rPr>
          <w:rFonts w:ascii="Times New Roman" w:cs="Times New Roman" w:eastAsia="Times New Roman" w:hAnsi="Times New Roman"/>
          <w:sz w:val="24"/>
          <w:szCs w:val="24"/>
        </w:rPr>
        <w:t xml:space="preserve"> and open the GraphRAG console.</w:t>
      </w:r>
    </w:p>
    <w:p>
      <w:pPr>
        <w:pStyle w:val="ListParagraph"/>
        <w:numPr>
          <w:ilvl w:val="0"/>
          <w:numId w:val="2"/>
        </w:numPr>
        <w:spacing w:after="70" w:line="300"/>
      </w:pPr>
      <w:r>
        <w:rPr>
          <w:rFonts w:ascii="Times New Roman" w:cs="Times New Roman" w:eastAsia="Times New Roman" w:hAnsi="Times New Roman"/>
          <w:sz w:val="24"/>
          <w:szCs w:val="24"/>
        </w:rPr>
        <w:t xml:space="preserve">Ask: “Which actors share C2 infrastructure with APT28?”</w:t>
      </w:r>
    </w:p>
    <w:p>
      <w:pPr>
        <w:pStyle w:val="ListParagraph"/>
        <w:numPr>
          <w:ilvl w:val="0"/>
          <w:numId w:val="2"/>
        </w:numPr>
        <w:spacing w:after="70" w:line="300"/>
      </w:pPr>
      <w:r>
        <w:rPr>
          <w:rFonts w:ascii="Times New Roman" w:cs="Times New Roman" w:eastAsia="Times New Roman" w:hAnsi="Times New Roman"/>
          <w:sz w:val="24"/>
          <w:szCs w:val="24"/>
        </w:rPr>
        <w:t xml:space="preserve">The answer names Sandworm (shared VPS 185.86.77.12) and Scattered Spider (91.219.236.44) and cites report rpt-001.</w:t>
      </w:r>
    </w:p>
    <w:p>
      <w:pPr>
        <w:pStyle w:val="ListParagraph"/>
        <w:numPr>
          <w:ilvl w:val="0"/>
          <w:numId w:val="2"/>
        </w:numPr>
        <w:spacing w:after="70" w:line="300"/>
      </w:pPr>
      <w:r>
        <w:rPr>
          <w:rFonts w:ascii="Times New Roman" w:cs="Times New Roman" w:eastAsia="Times New Roman" w:hAnsi="Times New Roman"/>
          <w:sz w:val="24"/>
          <w:szCs w:val="24"/>
        </w:rPr>
        <w:t xml:space="preserve">Open </w:t>
      </w:r>
      <w:r>
        <w:rPr>
          <w:rFonts w:ascii="Times New Roman" w:cs="Times New Roman" w:eastAsia="Times New Roman" w:hAnsi="Times New Roman"/>
          <w:b/>
          <w:bCs/>
          <w:sz w:val="24"/>
          <w:szCs w:val="24"/>
        </w:rPr>
        <w:t xml:space="preserve">IOC state</w:t>
      </w:r>
      <w:r>
        <w:rPr>
          <w:rFonts w:ascii="Times New Roman" w:cs="Times New Roman" w:eastAsia="Times New Roman" w:hAnsi="Times New Roman"/>
          <w:sz w:val="24"/>
          <w:szCs w:val="24"/>
        </w:rPr>
        <w:t xml:space="preserve"> to see whether those IPs are live on the blocklist.</w:t>
      </w:r>
    </w:p>
    <w:p>
      <w:pPr>
        <w:pStyle w:val="Heading2"/>
        <w:keepNext/>
        <w:spacing w:after="120" w:before="240"/>
      </w:pPr>
      <w:r>
        <w:rPr>
          <w:rFonts w:ascii="Times New Roman" w:cs="Times New Roman" w:eastAsia="Times New Roman" w:hAnsi="Times New Roman"/>
          <w:b/>
          <w:bCs/>
          <w:color w:val="1B4F72"/>
          <w:sz w:val="26"/>
          <w:szCs w:val="26"/>
        </w:rPr>
        <w:t xml:space="preserve">6.2  Similar activity (UC2)</w:t>
      </w:r>
    </w:p>
    <w:p>
      <w:pPr>
        <w:pStyle w:val="ListParagraph"/>
        <w:numPr>
          <w:ilvl w:val="0"/>
          <w:numId w:val="3"/>
        </w:numPr>
        <w:spacing w:after="70" w:line="300"/>
      </w:pPr>
      <w:r>
        <w:rPr>
          <w:rFonts w:ascii="Times New Roman" w:cs="Times New Roman" w:eastAsia="Times New Roman" w:hAnsi="Times New Roman"/>
          <w:sz w:val="24"/>
          <w:szCs w:val="24"/>
        </w:rPr>
        <w:t xml:space="preserve">Ask: “Find activity similar to spearphishing against government and political organizations.”</w:t>
      </w:r>
    </w:p>
    <w:p>
      <w:pPr>
        <w:pStyle w:val="ListParagraph"/>
        <w:numPr>
          <w:ilvl w:val="0"/>
          <w:numId w:val="3"/>
        </w:numPr>
        <w:spacing w:after="70" w:line="300"/>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Chunks</w:t>
      </w:r>
      <w:r>
        <w:rPr>
          <w:rFonts w:ascii="Times New Roman" w:cs="Times New Roman" w:eastAsia="Times New Roman" w:hAnsi="Times New Roman"/>
          <w:sz w:val="24"/>
          <w:szCs w:val="24"/>
        </w:rPr>
        <w:t xml:space="preserve"> tab shows the DNC passages first; the graph expands to APT28 and APT29; </w:t>
      </w:r>
      <w:r>
        <w:rPr>
          <w:rFonts w:ascii="Times New Roman" w:cs="Times New Roman" w:eastAsia="Times New Roman" w:hAnsi="Times New Roman"/>
          <w:b/>
          <w:bCs/>
          <w:sz w:val="24"/>
          <w:szCs w:val="24"/>
        </w:rPr>
        <w:t xml:space="preserve">Documents</w:t>
      </w:r>
      <w:r>
        <w:rPr>
          <w:rFonts w:ascii="Times New Roman" w:cs="Times New Roman" w:eastAsia="Times New Roman" w:hAnsi="Times New Roman"/>
          <w:sz w:val="24"/>
          <w:szCs w:val="24"/>
        </w:rPr>
        <w:t xml:space="preserve"> lists the full reports.</w:t>
      </w:r>
    </w:p>
    <w:p>
      <w:pPr>
        <w:pStyle w:val="Heading2"/>
        <w:keepNext/>
        <w:spacing w:after="120" w:before="240"/>
      </w:pPr>
      <w:r>
        <w:rPr>
          <w:rFonts w:ascii="Times New Roman" w:cs="Times New Roman" w:eastAsia="Times New Roman" w:hAnsi="Times New Roman"/>
          <w:b/>
          <w:bCs/>
          <w:color w:val="1B4F72"/>
          <w:sz w:val="26"/>
          <w:szCs w:val="26"/>
        </w:rPr>
        <w:t xml:space="preserve">6.3  Commodity tools (UC3)</w:t>
      </w:r>
    </w:p>
    <w:p>
      <w:pPr>
        <w:pStyle w:val="ListParagraph"/>
        <w:numPr>
          <w:ilvl w:val="0"/>
          <w:numId w:val="4"/>
        </w:numPr>
        <w:spacing w:after="70" w:line="300"/>
      </w:pPr>
      <w:r>
        <w:rPr>
          <w:rFonts w:ascii="Times New Roman" w:cs="Times New Roman" w:eastAsia="Times New Roman" w:hAnsi="Times New Roman"/>
          <w:sz w:val="24"/>
          <w:szCs w:val="24"/>
        </w:rPr>
        <w:t xml:space="preserve">Ask: “Why is Mimikatz a weak attribution signal, and which actors still use it?”</w:t>
      </w:r>
    </w:p>
    <w:p>
      <w:pPr>
        <w:pStyle w:val="ListParagraph"/>
        <w:numPr>
          <w:ilvl w:val="0"/>
          <w:numId w:val="4"/>
        </w:numPr>
        <w:spacing w:after="70" w:line="300"/>
      </w:pPr>
      <w:r>
        <w:rPr>
          <w:rFonts w:ascii="Times New Roman" w:cs="Times New Roman" w:eastAsia="Times New Roman" w:hAnsi="Times New Roman"/>
          <w:sz w:val="24"/>
          <w:szCs w:val="24"/>
        </w:rPr>
        <w:t xml:space="preserve">The answer lists five actors and shows the ⚠ caution: a tool shared by many actors is weak evidence of who is behind an intrusion.</w:t>
      </w:r>
    </w:p>
    <w:p>
      <w:pPr>
        <w:pStyle w:val="Heading2"/>
        <w:keepNext/>
        <w:spacing w:after="120" w:before="240"/>
      </w:pPr>
      <w:r>
        <w:rPr>
          <w:rFonts w:ascii="Times New Roman" w:cs="Times New Roman" w:eastAsia="Times New Roman" w:hAnsi="Times New Roman"/>
          <w:b/>
          <w:bCs/>
          <w:color w:val="1B4F72"/>
          <w:sz w:val="26"/>
          <w:szCs w:val="26"/>
        </w:rPr>
        <w:t xml:space="preserve">6.4  Indicator expiry (UC4)</w:t>
      </w:r>
    </w:p>
    <w:p>
      <w:pPr>
        <w:pStyle w:val="ListParagraph"/>
        <w:numPr>
          <w:ilvl w:val="0"/>
          <w:numId w:val="5"/>
        </w:numPr>
        <w:spacing w:after="70" w:line="300"/>
      </w:pPr>
      <w:r>
        <w:rPr>
          <w:rFonts w:ascii="Times New Roman" w:cs="Times New Roman" w:eastAsia="Times New Roman" w:hAnsi="Times New Roman"/>
          <w:sz w:val="24"/>
          <w:szCs w:val="24"/>
        </w:rPr>
        <w:t xml:space="preserve">Re-seed (</w:t>
      </w:r>
      <w:r>
        <w:rPr>
          <w:rFonts w:ascii="Courier New" w:cs="Courier New" w:eastAsia="Courier New" w:hAnsi="Courier New"/>
          <w:sz w:val="20"/>
          <w:szCs w:val="20"/>
        </w:rPr>
        <w:t xml:space="preserve">make seed</w:t>
      </w:r>
      <w:r>
        <w:rPr>
          <w:rFonts w:ascii="Times New Roman" w:cs="Times New Roman" w:eastAsia="Times New Roman" w:hAnsi="Times New Roman"/>
          <w:sz w:val="24"/>
          <w:szCs w:val="24"/>
        </w:rPr>
        <w:t xml:space="preserve">), then open the </w:t>
      </w:r>
      <w:r>
        <w:rPr>
          <w:rFonts w:ascii="Times New Roman" w:cs="Times New Roman" w:eastAsia="Times New Roman" w:hAnsi="Times New Roman"/>
          <w:b/>
          <w:bCs/>
          <w:sz w:val="24"/>
          <w:szCs w:val="24"/>
        </w:rPr>
        <w:t xml:space="preserve">IOC blocklist</w:t>
      </w:r>
      <w:r>
        <w:rPr>
          <w:rFonts w:ascii="Times New Roman" w:cs="Times New Roman" w:eastAsia="Times New Roman" w:hAnsi="Times New Roman"/>
          <w:sz w:val="24"/>
          <w:szCs w:val="24"/>
        </w:rPr>
        <w:t xml:space="preserve"> within a minute.</w:t>
      </w:r>
    </w:p>
    <w:p>
      <w:pPr>
        <w:pStyle w:val="ListParagraph"/>
        <w:numPr>
          <w:ilvl w:val="0"/>
          <w:numId w:val="5"/>
        </w:numPr>
        <w:spacing w:after="70" w:line="300"/>
      </w:pPr>
      <w:r>
        <w:rPr>
          <w:rFonts w:ascii="Times New Roman" w:cs="Times New Roman" w:eastAsia="Times New Roman" w:hAnsi="Times New Roman"/>
          <w:sz w:val="24"/>
          <w:szCs w:val="24"/>
        </w:rPr>
        <w:t xml:space="preserve">Three seeded IOCs have 90 s, 120 s and 300 s TTLs; watch them count down and move to </w:t>
      </w:r>
      <w:r>
        <w:rPr>
          <w:rFonts w:ascii="Times New Roman" w:cs="Times New Roman" w:eastAsia="Times New Roman" w:hAnsi="Times New Roman"/>
          <w:b/>
          <w:bCs/>
          <w:sz w:val="24"/>
          <w:szCs w:val="24"/>
        </w:rPr>
        <w:t xml:space="preserve">Recently expired</w:t>
      </w:r>
      <w:r>
        <w:rPr>
          <w:rFonts w:ascii="Times New Roman" w:cs="Times New Roman" w:eastAsia="Times New Roman" w:hAnsi="Times New Roman"/>
          <w:sz w:val="24"/>
          <w:szCs w:val="24"/>
        </w:rPr>
        <w:t xml:space="preserve">.</w:t>
      </w:r>
    </w:p>
    <w:p>
      <w:pPr>
        <w:pStyle w:val="ListParagraph"/>
        <w:numPr>
          <w:ilvl w:val="0"/>
          <w:numId w:val="5"/>
        </w:numPr>
        <w:spacing w:after="70" w:line="300"/>
      </w:pPr>
      <w:r>
        <w:rPr>
          <w:rFonts w:ascii="Times New Roman" w:cs="Times New Roman" w:eastAsia="Times New Roman" w:hAnsi="Times New Roman"/>
          <w:sz w:val="24"/>
          <w:szCs w:val="24"/>
        </w:rPr>
        <w:t xml:space="preserve">Click </w:t>
      </w:r>
      <w:r>
        <w:rPr>
          <w:rFonts w:ascii="Times New Roman" w:cs="Times New Roman" w:eastAsia="Times New Roman" w:hAnsi="Times New Roman"/>
          <w:b/>
          <w:bCs/>
          <w:sz w:val="24"/>
          <w:szCs w:val="24"/>
        </w:rPr>
        <w:t xml:space="preserve">show historical graph presence</w:t>
      </w:r>
      <w:r>
        <w:rPr>
          <w:rFonts w:ascii="Times New Roman" w:cs="Times New Roman" w:eastAsia="Times New Roman" w:hAnsi="Times New Roman"/>
          <w:sz w:val="24"/>
          <w:szCs w:val="24"/>
        </w:rPr>
        <w:t xml:space="preserve">: the graph still records the indicator although it is no longer enforced.</w:t>
      </w:r>
    </w:p>
    <w:p>
      <w:pPr>
        <w:pStyle w:val="Heading2"/>
        <w:keepNext/>
        <w:spacing w:after="120" w:before="240"/>
      </w:pPr>
      <w:r>
        <w:rPr>
          <w:rFonts w:ascii="Times New Roman" w:cs="Times New Roman" w:eastAsia="Times New Roman" w:hAnsi="Times New Roman"/>
          <w:b/>
          <w:bCs/>
          <w:color w:val="1B4F72"/>
          <w:sz w:val="26"/>
          <w:szCs w:val="26"/>
        </w:rPr>
        <w:t xml:space="preserve">6.5  Block a client IP</w:t>
      </w:r>
    </w:p>
    <w:p>
      <w:pPr>
        <w:spacing w:after="160" w:line="340"/>
        <w:jc w:val="both"/>
      </w:pPr>
      <w:r>
        <w:rPr>
          <w:rFonts w:ascii="Times New Roman" w:cs="Times New Roman" w:eastAsia="Times New Roman" w:hAnsi="Times New Roman"/>
          <w:sz w:val="24"/>
          <w:szCs w:val="24"/>
        </w:rPr>
        <w:t xml:space="preserve">This shows that an address on the blocklist cannot use the platform. Because every request on your own computer comes from 127.0.0.1, the test sends the client address in an </w:t>
      </w:r>
      <w:r>
        <w:rPr>
          <w:rFonts w:ascii="Courier New" w:cs="Courier New" w:eastAsia="Courier New" w:hAnsi="Courier New"/>
          <w:sz w:val="20"/>
          <w:szCs w:val="20"/>
        </w:rPr>
        <w:t xml:space="preserve">X-Forwarded-For</w:t>
      </w:r>
      <w:r>
        <w:rPr>
          <w:rFonts w:ascii="Times New Roman" w:cs="Times New Roman" w:eastAsia="Times New Roman" w:hAnsi="Times New Roman"/>
          <w:sz w:val="24"/>
          <w:szCs w:val="24"/>
        </w:rPr>
        <w:t xml:space="preserve"> header, which the API trusts only when started with </w:t>
      </w:r>
      <w:r>
        <w:rPr>
          <w:rFonts w:ascii="Courier New" w:cs="Courier New" w:eastAsia="Courier New" w:hAnsi="Courier New"/>
          <w:sz w:val="20"/>
          <w:szCs w:val="20"/>
        </w:rPr>
        <w:t xml:space="preserve">TRUST_FORWARDED_FOR=true</w:t>
      </w:r>
      <w:r>
        <w:rPr>
          <w:rFonts w:ascii="Times New Roman" w:cs="Times New Roman" w:eastAsia="Times New Roman" w:hAnsi="Times New Roman"/>
          <w:sz w:val="24"/>
          <w:szCs w:val="24"/>
        </w:rPr>
        <w:t xml:space="preserve"> (as it would be behind a reverse proxy).</w:t>
      </w:r>
    </w:p>
    <w:p>
      <w:pPr>
        <w:pStyle w:val="ListParagraph"/>
        <w:numPr>
          <w:ilvl w:val="0"/>
          <w:numId w:val="6"/>
        </w:numPr>
        <w:spacing w:after="70" w:line="300"/>
      </w:pPr>
      <w:r>
        <w:rPr>
          <w:rFonts w:ascii="Times New Roman" w:cs="Times New Roman" w:eastAsia="Times New Roman" w:hAnsi="Times New Roman"/>
          <w:sz w:val="24"/>
          <w:szCs w:val="24"/>
        </w:rPr>
        <w:t xml:space="preserve">Start the API with </w:t>
      </w:r>
      <w:r>
        <w:rPr>
          <w:rFonts w:ascii="Courier New" w:cs="Courier New" w:eastAsia="Courier New" w:hAnsi="Courier New"/>
          <w:sz w:val="20"/>
          <w:szCs w:val="20"/>
        </w:rPr>
        <w:t xml:space="preserve">TRUST_FORWARDED_FOR=true make api</w:t>
      </w:r>
      <w:r>
        <w:rPr>
          <w:rFonts w:ascii="Times New Roman" w:cs="Times New Roman" w:eastAsia="Times New Roman" w:hAnsi="Times New Roman"/>
          <w:sz w:val="24"/>
          <w:szCs w:val="24"/>
        </w:rPr>
        <w:t xml:space="preserve"> (or </w:t>
      </w:r>
      <w:r>
        <w:rPr>
          <w:rFonts w:ascii="Courier New" w:cs="Courier New" w:eastAsia="Courier New" w:hAnsi="Courier New"/>
          <w:sz w:val="20"/>
          <w:szCs w:val="20"/>
        </w:rPr>
        <w:t xml:space="preserve">make cloud-api</w:t>
      </w:r>
      <w:r>
        <w:rPr>
          <w:rFonts w:ascii="Times New Roman" w:cs="Times New Roman" w:eastAsia="Times New Roman" w:hAnsi="Times New Roman"/>
          <w:sz w:val="24"/>
          <w:szCs w:val="24"/>
        </w:rPr>
        <w:t xml:space="preserve">) and run </w:t>
      </w:r>
      <w:r>
        <w:rPr>
          <w:rFonts w:ascii="Courier New" w:cs="Courier New" w:eastAsia="Courier New" w:hAnsi="Courier New"/>
          <w:sz w:val="20"/>
          <w:szCs w:val="20"/>
        </w:rPr>
        <w:t xml:space="preserve">make import-feeds</w:t>
      </w:r>
      <w:r>
        <w:rPr>
          <w:rFonts w:ascii="Times New Roman" w:cs="Times New Roman" w:eastAsia="Times New Roman" w:hAnsi="Times New Roman"/>
          <w:sz w:val="24"/>
          <w:szCs w:val="24"/>
        </w:rPr>
        <w:t xml:space="preserve"> so the feed IPs are on the blocklist.</w:t>
      </w:r>
    </w:p>
    <w:p>
      <w:pPr>
        <w:pStyle w:val="ListParagraph"/>
        <w:numPr>
          <w:ilvl w:val="0"/>
          <w:numId w:val="6"/>
        </w:numPr>
        <w:spacing w:after="70" w:line="300"/>
      </w:pPr>
      <w:r>
        <w:rPr>
          <w:rFonts w:ascii="Times New Roman" w:cs="Times New Roman" w:eastAsia="Times New Roman" w:hAnsi="Times New Roman"/>
          <w:sz w:val="24"/>
          <w:szCs w:val="24"/>
        </w:rPr>
        <w:t xml:space="preserve">Run </w:t>
      </w:r>
      <w:r>
        <w:rPr>
          <w:rFonts w:ascii="Courier New" w:cs="Courier New" w:eastAsia="Courier New" w:hAnsi="Courier New"/>
          <w:sz w:val="20"/>
          <w:szCs w:val="20"/>
        </w:rPr>
        <w:t xml:space="preserve">curl -i -H 'X-Forwarded-For: 50.16.16.211' http://localhost:8000/api/reports</w:t>
      </w:r>
      <w:r>
        <w:rPr>
          <w:rFonts w:ascii="Times New Roman" w:cs="Times New Roman" w:eastAsia="Times New Roman" w:hAnsi="Times New Roman"/>
          <w:sz w:val="24"/>
          <w:szCs w:val="24"/>
        </w:rPr>
        <w:t xml:space="preserve"> — the answer is 403 “50.16.16.211 is on the IOC blocklist”. The same request from another address gets 401 (sign-in required) instead.</w:t>
      </w:r>
    </w:p>
    <w:p>
      <w:pPr>
        <w:pStyle w:val="ListParagraph"/>
        <w:numPr>
          <w:ilvl w:val="0"/>
          <w:numId w:val="6"/>
        </w:numPr>
        <w:spacing w:after="70" w:line="300"/>
      </w:pPr>
      <w:r>
        <w:rPr>
          <w:rFonts w:ascii="Times New Roman" w:cs="Times New Roman" w:eastAsia="Times New Roman" w:hAnsi="Times New Roman"/>
          <w:sz w:val="24"/>
          <w:szCs w:val="24"/>
        </w:rPr>
        <w:t xml:space="preserve">Open </w:t>
      </w:r>
      <w:r>
        <w:rPr>
          <w:rFonts w:ascii="Times New Roman" w:cs="Times New Roman" w:eastAsia="Times New Roman" w:hAnsi="Times New Roman"/>
          <w:b/>
          <w:bCs/>
          <w:sz w:val="24"/>
          <w:szCs w:val="24"/>
        </w:rPr>
        <w:t xml:space="preserve">IOC blocklist</w:t>
      </w:r>
      <w:r>
        <w:rPr>
          <w:rFonts w:ascii="Times New Roman" w:cs="Times New Roman" w:eastAsia="Times New Roman" w:hAnsi="Times New Roman"/>
          <w:sz w:val="24"/>
          <w:szCs w:val="24"/>
        </w:rPr>
        <w:t xml:space="preserve">: the refusal is listed under </w:t>
      </w:r>
      <w:r>
        <w:rPr>
          <w:rFonts w:ascii="Times New Roman" w:cs="Times New Roman" w:eastAsia="Times New Roman" w:hAnsi="Times New Roman"/>
          <w:b/>
          <w:bCs/>
          <w:sz w:val="24"/>
          <w:szCs w:val="24"/>
        </w:rPr>
        <w:t xml:space="preserve">Requests blocked by the API</w:t>
      </w:r>
      <w:r>
        <w:rPr>
          <w:rFonts w:ascii="Times New Roman" w:cs="Times New Roman" w:eastAsia="Times New Roman" w:hAnsi="Times New Roman"/>
          <w:sz w:val="24"/>
          <w:szCs w:val="24"/>
        </w:rPr>
        <w:t xml:space="preserve"> with the time its log entry expires.</w:t>
      </w:r>
    </w:p>
    <w:p>
      <w:pPr>
        <w:pStyle w:val="ListParagraph"/>
        <w:numPr>
          <w:ilvl w:val="0"/>
          <w:numId w:val="6"/>
        </w:numPr>
        <w:spacing w:after="70" w:line="300"/>
      </w:pPr>
      <w:r>
        <w:rPr>
          <w:rFonts w:ascii="Times New Roman" w:cs="Times New Roman" w:eastAsia="Times New Roman" w:hAnsi="Times New Roman"/>
          <w:sz w:val="24"/>
          <w:szCs w:val="24"/>
        </w:rPr>
        <w:t xml:space="preserve">As a lead, publish a test address (for example 203.0.113.99) with a 60 s TTL: it is refused within 5 seconds, and accepted again once the TTL runs out.</w:t>
      </w:r>
    </w:p>
    <w:p>
      <w:pPr>
        <w:pStyle w:val="Heading2"/>
        <w:keepNext/>
        <w:spacing w:after="120" w:before="240"/>
      </w:pPr>
      <w:r>
        <w:rPr>
          <w:rFonts w:ascii="Times New Roman" w:cs="Times New Roman" w:eastAsia="Times New Roman" w:hAnsi="Times New Roman"/>
          <w:b/>
          <w:bCs/>
          <w:color w:val="1B4F72"/>
          <w:sz w:val="26"/>
          <w:szCs w:val="26"/>
        </w:rPr>
        <w:t xml:space="preserve">6.6  TLP filtering</w:t>
      </w:r>
    </w:p>
    <w:p>
      <w:pPr>
        <w:pStyle w:val="ListParagraph"/>
        <w:numPr>
          <w:ilvl w:val="0"/>
          <w:numId w:val="7"/>
        </w:numPr>
        <w:spacing w:after="70" w:line="300"/>
      </w:pPr>
      <w:r>
        <w:rPr>
          <w:rFonts w:ascii="Times New Roman" w:cs="Times New Roman" w:eastAsia="Times New Roman" w:hAnsi="Times New Roman"/>
          <w:sz w:val="24"/>
          <w:szCs w:val="24"/>
        </w:rPr>
        <w:t xml:space="preserve">Sign out and sign in as </w:t>
      </w:r>
      <w:r>
        <w:rPr>
          <w:rFonts w:ascii="Times New Roman" w:cs="Times New Roman" w:eastAsia="Times New Roman" w:hAnsi="Times New Roman"/>
          <w:b/>
          <w:bCs/>
          <w:sz w:val="24"/>
          <w:szCs w:val="24"/>
        </w:rPr>
        <w:t xml:space="preserve">junior</w:t>
      </w:r>
      <w:r>
        <w:rPr>
          <w:rFonts w:ascii="Times New Roman" w:cs="Times New Roman" w:eastAsia="Times New Roman" w:hAnsi="Times New Roman"/>
          <w:sz w:val="24"/>
          <w:szCs w:val="24"/>
        </w:rPr>
        <w:t xml:space="preserve"> (GREEN).</w:t>
      </w:r>
    </w:p>
    <w:p>
      <w:pPr>
        <w:pStyle w:val="ListParagraph"/>
        <w:numPr>
          <w:ilvl w:val="0"/>
          <w:numId w:val="7"/>
        </w:numPr>
        <w:spacing w:after="70" w:line="300"/>
      </w:pPr>
      <w:r>
        <w:rPr>
          <w:rFonts w:ascii="Times New Roman" w:cs="Times New Roman" w:eastAsia="Times New Roman" w:hAnsi="Times New Roman"/>
          <w:sz w:val="24"/>
          <w:szCs w:val="24"/>
        </w:rPr>
        <w:t xml:space="preserve">The report browser hides AMBER reports and shows how many are hidden.</w:t>
      </w:r>
    </w:p>
    <w:p>
      <w:pPr>
        <w:pStyle w:val="ListParagraph"/>
        <w:numPr>
          <w:ilvl w:val="0"/>
          <w:numId w:val="7"/>
        </w:numPr>
        <w:spacing w:after="70" w:line="300"/>
      </w:pPr>
      <w:r>
        <w:rPr>
          <w:rFonts w:ascii="Times New Roman" w:cs="Times New Roman" w:eastAsia="Times New Roman" w:hAnsi="Times New Roman"/>
          <w:sz w:val="24"/>
          <w:szCs w:val="24"/>
        </w:rPr>
        <w:t xml:space="preserve">Open </w:t>
      </w:r>
      <w:r>
        <w:rPr>
          <w:rFonts w:ascii="Courier New" w:cs="Courier New" w:eastAsia="Courier New" w:hAnsi="Courier New"/>
          <w:sz w:val="20"/>
          <w:szCs w:val="20"/>
        </w:rPr>
        <w:t xml:space="preserve">/reports/rpt-001</w:t>
      </w:r>
      <w:r>
        <w:rPr>
          <w:rFonts w:ascii="Times New Roman" w:cs="Times New Roman" w:eastAsia="Times New Roman" w:hAnsi="Times New Roman"/>
          <w:sz w:val="24"/>
          <w:szCs w:val="24"/>
        </w:rPr>
        <w:t xml:space="preserve">: the report is withheld. Ask the UC1 question again: AMBER reports are not used and the answer is labelled GREEN or lower.</w:t>
      </w:r>
    </w:p>
    <w:p>
      <w:pPr>
        <w:pStyle w:val="Heading2"/>
        <w:keepNext/>
        <w:spacing w:after="120" w:before="240"/>
      </w:pPr>
      <w:r>
        <w:rPr>
          <w:rFonts w:ascii="Times New Roman" w:cs="Times New Roman" w:eastAsia="Times New Roman" w:hAnsi="Times New Roman"/>
          <w:b/>
          <w:bCs/>
          <w:color w:val="1B4F72"/>
          <w:sz w:val="26"/>
          <w:szCs w:val="26"/>
        </w:rPr>
        <w:t xml:space="preserve">6.7  Ingest a STIX bundle</w:t>
      </w:r>
    </w:p>
    <w:p>
      <w:pPr>
        <w:pStyle w:val="ListParagraph"/>
        <w:numPr>
          <w:ilvl w:val="0"/>
          <w:numId w:val="8"/>
        </w:numPr>
        <w:spacing w:after="70" w:line="300"/>
      </w:pPr>
      <w:r>
        <w:rPr>
          <w:rFonts w:ascii="Times New Roman" w:cs="Times New Roman" w:eastAsia="Times New Roman" w:hAnsi="Times New Roman"/>
          <w:sz w:val="24"/>
          <w:szCs w:val="24"/>
        </w:rPr>
        <w:t xml:space="preserve">Sign in as </w:t>
      </w:r>
      <w:r>
        <w:rPr>
          <w:rFonts w:ascii="Times New Roman" w:cs="Times New Roman" w:eastAsia="Times New Roman" w:hAnsi="Times New Roman"/>
          <w:b/>
          <w:bCs/>
          <w:sz w:val="24"/>
          <w:szCs w:val="24"/>
        </w:rPr>
        <w:t xml:space="preserve">lead</w:t>
      </w:r>
      <w:r>
        <w:rPr>
          <w:rFonts w:ascii="Times New Roman" w:cs="Times New Roman" w:eastAsia="Times New Roman" w:hAnsi="Times New Roman"/>
          <w:sz w:val="24"/>
          <w:szCs w:val="24"/>
        </w:rPr>
        <w:t xml:space="preserve">, open </w:t>
      </w:r>
      <w:r>
        <w:rPr>
          <w:rFonts w:ascii="Times New Roman" w:cs="Times New Roman" w:eastAsia="Times New Roman" w:hAnsi="Times New Roman"/>
          <w:b/>
          <w:bCs/>
          <w:sz w:val="24"/>
          <w:szCs w:val="24"/>
        </w:rPr>
        <w:t xml:space="preserve">Ingest → STIX 2.1 bundle</w:t>
      </w:r>
      <w:r>
        <w:rPr>
          <w:rFonts w:ascii="Times New Roman" w:cs="Times New Roman" w:eastAsia="Times New Roman" w:hAnsi="Times New Roman"/>
          <w:sz w:val="24"/>
          <w:szCs w:val="24"/>
        </w:rPr>
        <w:t xml:space="preserve"> and choose </w:t>
      </w:r>
      <w:r>
        <w:rPr>
          <w:rFonts w:ascii="Courier New" w:cs="Courier New" w:eastAsia="Courier New" w:hAnsi="Courier New"/>
          <w:sz w:val="20"/>
          <w:szCs w:val="20"/>
        </w:rPr>
        <w:t xml:space="preserve">samples/stix_apt28_bundle.json</w:t>
      </w:r>
      <w:r>
        <w:rPr>
          <w:rFonts w:ascii="Times New Roman" w:cs="Times New Roman" w:eastAsia="Times New Roman" w:hAnsi="Times New Roman"/>
          <w:sz w:val="24"/>
          <w:szCs w:val="24"/>
        </w:rPr>
        <w:t xml:space="preserve">.</w:t>
      </w:r>
    </w:p>
    <w:p>
      <w:pPr>
        <w:pStyle w:val="ListParagraph"/>
        <w:numPr>
          <w:ilvl w:val="0"/>
          <w:numId w:val="8"/>
        </w:numPr>
        <w:spacing w:after="70" w:line="300"/>
      </w:pPr>
      <w:r>
        <w:rPr>
          <w:rFonts w:ascii="Times New Roman" w:cs="Times New Roman" w:eastAsia="Times New Roman" w:hAnsi="Times New Roman"/>
          <w:sz w:val="24"/>
          <w:szCs w:val="24"/>
        </w:rPr>
        <w:t xml:space="preserve">Tick </w:t>
      </w:r>
      <w:r>
        <w:rPr>
          <w:rFonts w:ascii="Times New Roman" w:cs="Times New Roman" w:eastAsia="Times New Roman" w:hAnsi="Times New Roman"/>
          <w:b/>
          <w:bCs/>
          <w:sz w:val="24"/>
          <w:szCs w:val="24"/>
        </w:rPr>
        <w:t xml:space="preserve">publish indicators</w:t>
      </w:r>
      <w:r>
        <w:rPr>
          <w:rFonts w:ascii="Times New Roman" w:cs="Times New Roman" w:eastAsia="Times New Roman" w:hAnsi="Times New Roman"/>
          <w:sz w:val="24"/>
          <w:szCs w:val="24"/>
        </w:rPr>
        <w:t xml:space="preserve"> and press </w:t>
      </w:r>
      <w:r>
        <w:rPr>
          <w:rFonts w:ascii="Times New Roman" w:cs="Times New Roman" w:eastAsia="Times New Roman" w:hAnsi="Times New Roman"/>
          <w:b/>
          <w:bCs/>
          <w:sz w:val="24"/>
          <w:szCs w:val="24"/>
        </w:rPr>
        <w:t xml:space="preserve">Run ingest job</w:t>
      </w:r>
      <w:r>
        <w:rPr>
          <w:rFonts w:ascii="Times New Roman" w:cs="Times New Roman" w:eastAsia="Times New Roman" w:hAnsi="Times New Roman"/>
          <w:sz w:val="24"/>
          <w:szCs w:val="24"/>
        </w:rPr>
        <w:t xml:space="preserve">; all four steps turn green.</w:t>
      </w:r>
    </w:p>
    <w:p>
      <w:pPr>
        <w:pStyle w:val="ListParagraph"/>
        <w:numPr>
          <w:ilvl w:val="0"/>
          <w:numId w:val="8"/>
        </w:numPr>
        <w:spacing w:after="70" w:line="300"/>
      </w:pPr>
      <w:r>
        <w:rPr>
          <w:rFonts w:ascii="Times New Roman" w:cs="Times New Roman" w:eastAsia="Times New Roman" w:hAnsi="Times New Roman"/>
          <w:sz w:val="24"/>
          <w:szCs w:val="24"/>
        </w:rPr>
        <w:t xml:space="preserve">Ask “diplomatic invitation lures against foreign ministries”: the new report (Embassy Lure 2024) is retrieved.</w:t>
      </w:r>
    </w:p>
    <w:p>
      <w:pPr>
        <w:pStyle w:val="Heading1"/>
        <w:pBdr>
          <w:bottom w:val="single" w:color="0F2A47" w:sz="12" w:space="4"/>
        </w:pBdr>
        <w:spacing w:after="180" w:before="320"/>
      </w:pPr>
      <w:r>
        <w:rPr>
          <w:rFonts w:ascii="Times New Roman" w:cs="Times New Roman" w:eastAsia="Times New Roman" w:hAnsi="Times New Roman"/>
          <w:b/>
          <w:bCs/>
          <w:color w:val="0F2A47"/>
          <w:sz w:val="32"/>
          <w:szCs w:val="32"/>
        </w:rPr>
        <w:t xml:space="preserve">7.  Enforcement API for Security Tools</w:t>
      </w:r>
    </w:p>
    <w:p>
      <w:pPr>
        <w:spacing w:after="160" w:line="340"/>
        <w:jc w:val="both"/>
      </w:pPr>
      <w:r>
        <w:rPr>
          <w:rFonts w:ascii="Times New Roman" w:cs="Times New Roman" w:eastAsia="Times New Roman" w:hAnsi="Times New Roman"/>
          <w:sz w:val="24"/>
          <w:szCs w:val="24"/>
        </w:rPr>
        <w:t xml:space="preserve">Firewalls, EDR and SIEM tools use a separate API that reads only the Redis blocklist. They authenticate with the </w:t>
      </w:r>
      <w:r>
        <w:rPr>
          <w:rFonts w:ascii="Courier New" w:cs="Courier New" w:eastAsia="Courier New" w:hAnsi="Courier New"/>
          <w:sz w:val="20"/>
          <w:szCs w:val="20"/>
        </w:rPr>
        <w:t xml:space="preserve">X-API-Key</w:t>
      </w:r>
      <w:r>
        <w:rPr>
          <w:rFonts w:ascii="Times New Roman" w:cs="Times New Roman" w:eastAsia="Times New Roman" w:hAnsi="Times New Roman"/>
          <w:sz w:val="24"/>
          <w:szCs w:val="24"/>
        </w:rPr>
        <w:t xml:space="preserve"> header (</w:t>
      </w:r>
      <w:r>
        <w:rPr>
          <w:rFonts w:ascii="Courier New" w:cs="Courier New" w:eastAsia="Courier New" w:hAnsi="Courier New"/>
          <w:sz w:val="20"/>
          <w:szCs w:val="20"/>
        </w:rPr>
        <w:t xml:space="preserve">CONSUMER_API_KEY</w:t>
      </w:r>
      <w:r>
        <w:rPr>
          <w:rFonts w:ascii="Times New Roman" w:cs="Times New Roman" w:eastAsia="Times New Roman" w:hAnsi="Times New Roman"/>
          <w:sz w:val="24"/>
          <w:szCs w:val="24"/>
        </w:rPr>
        <w:t xml:space="preserve"> in </w:t>
      </w:r>
      <w:r>
        <w:rPr>
          <w:rFonts w:ascii="Courier New" w:cs="Courier New" w:eastAsia="Courier New" w:hAnsi="Courier New"/>
          <w:sz w:val="20"/>
          <w:szCs w:val="20"/>
        </w:rPr>
        <w:t xml:space="preserve">.env</w:t>
      </w:r>
      <w:r>
        <w:rPr>
          <w:rFonts w:ascii="Times New Roman" w:cs="Times New Roman" w:eastAsia="Times New Roman" w:hAnsi="Times New Roman"/>
          <w:sz w:val="24"/>
          <w:szCs w:val="24"/>
        </w:rPr>
        <w:t xml:space="preserve">), not with a user account.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CDD3" w:sz="4"/>
              <w:left w:val="single" w:color="C8CDD3" w:sz="4"/>
              <w:bottom w:val="single" w:color="C8CDD3" w:sz="4"/>
              <w:right w:val="single" w:color="C8CDD3" w:sz="4"/>
            </w:tcBorders>
            <w:shd w:fill="F4F5F7" w:val="clear"/>
            <w:tcMar>
              <w:top w:type="dxa" w:w="80"/>
              <w:left w:type="dxa" w:w="140"/>
              <w:bottom w:type="dxa" w:w="80"/>
              <w:right w:type="dxa" w:w="140"/>
            </w:tcMar>
          </w:tcPr>
          <w:p>
            <w:pPr>
              <w:spacing w:after="0" w:line="250"/>
            </w:pPr>
            <w:r>
              <w:rPr>
                <w:rFonts w:ascii="Courier New" w:cs="Courier New" w:eastAsia="Courier New" w:hAnsi="Courier New"/>
                <w:sz w:val="18"/>
                <w:szCs w:val="18"/>
              </w:rPr>
              <w:t xml:space="preserve">curl -H "X-API-Key: edr-consumer-key" \</w:t>
            </w:r>
          </w:p>
          <w:p>
            <w:pPr>
              <w:spacing w:after="0" w:line="250"/>
            </w:pPr>
            <w:r>
              <w:rPr>
                <w:rFonts w:ascii="Courier New" w:cs="Courier New" w:eastAsia="Courier New" w:hAnsi="Courier New"/>
                <w:sz w:val="18"/>
                <w:szCs w:val="18"/>
              </w:rPr>
              <w:t xml:space="preserve">     "http://localhost:8000/api/enforce/check?type=ip&amp;value=185.86.77.12"</w:t>
            </w:r>
          </w:p>
          <w:p>
            <w:pPr>
              <w:spacing w:after="0" w:line="250"/>
            </w:pPr>
            <w:r>
              <w:rPr>
                <w:rFonts w:ascii="Courier New" w:cs="Courier New" w:eastAsia="Courier New" w:hAnsi="Courier New"/>
                <w:sz w:val="18"/>
                <w:szCs w:val="18"/>
              </w:rPr>
              <w:t xml:space="preserve">{"blocked": true, "ttl_remaining": 604010, "severity": "high"}</w:t>
            </w:r>
          </w:p>
          <w:p>
            <w:pPr>
              <w:spacing w:after="0" w:line="250"/>
            </w:pPr>
            <w:r>
              <w:rPr>
                <w:rFonts w:ascii="Courier New" w:cs="Courier New" w:eastAsia="Courier New" w:hAnsi="Courier New"/>
                <w:sz w:val="18"/>
                <w:szCs w:val="18"/>
              </w:rPr>
              <w:t xml:space="preserve"/>
            </w:r>
          </w:p>
          <w:p>
            <w:pPr>
              <w:spacing w:after="0" w:line="250"/>
            </w:pPr>
            <w:r>
              <w:rPr>
                <w:rFonts w:ascii="Courier New" w:cs="Courier New" w:eastAsia="Courier New" w:hAnsi="Courier New"/>
                <w:sz w:val="18"/>
                <w:szCs w:val="18"/>
              </w:rPr>
              <w:t xml:space="preserve">curl -H "X-API-Key: edr-consumer-key" "http://localhost:8000/api/enforce/export?format=txt"</w:t>
            </w:r>
          </w:p>
          <w:p>
            <w:pPr>
              <w:spacing w:after="0" w:line="250"/>
            </w:pPr>
            <w:r>
              <w:rPr>
                <w:rFonts w:ascii="Courier New" w:cs="Courier New" w:eastAsia="Courier New" w:hAnsi="Courier New"/>
                <w:sz w:val="18"/>
                <w:szCs w:val="18"/>
              </w:rPr>
              <w:t xml:space="preserve">ip,185.86.77.12</w:t>
            </w:r>
          </w:p>
          <w:p>
            <w:pPr>
              <w:spacing w:after="0" w:line="250"/>
            </w:pPr>
            <w:r>
              <w:rPr>
                <w:rFonts w:ascii="Courier New" w:cs="Courier New" w:eastAsia="Courier New" w:hAnsi="Courier New"/>
                <w:sz w:val="18"/>
                <w:szCs w:val="18"/>
              </w:rPr>
              <w:t xml:space="preserve">domain,avsvmcloud.com</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Situation</w:t>
            </w:r>
          </w:p>
        </w:tc>
        <w:tc>
          <w:tcPr>
            <w:tcW w:type="dxa" w:w="70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Response</w:t>
            </w:r>
          </w:p>
        </w:tc>
      </w:tr>
      <w:tr>
        <w:trPr>
          <w:cantSplit/>
          <w:tblHeader w:val="false"/>
        </w:trPr>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indicator live</w:t>
            </w:r>
          </w:p>
        </w:tc>
        <w:tc>
          <w:tcPr>
            <w:tcW w:type="dxa" w:w="7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200, blocked: true, remaining TTL and severity</w:t>
            </w:r>
          </w:p>
        </w:tc>
      </w:tr>
      <w:tr>
        <w:trPr>
          <w:cantSplit/>
          <w:tblHeader w:val="false"/>
        </w:trPr>
        <w:tc>
          <w:tcPr>
            <w:tcW w:type="dxa" w:w="2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indicator absent or expired</w:t>
            </w:r>
          </w:p>
        </w:tc>
        <w:tc>
          <w:tcPr>
            <w:tcW w:type="dxa" w:w="7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200, blocked: false — never looked up in any other database</w:t>
            </w:r>
          </w:p>
        </w:tc>
      </w:tr>
      <w:tr>
        <w:trPr>
          <w:cantSplit/>
          <w:tblHeader w:val="false"/>
        </w:trPr>
        <w:tc>
          <w:tcPr>
            <w:tcW w:type="dxa" w:w="26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wrong or missing key</w:t>
            </w:r>
          </w:p>
        </w:tc>
        <w:tc>
          <w:tcPr>
            <w:tcW w:type="dxa" w:w="70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401</w:t>
            </w:r>
          </w:p>
        </w:tc>
      </w:tr>
      <w:tr>
        <w:trPr>
          <w:cantSplit/>
          <w:tblHeader w:val="false"/>
        </w:trPr>
        <w:tc>
          <w:tcPr>
            <w:tcW w:type="dxa" w:w="26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Redis unavailable</w:t>
            </w:r>
          </w:p>
        </w:tc>
        <w:tc>
          <w:tcPr>
            <w:tcW w:type="dxa" w:w="70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503 with blocked: true and fail_closed: true — treat as block</w:t>
            </w:r>
          </w:p>
        </w:tc>
      </w:tr>
    </w:tbl>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8.  Inspecting the Databases Directly</w:t>
      </w:r>
    </w:p>
    <w:p>
      <w:pPr>
        <w:spacing w:after="160" w:line="340"/>
        <w:jc w:val="both"/>
      </w:pPr>
      <w:r>
        <w:rPr>
          <w:rFonts w:ascii="Times New Roman" w:cs="Times New Roman" w:eastAsia="Times New Roman" w:hAnsi="Times New Roman"/>
          <w:sz w:val="24"/>
          <w:szCs w:val="24"/>
        </w:rPr>
        <w:t xml:space="preserve">Each database can be opened in its own tool, independently of the CTI console — useful for checking data, teaching, and showing that the four stores are real database servers rather than files. Start the two extra consoles with </w:t>
      </w:r>
      <w:r>
        <w:rPr>
          <w:rFonts w:ascii="Courier New" w:cs="Courier New" w:eastAsia="Courier New" w:hAnsi="Courier New"/>
          <w:sz w:val="20"/>
          <w:szCs w:val="20"/>
        </w:rPr>
        <w:t xml:space="preserve">make dbui</w:t>
      </w:r>
      <w:r>
        <w:rPr>
          <w:rFonts w:ascii="Times New Roman" w:cs="Times New Roman" w:eastAsia="Times New Roman" w:hAnsi="Times New Roman"/>
          <w:sz w:val="24"/>
          <w:szCs w:val="24"/>
        </w:rPr>
        <w:t xml:space="preserve">; Neo4j and Qdrant include their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238"/>
      </w:tblGrid>
      <w:tr>
        <w:trPr>
          <w:cantSplit/>
          <w:tblHeader/>
        </w:trPr>
        <w:tc>
          <w:tcPr>
            <w:tcW w:type="dxa" w:w="17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Database</w:t>
            </w:r>
          </w:p>
        </w:tc>
        <w:tc>
          <w:tcPr>
            <w:tcW w:type="dxa" w:w="37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Console</w:t>
            </w:r>
          </w:p>
        </w:tc>
        <w:tc>
          <w:tcPr>
            <w:tcW w:type="dxa" w:w="42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What to look at</w:t>
            </w:r>
          </w:p>
        </w:tc>
      </w:tr>
      <w:tr>
        <w:trPr>
          <w:cantSplit/>
          <w:tblHeader w:val="false"/>
        </w:trPr>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Neo4j</w:t>
            </w:r>
          </w:p>
        </w:tc>
        <w:tc>
          <w:tcPr>
            <w:tcW w:type="dxa" w:w="3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http://localhost:7474 (user neo4j, password from NEO4J_PASSWORD)</w:t>
            </w:r>
          </w:p>
        </w:tc>
        <w:tc>
          <w:tcPr>
            <w:tcW w:type="dxa" w:w="42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run Cypher; </w:t>
            </w:r>
            <w:r>
              <w:rPr>
                <w:rFonts w:ascii="Courier New" w:cs="Courier New" w:eastAsia="Courier New" w:hAnsi="Courier New"/>
                <w:sz w:val="16"/>
                <w:szCs w:val="16"/>
              </w:rPr>
              <w:t xml:space="preserve">CALL db.schema.visualization()</w:t>
            </w:r>
            <w:r>
              <w:rPr>
                <w:rFonts w:ascii="Times New Roman" w:cs="Times New Roman" w:eastAsia="Times New Roman" w:hAnsi="Times New Roman"/>
                <w:b w:val="false"/>
                <w:bCs w:val="false"/>
                <w:sz w:val="18"/>
                <w:szCs w:val="18"/>
              </w:rPr>
              <w:t xml:space="preserve"> draws the live schema</w:t>
            </w:r>
          </w:p>
        </w:tc>
      </w:tr>
      <w:tr>
        <w:trPr>
          <w:cantSplit/>
          <w:tblHeader w:val="false"/>
        </w:trPr>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MongoDB</w:t>
            </w:r>
          </w:p>
        </w:tc>
        <w:tc>
          <w:tcPr>
            <w:tcW w:type="dxa" w:w="3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http://localhost:8081 (mongo-express), or MongoDB Compass at mongodb://localhost:27017</w:t>
            </w:r>
          </w:p>
        </w:tc>
        <w:tc>
          <w:tcPr>
            <w:tcW w:type="dxa" w:w="42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database cti → reports; compare rpt-002 and rpt-004</w:t>
            </w:r>
          </w:p>
        </w:tc>
      </w:tr>
      <w:tr>
        <w:trPr>
          <w:cantSplit/>
          <w:tblHeader w:val="false"/>
        </w:trPr>
        <w:tc>
          <w:tcPr>
            <w:tcW w:type="dxa" w:w="1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Redis</w:t>
            </w:r>
          </w:p>
        </w:tc>
        <w:tc>
          <w:tcPr>
            <w:tcW w:type="dxa" w:w="37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http://localhost:8082 (Redis Commander)</w:t>
            </w:r>
          </w:p>
        </w:tc>
        <w:tc>
          <w:tcPr>
            <w:tcW w:type="dxa" w:w="42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ioc → ip → a key: JSON value and TTL</w:t>
            </w:r>
          </w:p>
        </w:tc>
      </w:tr>
      <w:tr>
        <w:trPr>
          <w:cantSplit/>
          <w:tblHeader w:val="false"/>
        </w:trPr>
        <w:tc>
          <w:tcPr>
            <w:tcW w:type="dxa" w:w="1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Qdrant</w:t>
            </w:r>
          </w:p>
        </w:tc>
        <w:tc>
          <w:tcPr>
            <w:tcW w:type="dxa" w:w="37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http://localhost:6333/dashboard</w:t>
            </w:r>
          </w:p>
        </w:tc>
        <w:tc>
          <w:tcPr>
            <w:tcW w:type="dxa" w:w="42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threat_chunks → Points, Info (HNSW), Visualize</w:t>
            </w:r>
          </w:p>
        </w:tc>
      </w:tr>
    </w:tbl>
    <w:p>
      <w:pPr>
        <w:spacing w:after="80"/>
      </w:pPr>
    </w:p>
    <w:p>
      <w:pPr>
        <w:spacing w:after="160" w:line="340"/>
        <w:jc w:val="both"/>
      </w:pPr>
      <w:r>
        <w:rPr>
          <w:rFonts w:ascii="Times New Roman" w:cs="Times New Roman" w:eastAsia="Times New Roman" w:hAnsi="Times New Roman"/>
          <w:sz w:val="24"/>
          <w:szCs w:val="24"/>
        </w:rPr>
        <w:t xml:space="preserve">The MongoDB and Redis consoles are read-only and listen only on this machine. For typing commands, use the database shells: </w:t>
      </w:r>
      <w:r>
        <w:rPr>
          <w:rFonts w:ascii="Courier New" w:cs="Courier New" w:eastAsia="Courier New" w:hAnsi="Courier New"/>
          <w:sz w:val="20"/>
          <w:szCs w:val="20"/>
        </w:rPr>
        <w:t xml:space="preserve">docker exec -it cti-neo4j cypher-shell -u neo4j -p ctiplatform</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docker exec -it cti-mongo mongosh cti</w:t>
      </w:r>
      <w:r>
        <w:rPr>
          <w:rFonts w:ascii="Times New Roman" w:cs="Times New Roman" w:eastAsia="Times New Roman" w:hAnsi="Times New Roman"/>
          <w:sz w:val="24"/>
          <w:szCs w:val="24"/>
        </w:rPr>
        <w:t xml:space="preserve">, </w:t>
      </w:r>
      <w:r>
        <w:rPr>
          <w:rFonts w:ascii="Courier New" w:cs="Courier New" w:eastAsia="Courier New" w:hAnsi="Courier New"/>
          <w:sz w:val="20"/>
          <w:szCs w:val="20"/>
        </w:rPr>
        <w:t xml:space="preserve">docker exec -it cti-redis redis-cli</w:t>
      </w:r>
      <w:r>
        <w:rPr>
          <w:rFonts w:ascii="Times New Roman" w:cs="Times New Roman" w:eastAsia="Times New Roman" w:hAnsi="Times New Roman"/>
          <w:sz w:val="24"/>
          <w:szCs w:val="24"/>
        </w:rPr>
        <w:t xml:space="preserve">. A step-by-step tour with queries is in </w:t>
      </w:r>
      <w:r>
        <w:rPr>
          <w:rFonts w:ascii="Courier New" w:cs="Courier New" w:eastAsia="Courier New" w:hAnsi="Courier New"/>
          <w:sz w:val="20"/>
          <w:szCs w:val="20"/>
        </w:rPr>
        <w:t xml:space="preserve">review3/DATABASE_TOUR.md</w:t>
      </w:r>
      <w:r>
        <w:rPr>
          <w:rFonts w:ascii="Times New Roman" w:cs="Times New Roman" w:eastAsia="Times New Roman" w:hAnsi="Times New Roman"/>
          <w:sz w:val="24"/>
          <w:szCs w:val="24"/>
        </w:rPr>
        <w:t xml:space="preserve">.</w:t>
      </w:r>
    </w:p>
    <w:p>
      <w:pPr>
        <w:spacing w:after="160" w:line="340"/>
        <w:jc w:val="both"/>
      </w:pPr>
      <w:r>
        <w:rPr>
          <w:rFonts w:ascii="Times New Roman" w:cs="Times New Roman" w:eastAsia="Times New Roman" w:hAnsi="Times New Roman"/>
          <w:b/>
          <w:bCs/>
          <w:sz w:val="24"/>
          <w:szCs w:val="24"/>
        </w:rPr>
        <w:t xml:space="preserve">Hosted databases.</w:t>
      </w:r>
      <w:r>
        <w:rPr>
          <w:rFonts w:ascii="Times New Roman" w:cs="Times New Roman" w:eastAsia="Times New Roman" w:hAnsi="Times New Roman"/>
          <w:sz w:val="24"/>
          <w:szCs w:val="24"/>
        </w:rPr>
        <w:t xml:space="preserve"> With the hosted setup (Section 3.7), each vendor's web console shows the same data: AuraDB's </w:t>
      </w:r>
      <w:r>
        <w:rPr>
          <w:rFonts w:ascii="Times New Roman" w:cs="Times New Roman" w:eastAsia="Times New Roman" w:hAnsi="Times New Roman"/>
          <w:b/>
          <w:bCs/>
          <w:sz w:val="24"/>
          <w:szCs w:val="24"/>
        </w:rPr>
        <w:t xml:space="preserve">Query</w:t>
      </w:r>
      <w:r>
        <w:rPr>
          <w:rFonts w:ascii="Times New Roman" w:cs="Times New Roman" w:eastAsia="Times New Roman" w:hAnsi="Times New Roman"/>
          <w:sz w:val="24"/>
          <w:szCs w:val="24"/>
        </w:rPr>
        <w:t xml:space="preserve"> tab runs Cypher, Atlas's </w:t>
      </w:r>
      <w:r>
        <w:rPr>
          <w:rFonts w:ascii="Times New Roman" w:cs="Times New Roman" w:eastAsia="Times New Roman" w:hAnsi="Times New Roman"/>
          <w:b/>
          <w:bCs/>
          <w:sz w:val="24"/>
          <w:szCs w:val="24"/>
        </w:rPr>
        <w:t xml:space="preserve">Data Explorer</w:t>
      </w:r>
      <w:r>
        <w:rPr>
          <w:rFonts w:ascii="Times New Roman" w:cs="Times New Roman" w:eastAsia="Times New Roman" w:hAnsi="Times New Roman"/>
          <w:sz w:val="24"/>
          <w:szCs w:val="24"/>
        </w:rPr>
        <w:t xml:space="preserve"> browses the </w:t>
      </w:r>
      <w:r>
        <w:rPr>
          <w:rFonts w:ascii="Courier New" w:cs="Courier New" w:eastAsia="Courier New" w:hAnsi="Courier New"/>
          <w:sz w:val="20"/>
          <w:szCs w:val="20"/>
        </w:rPr>
        <w:t xml:space="preserve">cti</w:t>
      </w:r>
      <w:r>
        <w:rPr>
          <w:rFonts w:ascii="Times New Roman" w:cs="Times New Roman" w:eastAsia="Times New Roman" w:hAnsi="Times New Roman"/>
          <w:sz w:val="24"/>
          <w:szCs w:val="24"/>
        </w:rPr>
        <w:t xml:space="preserve"> collections, Redis Cloud opens </w:t>
      </w:r>
      <w:r>
        <w:rPr>
          <w:rFonts w:ascii="Times New Roman" w:cs="Times New Roman" w:eastAsia="Times New Roman" w:hAnsi="Times New Roman"/>
          <w:b/>
          <w:bCs/>
          <w:sz w:val="24"/>
          <w:szCs w:val="24"/>
        </w:rPr>
        <w:t xml:space="preserve">Redis Insight</w:t>
      </w:r>
      <w:r>
        <w:rPr>
          <w:rFonts w:ascii="Times New Roman" w:cs="Times New Roman" w:eastAsia="Times New Roman" w:hAnsi="Times New Roman"/>
          <w:sz w:val="24"/>
          <w:szCs w:val="24"/>
        </w:rPr>
        <w:t xml:space="preserve">, and Qdrant Cloud's cluster </w:t>
      </w:r>
      <w:r>
        <w:rPr>
          <w:rFonts w:ascii="Times New Roman" w:cs="Times New Roman" w:eastAsia="Times New Roman" w:hAnsi="Times New Roman"/>
          <w:b/>
          <w:bCs/>
          <w:sz w:val="24"/>
          <w:szCs w:val="24"/>
        </w:rPr>
        <w:t xml:space="preserve">Dashboard</w:t>
      </w:r>
      <w:r>
        <w:rPr>
          <w:rFonts w:ascii="Times New Roman" w:cs="Times New Roman" w:eastAsia="Times New Roman" w:hAnsi="Times New Roman"/>
          <w:sz w:val="24"/>
          <w:szCs w:val="24"/>
        </w:rPr>
        <w:t xml:space="preserve"> shows </w:t>
      </w:r>
      <w:r>
        <w:rPr>
          <w:rFonts w:ascii="Courier New" w:cs="Courier New" w:eastAsia="Courier New" w:hAnsi="Courier New"/>
          <w:sz w:val="20"/>
          <w:szCs w:val="20"/>
        </w:rPr>
        <w:t xml:space="preserve">threat_chunks</w:t>
      </w:r>
      <w:r>
        <w:rPr>
          <w:rFonts w:ascii="Times New Roman" w:cs="Times New Roman" w:eastAsia="Times New Roman" w:hAnsi="Times New Roman"/>
          <w:sz w:val="24"/>
          <w:szCs w:val="24"/>
        </w:rPr>
        <w:t xml:space="preserve">. Redis Commander can also be pointed at Redis Cloud (Figure 16).</w:t>
      </w:r>
    </w:p>
    <w:p>
      <w:pPr>
        <w:keepNext/>
        <w:spacing w:after="40" w:before="120"/>
        <w:jc w:val="center"/>
      </w:pPr>
      <w:r>
        <w:drawing>
          <wp:inline distT="0" distB="0" distL="0" distR="0">
            <wp:extent cx="5334000" cy="3333750"/>
            <wp:effectExtent t="0" r="0" b="0" l="0"/>
            <wp:docPr id="1" name="Neo4j Browser: a Cypher query showing APT28 and Sandworm sharing a C2 server." descr="Neo4j Browser: a Cypher query showing APT28 and Sandworm sharing a C2 server." title="Neo4j Browser: a Cypher query showing APT28 and Sandworm sharing a C2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12.  Neo4j Browser: a Cypher query showing APT28 and Sandworm sharing a C2 server.</w:t>
      </w:r>
    </w:p>
    <w:p>
      <w:pPr>
        <w:keepNext/>
        <w:spacing w:after="40" w:before="120"/>
        <w:jc w:val="center"/>
      </w:pPr>
      <w:r>
        <w:drawing>
          <wp:inline distT="0" distB="0" distL="0" distR="0">
            <wp:extent cx="5334000" cy="3333750"/>
            <wp:effectExtent t="0" r="0" b="0" l="0"/>
            <wp:docPr id="1" name="mongo-express: report rpt-002 with its report-specific nested build_pipeline field." descr="mongo-express: report rpt-002 with its report-specific nested build_pipeline field." title="mongo-express: report rpt-002 with its report-specific nested build_pipelin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13.  mongo-express: report rpt-002 with its report-specific nested build_pipeline field.</w:t>
      </w:r>
    </w:p>
    <w:p>
      <w:pPr>
        <w:keepNext/>
        <w:spacing w:after="40" w:before="120"/>
        <w:jc w:val="center"/>
      </w:pPr>
      <w:r>
        <w:drawing>
          <wp:inline distT="0" distB="0" distL="0" distR="0">
            <wp:extent cx="5334000" cy="3333750"/>
            <wp:effectExtent t="0" r="0" b="0" l="0"/>
            <wp:docPr id="1" name="Redis Commander: an IOC key with its JSON value and remaining TTL in seconds." descr="Redis Commander: an IOC key with its JSON value and remaining TTL in seconds." title="Redis Commander: an IOC key with its JSON value and remaining TTL in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14.  Redis Commander: an IOC key with its JSON value and remaining TTL in seconds.</w:t>
      </w:r>
    </w:p>
    <w:p>
      <w:pPr>
        <w:keepNext/>
        <w:spacing w:after="40" w:before="120"/>
        <w:jc w:val="center"/>
      </w:pPr>
      <w:r>
        <w:drawing>
          <wp:inline distT="0" distB="0" distL="0" distR="0">
            <wp:extent cx="5334000" cy="3333750"/>
            <wp:effectExtent t="0" r="0" b="0" l="0"/>
            <wp:docPr id="1" name="Qdrant dashboard: a vector point of the threat_chunks collection with its payload." descr="Qdrant dashboard: a vector point of the threat_chunks collection with its payload." title="Qdrant dashboard: a vector point of the threat_chunks collection with its pay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15.  Qdrant dashboard: a vector point of the threat_chunks collection with its payload.</w:t>
      </w:r>
    </w:p>
    <w:p>
      <w:pPr>
        <w:keepNext/>
        <w:spacing w:after="40" w:before="120"/>
        <w:jc w:val="center"/>
      </w:pPr>
      <w:r>
        <w:drawing>
          <wp:inline distT="0" distB="0" distL="0" distR="0">
            <wp:extent cx="5715000" cy="1209675"/>
            <wp:effectExtent t="0" r="0" b="0" l="0"/>
            <wp:docPr id="1" name="Redis Commander connected to Redis Cloud: blocklist keys of two Feodo Tracker C2 servers and their remaining TTL in seconds." descr="Redis Commander connected to Redis Cloud: blocklist keys of two Feodo Tracker C2 servers and their remaining TTL in seconds." title="Redis Commander connected to Redis Cloud: blocklist keys of two Feodo Tracker C2 servers and their remaining TTL in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209675"/>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0"/>
          <w:szCs w:val="20"/>
        </w:rPr>
        <w:t xml:space="preserve">Figure 16.  Redis Commander connected to Redis Cloud: blocklist keys of two Feodo Tracker C2 servers and their remaining TTL in seconds.</w:t>
      </w:r>
    </w:p>
    <w:p>
      <w:pPr>
        <w:pStyle w:val="Heading1"/>
        <w:pageBreakBefore/>
        <w:pBdr>
          <w:bottom w:val="single" w:color="0F2A47" w:sz="12" w:space="4"/>
        </w:pBdr>
        <w:spacing w:after="180" w:before="320"/>
      </w:pPr>
      <w:r>
        <w:rPr>
          <w:rFonts w:ascii="Times New Roman" w:cs="Times New Roman" w:eastAsia="Times New Roman" w:hAnsi="Times New Roman"/>
          <w:b/>
          <w:bCs/>
          <w:color w:val="0F2A47"/>
          <w:sz w:val="32"/>
          <w:szCs w:val="32"/>
        </w:rPr>
        <w:t xml:space="preserve">9.  Configuration Reference</w:t>
      </w:r>
    </w:p>
    <w:p>
      <w:pPr>
        <w:spacing w:after="160" w:line="340"/>
        <w:jc w:val="both"/>
      </w:pPr>
      <w:r>
        <w:rPr>
          <w:rFonts w:ascii="Times New Roman" w:cs="Times New Roman" w:eastAsia="Times New Roman" w:hAnsi="Times New Roman"/>
          <w:sz w:val="24"/>
          <w:szCs w:val="24"/>
        </w:rPr>
        <w:t xml:space="preserve">Settings are read from </w:t>
      </w:r>
      <w:r>
        <w:rPr>
          <w:rFonts w:ascii="Courier New" w:cs="Courier New" w:eastAsia="Courier New" w:hAnsi="Courier New"/>
          <w:sz w:val="20"/>
          <w:szCs w:val="20"/>
        </w:rPr>
        <w:t xml:space="preserve">.env</w:t>
      </w:r>
      <w:r>
        <w:rPr>
          <w:rFonts w:ascii="Times New Roman" w:cs="Times New Roman" w:eastAsia="Times New Roman" w:hAnsi="Times New Roman"/>
          <w:sz w:val="24"/>
          <w:szCs w:val="24"/>
        </w:rPr>
        <w:t xml:space="preserve"> in the project folder (copy </w:t>
      </w:r>
      <w:r>
        <w:rPr>
          <w:rFonts w:ascii="Courier New" w:cs="Courier New" w:eastAsia="Courier New" w:hAnsi="Courier New"/>
          <w:sz w:val="20"/>
          <w:szCs w:val="20"/>
        </w:rPr>
        <w:t xml:space="preserve">.env.example</w:t>
      </w:r>
      <w:r>
        <w:rPr>
          <w:rFonts w:ascii="Times New Roman" w:cs="Times New Roman" w:eastAsia="Times New Roman" w:hAnsi="Times New Roman"/>
          <w:sz w:val="24"/>
          <w:szCs w:val="24"/>
        </w:rPr>
        <w:t xml:space="preserve">). Environment variables override the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cantSplit/>
          <w:tblHeader/>
        </w:trPr>
        <w:tc>
          <w:tcPr>
            <w:tcW w:type="dxa" w:w="30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Setting</w:t>
            </w:r>
          </w:p>
        </w:tc>
        <w:tc>
          <w:tcPr>
            <w:tcW w:type="dxa" w:w="24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Default</w:t>
            </w:r>
          </w:p>
        </w:tc>
        <w:tc>
          <w:tcPr>
            <w:tcW w:type="dxa" w:w="42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Purpose</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NEO4J_URI / USER / PASSWORD</w:t>
            </w:r>
          </w:p>
        </w:tc>
        <w:tc>
          <w:tcPr>
            <w:tcW w:type="dxa" w:w="2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bolt://localhost:7687, neo4j, ctiplatform</w:t>
            </w:r>
          </w:p>
        </w:tc>
        <w:tc>
          <w:tcPr>
            <w:tcW w:type="dxa" w:w="42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graph store</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MONGO_URI / MONGO_DB</w:t>
            </w:r>
          </w:p>
        </w:tc>
        <w:tc>
          <w:tcPr>
            <w:tcW w:type="dxa" w:w="2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mongodb://localhost:27017, cti</w:t>
            </w:r>
          </w:p>
        </w:tc>
        <w:tc>
          <w:tcPr>
            <w:tcW w:type="dxa" w:w="42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document store</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REDIS_URL</w:t>
            </w:r>
          </w:p>
        </w:tc>
        <w:tc>
          <w:tcPr>
            <w:tcW w:type="dxa" w:w="2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redis://localhost:6379/0</w:t>
            </w:r>
          </w:p>
        </w:tc>
        <w:tc>
          <w:tcPr>
            <w:tcW w:type="dxa" w:w="42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blocklist</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QDRANT_HOST / QDRANT_PORT</w:t>
            </w:r>
          </w:p>
        </w:tc>
        <w:tc>
          <w:tcPr>
            <w:tcW w:type="dxa" w:w="2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localhost, 6333</w:t>
            </w:r>
          </w:p>
        </w:tc>
        <w:tc>
          <w:tcPr>
            <w:tcW w:type="dxa" w:w="42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vector store (embedded fallback if unreachable)</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QDRANT_URL / QDRANT_API_KEY</w:t>
            </w:r>
          </w:p>
        </w:tc>
        <w:tc>
          <w:tcPr>
            <w:tcW w:type="dxa" w:w="2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(empty)</w:t>
            </w:r>
          </w:p>
        </w:tc>
        <w:tc>
          <w:tcPr>
            <w:tcW w:type="dxa" w:w="42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hosted Qdrant cluster; overrides host and port</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CTI_ENV_FILE</w:t>
            </w:r>
          </w:p>
        </w:tc>
        <w:tc>
          <w:tcPr>
            <w:tcW w:type="dxa" w:w="2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(unset)</w:t>
            </w:r>
          </w:p>
        </w:tc>
        <w:tc>
          <w:tcPr>
            <w:tcW w:type="dxa" w:w="42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extra settings file read last, e.g. .env.cloud for the hosted databases</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ENFORCE_CLIENT_IP</w:t>
            </w:r>
          </w:p>
        </w:tc>
        <w:tc>
          <w:tcPr>
            <w:tcW w:type="dxa" w:w="2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true</w:t>
            </w:r>
          </w:p>
        </w:tc>
        <w:tc>
          <w:tcPr>
            <w:tcW w:type="dxa" w:w="42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refuse API requests from IPs live on the blocklist</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TRUST_FORWARDED_FOR</w:t>
            </w:r>
          </w:p>
        </w:tc>
        <w:tc>
          <w:tcPr>
            <w:tcW w:type="dxa" w:w="2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false</w:t>
            </w:r>
          </w:p>
        </w:tc>
        <w:tc>
          <w:tcPr>
            <w:tcW w:type="dxa" w:w="42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take the client IP from X-Forwarded-For (only behind a trusted proxy)</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BLOCKED_LOG_TTL_S</w:t>
            </w:r>
          </w:p>
        </w:tc>
        <w:tc>
          <w:tcPr>
            <w:tcW w:type="dxa" w:w="2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604800</w:t>
            </w:r>
          </w:p>
        </w:tc>
        <w:tc>
          <w:tcPr>
            <w:tcW w:type="dxa" w:w="42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how long refused requests stay in the log (seconds)</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OLLAMA_URL / OLLAMA_MODEL</w:t>
            </w:r>
          </w:p>
        </w:tc>
        <w:tc>
          <w:tcPr>
            <w:tcW w:type="dxa" w:w="2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http://localhost:11434, llama3.2:3b</w:t>
            </w:r>
          </w:p>
        </w:tc>
        <w:tc>
          <w:tcPr>
            <w:tcW w:type="dxa" w:w="42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local language model</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LLM_TIMEOUT_S</w:t>
            </w:r>
          </w:p>
        </w:tc>
        <w:tc>
          <w:tcPr>
            <w:tcW w:type="dxa" w:w="2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60</w:t>
            </w:r>
          </w:p>
        </w:tc>
        <w:tc>
          <w:tcPr>
            <w:tcW w:type="dxa" w:w="42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give up on the model after this many seconds (retrieve-only answer)</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EMBEDDER / OLLAMA_EMBED_MODEL</w:t>
            </w:r>
          </w:p>
        </w:tc>
        <w:tc>
          <w:tcPr>
            <w:tcW w:type="dxa" w:w="2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tfidf, nomic-embed-text</w:t>
            </w:r>
          </w:p>
        </w:tc>
        <w:tc>
          <w:tcPr>
            <w:tcW w:type="dxa" w:w="42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offline TF-IDF embeddings, or a neural model via Ollama</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JWT_SECRET</w:t>
            </w:r>
          </w:p>
        </w:tc>
        <w:tc>
          <w:tcPr>
            <w:tcW w:type="dxa" w:w="2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change-me…</w:t>
            </w:r>
          </w:p>
        </w:tc>
        <w:tc>
          <w:tcPr>
            <w:tcW w:type="dxa" w:w="42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signs sessions — change outside a lab</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CONSUMER_API_KEY</w:t>
            </w:r>
          </w:p>
        </w:tc>
        <w:tc>
          <w:tcPr>
            <w:tcW w:type="dxa" w:w="2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edr-consumer-key</w:t>
            </w:r>
          </w:p>
        </w:tc>
        <w:tc>
          <w:tcPr>
            <w:tcW w:type="dxa" w:w="42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key for the enforcement API — change outside a lab</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CORS_ORIGINS</w:t>
            </w:r>
          </w:p>
        </w:tc>
        <w:tc>
          <w:tcPr>
            <w:tcW w:type="dxa" w:w="2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http://localhost:5173,…</w:t>
            </w:r>
          </w:p>
        </w:tc>
        <w:tc>
          <w:tcPr>
            <w:tcW w:type="dxa" w:w="42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browser origins allowed to call the API</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MAX_HOPS / HUB_DEGREE_THRESHOLD / MAX_NEIGHBOURS_PER_NODE</w:t>
            </w:r>
          </w:p>
        </w:tc>
        <w:tc>
          <w:tcPr>
            <w:tcW w:type="dxa" w:w="2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3, 5, 12</w:t>
            </w:r>
          </w:p>
        </w:tc>
        <w:tc>
          <w:tcPr>
            <w:tcW w:type="dxa" w:w="42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graph expansion limits and when a tool counts as a commodity hub</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VECTOR_TOP_K / MIN_CITATION_COVERAGE</w:t>
            </w:r>
          </w:p>
        </w:tc>
        <w:tc>
          <w:tcPr>
            <w:tcW w:type="dxa" w:w="2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6, 0.5</w:t>
            </w:r>
          </w:p>
        </w:tc>
        <w:tc>
          <w:tcPr>
            <w:tcW w:type="dxa" w:w="42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passages per question; refusal threshold</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LLM_MAX_FACTS / DOCS / DOC_CHARS / MAX_IOCS</w:t>
            </w:r>
          </w:p>
        </w:tc>
        <w:tc>
          <w:tcPr>
            <w:tcW w:type="dxa" w:w="2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30, 6, 300, 12</w:t>
            </w:r>
          </w:p>
        </w:tc>
        <w:tc>
          <w:tcPr>
            <w:tcW w:type="dxa" w:w="42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how much evidence the model sees (more = slower, fuller)</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LLM_NUM_PREDICT / LLM_KEEP_ALIVE</w:t>
            </w:r>
          </w:p>
        </w:tc>
        <w:tc>
          <w:tcPr>
            <w:tcW w:type="dxa" w:w="2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320, 30m</w:t>
            </w:r>
          </w:p>
        </w:tc>
        <w:tc>
          <w:tcPr>
            <w:tcW w:type="dxa" w:w="42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answer length cap; how long the model stays loaded</w:t>
            </w:r>
          </w:p>
        </w:tc>
      </w:tr>
      <w:tr>
        <w:trPr>
          <w:cantSplit/>
          <w:tblHeader w:val="false"/>
        </w:trPr>
        <w:tc>
          <w:tcPr>
            <w:tcW w:type="dxa" w:w="30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AUTO_SEED</w:t>
            </w:r>
          </w:p>
        </w:tc>
        <w:tc>
          <w:tcPr>
            <w:tcW w:type="dxa" w:w="24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true</w:t>
            </w:r>
          </w:p>
        </w:tc>
        <w:tc>
          <w:tcPr>
            <w:tcW w:type="dxa" w:w="42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load the seed corpus when the stores are empty</w:t>
            </w:r>
          </w:p>
        </w:tc>
      </w:tr>
      <w:tr>
        <w:trPr>
          <w:cantSplit/>
          <w:tblHeader w:val="false"/>
        </w:trPr>
        <w:tc>
          <w:tcPr>
            <w:tcW w:type="dxa" w:w="30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DATA_DIR</w:t>
            </w:r>
          </w:p>
        </w:tc>
        <w:tc>
          <w:tcPr>
            <w:tcW w:type="dxa" w:w="24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backend/data</w:t>
            </w:r>
          </w:p>
        </w:tc>
        <w:tc>
          <w:tcPr>
            <w:tcW w:type="dxa" w:w="42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fitted embedder and embedded-Qdrant files</w:t>
            </w:r>
          </w:p>
        </w:tc>
      </w:tr>
    </w:tbl>
    <w:p>
      <w:pPr>
        <w:pStyle w:val="Heading1"/>
        <w:pBdr>
          <w:bottom w:val="single" w:color="0F2A47" w:sz="12" w:space="4"/>
        </w:pBdr>
        <w:spacing w:after="180" w:before="320"/>
      </w:pPr>
      <w:r>
        <w:rPr>
          <w:rFonts w:ascii="Times New Roman" w:cs="Times New Roman" w:eastAsia="Times New Roman" w:hAnsi="Times New Roman"/>
          <w:b/>
          <w:bCs/>
          <w:color w:val="0F2A47"/>
          <w:sz w:val="32"/>
          <w:szCs w:val="32"/>
        </w:rPr>
        <w:t xml:space="preserve">10.  Administration and Maintenance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Task</w:t>
            </w:r>
          </w:p>
        </w:tc>
        <w:tc>
          <w:tcPr>
            <w:tcW w:type="dxa" w:w="63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9"/>
                <w:szCs w:val="19"/>
              </w:rPr>
              <w:t xml:space="preserve">How</w:t>
            </w:r>
          </w:p>
        </w:tc>
      </w:tr>
      <w:tr>
        <w:trPr>
          <w:cantSplit/>
          <w:tblHeader w:val="false"/>
        </w:trPr>
        <w:tc>
          <w:tcPr>
            <w:tcW w:type="dxa" w:w="3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Restore the demo data and fresh TTLs</w:t>
            </w:r>
          </w:p>
        </w:tc>
        <w:tc>
          <w:tcPr>
            <w:tcW w:type="dxa" w:w="6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make seed</w:t>
            </w:r>
            <w:r>
              <w:rPr>
                <w:rFonts w:ascii="Times New Roman" w:cs="Times New Roman" w:eastAsia="Times New Roman" w:hAnsi="Times New Roman"/>
                <w:b w:val="false"/>
                <w:bCs w:val="false"/>
                <w:sz w:val="19"/>
                <w:szCs w:val="19"/>
              </w:rPr>
              <w:t xml:space="preserve"> or Operations → re-seed (removes ingested data)</w:t>
            </w:r>
          </w:p>
        </w:tc>
      </w:tr>
      <w:tr>
        <w:trPr>
          <w:cantSplit/>
          <w:tblHeader w:val="false"/>
        </w:trPr>
        <w:tc>
          <w:tcPr>
            <w:tcW w:type="dxa" w:w="3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Load or refresh real threat intelligence</w:t>
            </w:r>
          </w:p>
        </w:tc>
        <w:tc>
          <w:tcPr>
            <w:tcW w:type="dxa" w:w="6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make import-feeds</w:t>
            </w:r>
            <w:r>
              <w:rPr>
                <w:rFonts w:ascii="Times New Roman" w:cs="Times New Roman" w:eastAsia="Times New Roman" w:hAnsi="Times New Roman"/>
                <w:b w:val="false"/>
                <w:bCs w:val="false"/>
                <w:sz w:val="19"/>
                <w:szCs w:val="19"/>
              </w:rPr>
              <w:t xml:space="preserve"> (hosted: </w:t>
            </w:r>
            <w:r>
              <w:rPr>
                <w:rFonts w:ascii="Courier New" w:cs="Courier New" w:eastAsia="Courier New" w:hAnsi="Courier New"/>
                <w:sz w:val="17"/>
                <w:szCs w:val="17"/>
              </w:rPr>
              <w:t xml:space="preserve">make cloud-import-feeds</w:t>
            </w:r>
            <w:r>
              <w:rPr>
                <w:rFonts w:ascii="Times New Roman" w:cs="Times New Roman" w:eastAsia="Times New Roman" w:hAnsi="Times New Roman"/>
                <w:b w:val="false"/>
                <w:bCs w:val="false"/>
                <w:sz w:val="19"/>
                <w:szCs w:val="19"/>
              </w:rPr>
              <w:t xml:space="preserve">), then restart the API</w:t>
            </w:r>
          </w:p>
        </w:tc>
      </w:tr>
      <w:tr>
        <w:trPr>
          <w:cantSplit/>
          <w:tblHeader w:val="false"/>
        </w:trPr>
        <w:tc>
          <w:tcPr>
            <w:tcW w:type="dxa" w:w="3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Check the hosted databases</w:t>
            </w:r>
          </w:p>
        </w:tc>
        <w:tc>
          <w:tcPr>
            <w:tcW w:type="dxa" w:w="6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make cloud-check</w:t>
            </w:r>
            <w:r>
              <w:rPr>
                <w:rFonts w:ascii="Times New Roman" w:cs="Times New Roman" w:eastAsia="Times New Roman" w:hAnsi="Times New Roman"/>
                <w:b w:val="false"/>
                <w:bCs w:val="false"/>
                <w:sz w:val="19"/>
                <w:szCs w:val="19"/>
              </w:rPr>
              <w:t xml:space="preserve"> (read-only)</w:t>
            </w:r>
          </w:p>
        </w:tc>
      </w:tr>
      <w:tr>
        <w:trPr>
          <w:cantSplit/>
          <w:tblHeader w:val="false"/>
        </w:trPr>
        <w:tc>
          <w:tcPr>
            <w:tcW w:type="dxa" w:w="3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Rebuild the vector index</w:t>
            </w:r>
          </w:p>
        </w:tc>
        <w:tc>
          <w:tcPr>
            <w:tcW w:type="dxa" w:w="6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Operations → rebuild vector index, or POST /api/admin/reindex (needed after changing EMBEDDER)</w:t>
            </w:r>
          </w:p>
        </w:tc>
      </w:tr>
      <w:tr>
        <w:trPr>
          <w:cantSplit/>
          <w:tblHeader w:val="false"/>
        </w:trPr>
        <w:tc>
          <w:tcPr>
            <w:tcW w:type="dxa" w:w="3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Restore the snapshots</w:t>
            </w:r>
          </w:p>
        </w:tc>
        <w:tc>
          <w:tcPr>
            <w:tcW w:type="dxa" w:w="6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./scripts/restore_databases.sh dumps</w:t>
            </w:r>
            <w:r>
              <w:rPr>
                <w:rFonts w:ascii="Times New Roman" w:cs="Times New Roman" w:eastAsia="Times New Roman" w:hAnsi="Times New Roman"/>
                <w:b w:val="false"/>
                <w:bCs w:val="false"/>
                <w:sz w:val="19"/>
                <w:szCs w:val="19"/>
              </w:rPr>
              <w:t xml:space="preserve"> (seed mode: </w:t>
            </w:r>
            <w:r>
              <w:rPr>
                <w:rFonts w:ascii="Courier New" w:cs="Courier New" w:eastAsia="Courier New" w:hAnsi="Courier New"/>
                <w:sz w:val="17"/>
                <w:szCs w:val="17"/>
              </w:rPr>
              <w:t xml:space="preserve">… seed</w:t>
            </w:r>
            <w:r>
              <w:rPr>
                <w:rFonts w:ascii="Times New Roman" w:cs="Times New Roman" w:eastAsia="Times New Roman" w:hAnsi="Times New Roman"/>
                <w:b w:val="false"/>
                <w:bCs w:val="false"/>
                <w:sz w:val="19"/>
                <w:szCs w:val="19"/>
              </w:rPr>
              <w:t xml:space="preserve">)</w:t>
            </w:r>
          </w:p>
        </w:tc>
      </w:tr>
      <w:tr>
        <w:trPr>
          <w:cantSplit/>
          <w:tblHeader w:val="false"/>
        </w:trPr>
        <w:tc>
          <w:tcPr>
            <w:tcW w:type="dxa" w:w="3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Run the tests</w:t>
            </w:r>
          </w:p>
        </w:tc>
        <w:tc>
          <w:tcPr>
            <w:tcW w:type="dxa" w:w="6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make test</w:t>
            </w:r>
            <w:r>
              <w:rPr>
                <w:rFonts w:ascii="Times New Roman" w:cs="Times New Roman" w:eastAsia="Times New Roman" w:hAnsi="Times New Roman"/>
                <w:b w:val="false"/>
                <w:bCs w:val="false"/>
                <w:sz w:val="19"/>
                <w:szCs w:val="19"/>
              </w:rPr>
              <w:t xml:space="preserve">; with the stores running, </w:t>
            </w:r>
            <w:r>
              <w:rPr>
                <w:rFonts w:ascii="Courier New" w:cs="Courier New" w:eastAsia="Courier New" w:hAnsi="Courier New"/>
                <w:sz w:val="17"/>
                <w:szCs w:val="17"/>
              </w:rPr>
              <w:t xml:space="preserve">make test-integration</w:t>
            </w:r>
          </w:p>
        </w:tc>
      </w:tr>
      <w:tr>
        <w:trPr>
          <w:cantSplit/>
          <w:tblHeader w:val="false"/>
        </w:trPr>
        <w:tc>
          <w:tcPr>
            <w:tcW w:type="dxa" w:w="3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Check answer quality and SLOs</w:t>
            </w:r>
          </w:p>
        </w:tc>
        <w:tc>
          <w:tcPr>
            <w:tcW w:type="dxa" w:w="6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make eval-check</w:t>
            </w:r>
            <w:r>
              <w:rPr>
                <w:rFonts w:ascii="Times New Roman" w:cs="Times New Roman" w:eastAsia="Times New Roman" w:hAnsi="Times New Roman"/>
                <w:b w:val="false"/>
                <w:bCs w:val="false"/>
                <w:sz w:val="19"/>
                <w:szCs w:val="19"/>
              </w:rPr>
              <w:t xml:space="preserve"> (fails if a gold fact or report is missed)</w:t>
            </w:r>
          </w:p>
        </w:tc>
      </w:tr>
      <w:tr>
        <w:trPr>
          <w:cantSplit/>
          <w:tblHeader w:val="false"/>
        </w:trPr>
        <w:tc>
          <w:tcPr>
            <w:tcW w:type="dxa" w:w="3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Benchmark</w:t>
            </w:r>
          </w:p>
        </w:tc>
        <w:tc>
          <w:tcPr>
            <w:tcW w:type="dxa" w:w="6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docker compose --profile app stop</w:t>
            </w:r>
            <w:r>
              <w:rPr>
                <w:rFonts w:ascii="Times New Roman" w:cs="Times New Roman" w:eastAsia="Times New Roman" w:hAnsi="Times New Roman"/>
                <w:b w:val="false"/>
                <w:bCs w:val="false"/>
                <w:sz w:val="19"/>
                <w:szCs w:val="19"/>
              </w:rPr>
              <w:t xml:space="preserve">, then </w:t>
            </w:r>
            <w:r>
              <w:rPr>
                <w:rFonts w:ascii="Courier New" w:cs="Courier New" w:eastAsia="Courier New" w:hAnsi="Courier New"/>
                <w:sz w:val="17"/>
                <w:szCs w:val="17"/>
              </w:rPr>
              <w:t xml:space="preserve">make bench</w:t>
            </w:r>
            <w:r>
              <w:rPr>
                <w:rFonts w:ascii="Times New Roman" w:cs="Times New Roman" w:eastAsia="Times New Roman" w:hAnsi="Times New Roman"/>
                <w:b w:val="false"/>
                <w:bCs w:val="false"/>
                <w:sz w:val="19"/>
                <w:szCs w:val="19"/>
              </w:rPr>
              <w:t xml:space="preserve"> (uses its own throwaway stores)</w:t>
            </w:r>
          </w:p>
        </w:tc>
      </w:tr>
      <w:tr>
        <w:trPr>
          <w:cantSplit/>
          <w:tblHeader w:val="false"/>
        </w:trPr>
        <w:tc>
          <w:tcPr>
            <w:tcW w:type="dxa" w:w="3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Change the model</w:t>
            </w:r>
          </w:p>
        </w:tc>
        <w:tc>
          <w:tcPr>
            <w:tcW w:type="dxa" w:w="6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ollama pull &lt;model&gt;</w:t>
            </w:r>
            <w:r>
              <w:rPr>
                <w:rFonts w:ascii="Times New Roman" w:cs="Times New Roman" w:eastAsia="Times New Roman" w:hAnsi="Times New Roman"/>
                <w:b w:val="false"/>
                <w:bCs w:val="false"/>
                <w:sz w:val="19"/>
                <w:szCs w:val="19"/>
              </w:rPr>
              <w:t xml:space="preserve">, set OLLAMA_MODEL, restart the API</w:t>
            </w:r>
          </w:p>
        </w:tc>
      </w:tr>
      <w:tr>
        <w:trPr>
          <w:cantSplit/>
          <w:tblHeader w:val="false"/>
        </w:trPr>
        <w:tc>
          <w:tcPr>
            <w:tcW w:type="dxa" w:w="33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Logs</w:t>
            </w:r>
          </w:p>
        </w:tc>
        <w:tc>
          <w:tcPr>
            <w:tcW w:type="dxa" w:w="63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docker logs cti-api</w:t>
            </w:r>
            <w:r>
              <w:rPr>
                <w:rFonts w:ascii="Times New Roman" w:cs="Times New Roman" w:eastAsia="Times New Roman" w:hAnsi="Times New Roman"/>
                <w:b w:val="false"/>
                <w:bCs w:val="false"/>
                <w:sz w:val="19"/>
                <w:szCs w:val="19"/>
              </w:rPr>
              <w:t xml:space="preserve">, or the terminal running </w:t>
            </w:r>
            <w:r>
              <w:rPr>
                <w:rFonts w:ascii="Courier New" w:cs="Courier New" w:eastAsia="Courier New" w:hAnsi="Courier New"/>
                <w:sz w:val="17"/>
                <w:szCs w:val="17"/>
              </w:rPr>
              <w:t xml:space="preserve">make api</w:t>
            </w:r>
          </w:p>
        </w:tc>
      </w:tr>
      <w:tr>
        <w:trPr>
          <w:cantSplit/>
          <w:tblHeader w:val="false"/>
        </w:trPr>
        <w:tc>
          <w:tcPr>
            <w:tcW w:type="dxa" w:w="33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9"/>
                <w:szCs w:val="19"/>
              </w:rPr>
              <w:t xml:space="preserve">Stop everything</w:t>
            </w:r>
          </w:p>
        </w:tc>
        <w:tc>
          <w:tcPr>
            <w:tcW w:type="dxa" w:w="63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7"/>
                <w:szCs w:val="17"/>
              </w:rPr>
              <w:t xml:space="preserve">docker compose --profile app down</w:t>
            </w:r>
            <w:r>
              <w:rPr>
                <w:rFonts w:ascii="Times New Roman" w:cs="Times New Roman" w:eastAsia="Times New Roman" w:hAnsi="Times New Roman"/>
                <w:b w:val="false"/>
                <w:bCs w:val="false"/>
                <w:sz w:val="19"/>
                <w:szCs w:val="19"/>
              </w:rPr>
              <w:t xml:space="preserve"> (data volumes are kept; add </w:t>
            </w:r>
            <w:r>
              <w:rPr>
                <w:rFonts w:ascii="Courier New" w:cs="Courier New" w:eastAsia="Courier New" w:hAnsi="Courier New"/>
                <w:sz w:val="17"/>
                <w:szCs w:val="17"/>
              </w:rPr>
              <w:t xml:space="preserve">-v</w:t>
            </w:r>
            <w:r>
              <w:rPr>
                <w:rFonts w:ascii="Times New Roman" w:cs="Times New Roman" w:eastAsia="Times New Roman" w:hAnsi="Times New Roman"/>
                <w:b w:val="false"/>
                <w:bCs w:val="false"/>
                <w:sz w:val="19"/>
                <w:szCs w:val="19"/>
              </w:rPr>
              <w:t xml:space="preserve"> to delete them)</w:t>
            </w:r>
          </w:p>
        </w:tc>
      </w:tr>
    </w:tbl>
    <w:p>
      <w:pPr>
        <w:pStyle w:val="Heading1"/>
        <w:pBdr>
          <w:bottom w:val="single" w:color="0F2A47" w:sz="12" w:space="4"/>
        </w:pBdr>
        <w:spacing w:after="180" w:before="320"/>
      </w:pPr>
      <w:r>
        <w:rPr>
          <w:rFonts w:ascii="Times New Roman" w:cs="Times New Roman" w:eastAsia="Times New Roman" w:hAnsi="Times New Roman"/>
          <w:b/>
          <w:bCs/>
          <w:color w:val="0F2A47"/>
          <w:sz w:val="32"/>
          <w:szCs w:val="32"/>
        </w:rPr>
        <w:t xml:space="preserve">11.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538"/>
      </w:tblGrid>
      <w:tr>
        <w:trPr>
          <w:cantSplit/>
          <w:tblHeader/>
        </w:trPr>
        <w:tc>
          <w:tcPr>
            <w:tcW w:type="dxa" w:w="29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Symptom</w:t>
            </w:r>
          </w:p>
        </w:tc>
        <w:tc>
          <w:tcPr>
            <w:tcW w:type="dxa" w:w="3200"/>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Likely cause</w:t>
            </w:r>
          </w:p>
        </w:tc>
        <w:tc>
          <w:tcPr>
            <w:tcW w:type="dxa" w:w="3538"/>
            <w:tcBorders>
              <w:top w:val="single" w:color="A0A7B0" w:sz="4"/>
              <w:left w:val="single" w:color="A0A7B0" w:sz="4"/>
              <w:bottom w:val="single" w:color="A0A7B0" w:sz="4"/>
              <w:right w:val="single" w:color="A0A7B0" w:sz="4"/>
            </w:tcBorders>
            <w:shd w:fill="E8EEF4" w:val="clear"/>
            <w:tcMar>
              <w:top w:type="dxa" w:w="50"/>
              <w:left w:type="dxa" w:w="80"/>
              <w:bottom w:type="dxa" w:w="50"/>
              <w:right w:type="dxa" w:w="80"/>
            </w:tcMar>
            <w:vAlign w:val="center"/>
          </w:tcPr>
          <w:p>
            <w:pPr>
              <w:spacing w:after="0" w:line="260"/>
              <w:jc w:val="center"/>
            </w:pPr>
            <w:r>
              <w:rPr>
                <w:rFonts w:ascii="Times New Roman" w:cs="Times New Roman" w:eastAsia="Times New Roman" w:hAnsi="Times New Roman"/>
                <w:b/>
                <w:bCs/>
                <w:sz w:val="18"/>
                <w:szCs w:val="18"/>
              </w:rPr>
              <w:t xml:space="preserve">Fix</w:t>
            </w:r>
          </w:p>
        </w:tc>
      </w:tr>
      <w:tr>
        <w:trPr>
          <w:cantSplit/>
          <w:tblHeader w:val="false"/>
        </w:trPr>
        <w:tc>
          <w:tcPr>
            <w:tcW w:type="dxa" w:w="2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Console shows a red neo4j dot after start</w:t>
            </w:r>
          </w:p>
        </w:tc>
        <w:tc>
          <w:tcPr>
            <w:tcW w:type="dxa" w:w="3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Neo4j needs ~30 s to start</w:t>
            </w:r>
          </w:p>
        </w:tc>
        <w:tc>
          <w:tcPr>
            <w:tcW w:type="dxa" w:w="35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wait; check </w:t>
            </w:r>
            <w:r>
              <w:rPr>
                <w:rFonts w:ascii="Courier New" w:cs="Courier New" w:eastAsia="Courier New" w:hAnsi="Courier New"/>
                <w:sz w:val="16"/>
                <w:szCs w:val="16"/>
              </w:rPr>
              <w:t xml:space="preserve">docker compose ps</w:t>
            </w:r>
            <w:r>
              <w:rPr>
                <w:rFonts w:ascii="Times New Roman" w:cs="Times New Roman" w:eastAsia="Times New Roman" w:hAnsi="Times New Roman"/>
                <w:b w:val="false"/>
                <w:bCs w:val="false"/>
                <w:sz w:val="18"/>
                <w:szCs w:val="18"/>
              </w:rPr>
              <w:t xml:space="preserve"> until healthy</w:t>
            </w:r>
          </w:p>
        </w:tc>
      </w:tr>
      <w:tr>
        <w:trPr>
          <w:cantSplit/>
          <w:tblHeader w:val="false"/>
        </w:trPr>
        <w:tc>
          <w:tcPr>
            <w:tcW w:type="dxa" w:w="2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llm dot red, answers say retrieve-only</w:t>
            </w:r>
          </w:p>
        </w:tc>
        <w:tc>
          <w:tcPr>
            <w:tcW w:type="dxa" w:w="32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Ollama not running or model not pulled (the tag must match exactly)</w:t>
            </w:r>
          </w:p>
        </w:tc>
        <w:tc>
          <w:tcPr>
            <w:tcW w:type="dxa" w:w="35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start Ollama; </w:t>
            </w:r>
            <w:r>
              <w:rPr>
                <w:rFonts w:ascii="Courier New" w:cs="Courier New" w:eastAsia="Courier New" w:hAnsi="Courier New"/>
                <w:sz w:val="16"/>
                <w:szCs w:val="16"/>
              </w:rPr>
              <w:t xml:space="preserve">ollama pull llama3.2:3b</w:t>
            </w:r>
          </w:p>
        </w:tc>
      </w:tr>
      <w:tr>
        <w:trPr>
          <w:cantSplit/>
          <w:tblHeader w:val="false"/>
        </w:trPr>
        <w:tc>
          <w:tcPr>
            <w:tcW w:type="dxa" w:w="2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Answers are slow (&gt; 15 s)</w:t>
            </w:r>
          </w:p>
        </w:tc>
        <w:tc>
          <w:tcPr>
            <w:tcW w:type="dxa" w:w="3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a large model, or the model was unloaded</w:t>
            </w:r>
          </w:p>
        </w:tc>
        <w:tc>
          <w:tcPr>
            <w:tcW w:type="dxa" w:w="35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use llama3.2:3b; keep LLM_KEEP_ALIVE; lower LLM_MAX_* settings</w:t>
            </w:r>
          </w:p>
        </w:tc>
      </w:tr>
      <w:tr>
        <w:trPr>
          <w:cantSplit/>
          <w:tblHeader w:val="false"/>
        </w:trPr>
        <w:tc>
          <w:tcPr>
            <w:tcW w:type="dxa" w:w="2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“Insufficient evidence…”</w:t>
            </w:r>
          </w:p>
        </w:tc>
        <w:tc>
          <w:tcPr>
            <w:tcW w:type="dxa" w:w="32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the evidence did not support any cited sentence</w:t>
            </w:r>
          </w:p>
        </w:tc>
        <w:tc>
          <w:tcPr>
            <w:tcW w:type="dxa" w:w="35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rephrase with entity names, increase hops or top-k</w:t>
            </w:r>
          </w:p>
        </w:tc>
      </w:tr>
      <w:tr>
        <w:trPr>
          <w:cantSplit/>
          <w:tblHeader w:val="false"/>
        </w:trPr>
        <w:tc>
          <w:tcPr>
            <w:tcW w:type="dxa" w:w="2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Blocklist almost empty</w:t>
            </w:r>
          </w:p>
        </w:tc>
        <w:tc>
          <w:tcPr>
            <w:tcW w:type="dxa" w:w="3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seeded TTLs expired (days later)</w:t>
            </w:r>
          </w:p>
        </w:tc>
        <w:tc>
          <w:tcPr>
            <w:tcW w:type="dxa" w:w="35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6"/>
                <w:szCs w:val="16"/>
              </w:rPr>
              <w:t xml:space="preserve">make seed</w:t>
            </w:r>
          </w:p>
        </w:tc>
      </w:tr>
      <w:tr>
        <w:trPr>
          <w:cantSplit/>
          <w:tblHeader w:val="false"/>
        </w:trPr>
        <w:tc>
          <w:tcPr>
            <w:tcW w:type="dxa" w:w="2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Port 8000 or 5173 in use</w:t>
            </w:r>
          </w:p>
        </w:tc>
        <w:tc>
          <w:tcPr>
            <w:tcW w:type="dxa" w:w="32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both the containerised and local app are running</w:t>
            </w:r>
          </w:p>
        </w:tc>
        <w:tc>
          <w:tcPr>
            <w:tcW w:type="dxa" w:w="35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Courier New" w:cs="Courier New" w:eastAsia="Courier New" w:hAnsi="Courier New"/>
                <w:sz w:val="16"/>
                <w:szCs w:val="16"/>
              </w:rPr>
              <w:t xml:space="preserve">docker compose --profile app stop</w:t>
            </w:r>
            <w:r>
              <w:rPr>
                <w:rFonts w:ascii="Times New Roman" w:cs="Times New Roman" w:eastAsia="Times New Roman" w:hAnsi="Times New Roman"/>
                <w:b w:val="false"/>
                <w:bCs w:val="false"/>
                <w:sz w:val="18"/>
                <w:szCs w:val="18"/>
              </w:rPr>
              <w:t xml:space="preserve">, or stop </w:t>
            </w:r>
            <w:r>
              <w:rPr>
                <w:rFonts w:ascii="Courier New" w:cs="Courier New" w:eastAsia="Courier New" w:hAnsi="Courier New"/>
                <w:sz w:val="16"/>
                <w:szCs w:val="16"/>
              </w:rPr>
              <w:t xml:space="preserve">make api</w:t>
            </w:r>
            <w:r>
              <w:rPr>
                <w:rFonts w:ascii="Times New Roman" w:cs="Times New Roman" w:eastAsia="Times New Roman" w:hAnsi="Times New Roman"/>
                <w:b w:val="false"/>
                <w:bCs w:val="false"/>
                <w:sz w:val="18"/>
                <w:szCs w:val="18"/>
              </w:rPr>
              <w:t xml:space="preserve"> / </w:t>
            </w:r>
            <w:r>
              <w:rPr>
                <w:rFonts w:ascii="Courier New" w:cs="Courier New" w:eastAsia="Courier New" w:hAnsi="Courier New"/>
                <w:sz w:val="16"/>
                <w:szCs w:val="16"/>
              </w:rPr>
              <w:t xml:space="preserve">make web</w:t>
            </w:r>
          </w:p>
        </w:tc>
      </w:tr>
      <w:tr>
        <w:trPr>
          <w:cantSplit/>
          <w:tblHeader w:val="false"/>
        </w:trPr>
        <w:tc>
          <w:tcPr>
            <w:tcW w:type="dxa" w:w="2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403 when opening a report</w:t>
            </w:r>
          </w:p>
        </w:tc>
        <w:tc>
          <w:tcPr>
            <w:tcW w:type="dxa" w:w="3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report TLP above your clearance</w:t>
            </w:r>
          </w:p>
        </w:tc>
        <w:tc>
          <w:tcPr>
            <w:tcW w:type="dxa" w:w="35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sign in with a higher clearance</w:t>
            </w:r>
          </w:p>
        </w:tc>
      </w:tr>
      <w:tr>
        <w:trPr>
          <w:cantSplit/>
          <w:tblHeader w:val="false"/>
        </w:trPr>
        <w:tc>
          <w:tcPr>
            <w:tcW w:type="dxa" w:w="2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Enforcement API returns 503</w:t>
            </w:r>
          </w:p>
        </w:tc>
        <w:tc>
          <w:tcPr>
            <w:tcW w:type="dxa" w:w="32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Redis is down — the API fails closed</w:t>
            </w:r>
          </w:p>
        </w:tc>
        <w:tc>
          <w:tcPr>
            <w:tcW w:type="dxa" w:w="35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restart Redis (</w:t>
            </w:r>
            <w:r>
              <w:rPr>
                <w:rFonts w:ascii="Courier New" w:cs="Courier New" w:eastAsia="Courier New" w:hAnsi="Courier New"/>
                <w:sz w:val="16"/>
                <w:szCs w:val="16"/>
              </w:rPr>
              <w:t xml:space="preserve">docker compose up -d redis</w:t>
            </w:r>
            <w:r>
              <w:rPr>
                <w:rFonts w:ascii="Times New Roman" w:cs="Times New Roman" w:eastAsia="Times New Roman" w:hAnsi="Times New Roman"/>
                <w:b w:val="false"/>
                <w:bCs w:val="false"/>
                <w:sz w:val="18"/>
                <w:szCs w:val="18"/>
              </w:rPr>
              <w:t xml:space="preserve">)</w:t>
            </w:r>
          </w:p>
        </w:tc>
      </w:tr>
      <w:tr>
        <w:trPr>
          <w:cantSplit/>
          <w:tblHeader w:val="false"/>
        </w:trPr>
        <w:tc>
          <w:tcPr>
            <w:tcW w:type="dxa" w:w="2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Every request returns 403 “… is on the IOC blocklist”</w:t>
            </w:r>
          </w:p>
        </w:tc>
        <w:tc>
          <w:tcPr>
            <w:tcW w:type="dxa" w:w="3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your address (or the X-Forwarded-For value) is on the blocklist</w:t>
            </w:r>
          </w:p>
        </w:tc>
        <w:tc>
          <w:tcPr>
            <w:tcW w:type="dxa" w:w="35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revoke it on the IOC blocklist page from another address, or wait for its TTL</w:t>
            </w:r>
          </w:p>
        </w:tc>
      </w:tr>
      <w:tr>
        <w:trPr>
          <w:cantSplit/>
          <w:tblHeader w:val="false"/>
        </w:trPr>
        <w:tc>
          <w:tcPr>
            <w:tcW w:type="dxa" w:w="2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make cloud-check: MongoDB SSL/TLS handshake failed</w:t>
            </w:r>
          </w:p>
        </w:tc>
        <w:tc>
          <w:tcPr>
            <w:tcW w:type="dxa" w:w="32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this computer's IP is not on the Atlas access list</w:t>
            </w:r>
          </w:p>
        </w:tc>
        <w:tc>
          <w:tcPr>
            <w:tcW w:type="dxa" w:w="35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Atlas → Security → Network Access → Add current IP</w:t>
            </w:r>
          </w:p>
        </w:tc>
      </w:tr>
      <w:tr>
        <w:trPr>
          <w:cantSplit/>
          <w:tblHeader w:val="false"/>
        </w:trPr>
        <w:tc>
          <w:tcPr>
            <w:tcW w:type="dxa" w:w="2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Hosted setup is slow</w:t>
            </w:r>
          </w:p>
        </w:tc>
        <w:tc>
          <w:tcPr>
            <w:tcW w:type="dxa" w:w="3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each store is a round trip over the internet</w:t>
            </w:r>
          </w:p>
        </w:tc>
        <w:tc>
          <w:tcPr>
            <w:tcW w:type="dxa" w:w="35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expected on free tiers; pick regions near you, or use the local stack for timing</w:t>
            </w:r>
          </w:p>
        </w:tc>
      </w:tr>
      <w:tr>
        <w:trPr>
          <w:cantSplit/>
          <w:tblHeader w:val="false"/>
        </w:trPr>
        <w:tc>
          <w:tcPr>
            <w:tcW w:type="dxa" w:w="29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Semantic search returns nothing</w:t>
            </w:r>
          </w:p>
        </w:tc>
        <w:tc>
          <w:tcPr>
            <w:tcW w:type="dxa" w:w="3200"/>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vector collection missing</w:t>
            </w:r>
          </w:p>
        </w:tc>
        <w:tc>
          <w:tcPr>
            <w:tcW w:type="dxa" w:w="3538"/>
            <w:tcBorders>
              <w:top w:val="single" w:color="A0A7B0" w:sz="4"/>
              <w:left w:val="single" w:color="A0A7B0" w:sz="4"/>
              <w:bottom w:val="single" w:color="A0A7B0" w:sz="4"/>
              <w:right w:val="single" w:color="A0A7B0" w:sz="4"/>
            </w:tcBorders>
            <w:shd w:fill="F7F5F1"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Operations → rebuild vector index</w:t>
            </w:r>
          </w:p>
        </w:tc>
      </w:tr>
      <w:tr>
        <w:trPr>
          <w:cantSplit/>
          <w:tblHeader w:val="false"/>
        </w:trPr>
        <w:tc>
          <w:tcPr>
            <w:tcW w:type="dxa" w:w="29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Storage folder … already accessed</w:t>
            </w:r>
          </w:p>
        </w:tc>
        <w:tc>
          <w:tcPr>
            <w:tcW w:type="dxa" w:w="3200"/>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two processes using embedded Qdrant</w:t>
            </w:r>
          </w:p>
        </w:tc>
        <w:tc>
          <w:tcPr>
            <w:tcW w:type="dxa" w:w="3538"/>
            <w:tcBorders>
              <w:top w:val="single" w:color="A0A7B0" w:sz="4"/>
              <w:left w:val="single" w:color="A0A7B0" w:sz="4"/>
              <w:bottom w:val="single" w:color="A0A7B0" w:sz="4"/>
              <w:right w:val="single" w:color="A0A7B0" w:sz="4"/>
            </w:tcBorders>
            <w:shd w:fill="FFFFFF" w:val="clear"/>
            <w:tcMar>
              <w:top w:type="dxa" w:w="50"/>
              <w:left w:type="dxa" w:w="80"/>
              <w:bottom w:type="dxa" w:w="50"/>
              <w:right w:type="dxa" w:w="80"/>
            </w:tcMar>
            <w:vAlign w:val="center"/>
          </w:tcPr>
          <w:p>
            <w:pPr>
              <w:spacing w:after="0" w:line="260"/>
              <w:jc w:val="left"/>
            </w:pPr>
            <w:r>
              <w:rPr>
                <w:rFonts w:ascii="Times New Roman" w:cs="Times New Roman" w:eastAsia="Times New Roman" w:hAnsi="Times New Roman"/>
                <w:b w:val="false"/>
                <w:bCs w:val="false"/>
                <w:sz w:val="18"/>
                <w:szCs w:val="18"/>
              </w:rPr>
              <w:t xml:space="preserve">start the Qdrant container, or run a single API process</w:t>
            </w:r>
          </w:p>
        </w:tc>
      </w:tr>
    </w:tbl>
    <w:p>
      <w:pPr>
        <w:pStyle w:val="Heading1"/>
        <w:pBdr>
          <w:bottom w:val="single" w:color="0F2A47" w:sz="12" w:space="4"/>
        </w:pBdr>
        <w:spacing w:after="180" w:before="320"/>
      </w:pPr>
      <w:r>
        <w:rPr>
          <w:rFonts w:ascii="Times New Roman" w:cs="Times New Roman" w:eastAsia="Times New Roman" w:hAnsi="Times New Roman"/>
          <w:b/>
          <w:bCs/>
          <w:color w:val="0F2A47"/>
          <w:sz w:val="32"/>
          <w:szCs w:val="32"/>
        </w:rPr>
        <w:t xml:space="preserve">12.  Glossary</w:t>
      </w:r>
    </w:p>
    <w:p>
      <w:pPr>
        <w:pStyle w:val="ListParagraph"/>
        <w:numPr>
          <w:ilvl w:val="0"/>
          <w:numId w:val="9"/>
        </w:numPr>
        <w:spacing w:after="70" w:line="300"/>
      </w:pPr>
      <w:r>
        <w:rPr>
          <w:rFonts w:ascii="Times New Roman" w:cs="Times New Roman" w:eastAsia="Times New Roman" w:hAnsi="Times New Roman"/>
          <w:b/>
          <w:bCs/>
          <w:sz w:val="24"/>
          <w:szCs w:val="24"/>
        </w:rPr>
        <w:t xml:space="preserve">CTI — </w:t>
      </w:r>
      <w:r>
        <w:rPr>
          <w:rFonts w:ascii="Times New Roman" w:cs="Times New Roman" w:eastAsia="Times New Roman" w:hAnsi="Times New Roman"/>
          <w:sz w:val="24"/>
          <w:szCs w:val="24"/>
        </w:rPr>
        <w:t xml:space="preserve">cyber threat intelligence: knowledge about threat actors, their tools, infrastructure and behaviour</w:t>
      </w:r>
    </w:p>
    <w:p>
      <w:pPr>
        <w:pStyle w:val="ListParagraph"/>
        <w:numPr>
          <w:ilvl w:val="0"/>
          <w:numId w:val="9"/>
        </w:numPr>
        <w:spacing w:after="70" w:line="300"/>
      </w:pPr>
      <w:r>
        <w:rPr>
          <w:rFonts w:ascii="Times New Roman" w:cs="Times New Roman" w:eastAsia="Times New Roman" w:hAnsi="Times New Roman"/>
          <w:b/>
          <w:bCs/>
          <w:sz w:val="24"/>
          <w:szCs w:val="24"/>
        </w:rPr>
        <w:t xml:space="preserve">IOC — </w:t>
      </w:r>
      <w:r>
        <w:rPr>
          <w:rFonts w:ascii="Times New Roman" w:cs="Times New Roman" w:eastAsia="Times New Roman" w:hAnsi="Times New Roman"/>
          <w:sz w:val="24"/>
          <w:szCs w:val="24"/>
        </w:rPr>
        <w:t xml:space="preserve">indicator of compromise: an IP, domain, URL or file hash associated with malicious activity</w:t>
      </w:r>
    </w:p>
    <w:p>
      <w:pPr>
        <w:pStyle w:val="ListParagraph"/>
        <w:numPr>
          <w:ilvl w:val="0"/>
          <w:numId w:val="9"/>
        </w:numPr>
        <w:spacing w:after="70" w:line="300"/>
      </w:pPr>
      <w:r>
        <w:rPr>
          <w:rFonts w:ascii="Times New Roman" w:cs="Times New Roman" w:eastAsia="Times New Roman" w:hAnsi="Times New Roman"/>
          <w:b/>
          <w:bCs/>
          <w:sz w:val="24"/>
          <w:szCs w:val="24"/>
        </w:rPr>
        <w:t xml:space="preserve">TTL — </w:t>
      </w:r>
      <w:r>
        <w:rPr>
          <w:rFonts w:ascii="Times New Roman" w:cs="Times New Roman" w:eastAsia="Times New Roman" w:hAnsi="Times New Roman"/>
          <w:sz w:val="24"/>
          <w:szCs w:val="24"/>
        </w:rPr>
        <w:t xml:space="preserve">time to live: seconds until a blocklist entry expires</w:t>
      </w:r>
    </w:p>
    <w:p>
      <w:pPr>
        <w:pStyle w:val="ListParagraph"/>
        <w:numPr>
          <w:ilvl w:val="0"/>
          <w:numId w:val="9"/>
        </w:numPr>
        <w:spacing w:after="70" w:line="300"/>
      </w:pPr>
      <w:r>
        <w:rPr>
          <w:rFonts w:ascii="Times New Roman" w:cs="Times New Roman" w:eastAsia="Times New Roman" w:hAnsi="Times New Roman"/>
          <w:b/>
          <w:bCs/>
          <w:sz w:val="24"/>
          <w:szCs w:val="24"/>
        </w:rPr>
        <w:t xml:space="preserve">TLP — </w:t>
      </w:r>
      <w:r>
        <w:rPr>
          <w:rFonts w:ascii="Times New Roman" w:cs="Times New Roman" w:eastAsia="Times New Roman" w:hAnsi="Times New Roman"/>
          <w:sz w:val="24"/>
          <w:szCs w:val="24"/>
        </w:rPr>
        <w:t xml:space="preserve">Traffic Light Protocol: sharing restriction on a report (WHITE/CLEAR, GREEN, AMBER, RED)</w:t>
      </w:r>
    </w:p>
    <w:p>
      <w:pPr>
        <w:pStyle w:val="ListParagraph"/>
        <w:numPr>
          <w:ilvl w:val="0"/>
          <w:numId w:val="9"/>
        </w:numPr>
        <w:spacing w:after="70" w:line="300"/>
      </w:pPr>
      <w:r>
        <w:rPr>
          <w:rFonts w:ascii="Times New Roman" w:cs="Times New Roman" w:eastAsia="Times New Roman" w:hAnsi="Times New Roman"/>
          <w:b/>
          <w:bCs/>
          <w:sz w:val="24"/>
          <w:szCs w:val="24"/>
        </w:rPr>
        <w:t xml:space="preserve">STIX 2.1 — </w:t>
      </w:r>
      <w:r>
        <w:rPr>
          <w:rFonts w:ascii="Times New Roman" w:cs="Times New Roman" w:eastAsia="Times New Roman" w:hAnsi="Times New Roman"/>
          <w:sz w:val="24"/>
          <w:szCs w:val="24"/>
        </w:rPr>
        <w:t xml:space="preserve">standard JSON format for exchanging CTI objects and their relationships</w:t>
      </w:r>
    </w:p>
    <w:p>
      <w:pPr>
        <w:pStyle w:val="ListParagraph"/>
        <w:numPr>
          <w:ilvl w:val="0"/>
          <w:numId w:val="9"/>
        </w:numPr>
        <w:spacing w:after="70" w:line="300"/>
      </w:pPr>
      <w:r>
        <w:rPr>
          <w:rFonts w:ascii="Times New Roman" w:cs="Times New Roman" w:eastAsia="Times New Roman" w:hAnsi="Times New Roman"/>
          <w:b/>
          <w:bCs/>
          <w:sz w:val="24"/>
          <w:szCs w:val="24"/>
        </w:rPr>
        <w:t xml:space="preserve">ATT&amp;CK — </w:t>
      </w:r>
      <w:r>
        <w:rPr>
          <w:rFonts w:ascii="Times New Roman" w:cs="Times New Roman" w:eastAsia="Times New Roman" w:hAnsi="Times New Roman"/>
          <w:sz w:val="24"/>
          <w:szCs w:val="24"/>
        </w:rPr>
        <w:t xml:space="preserve">MITRE's catalogue of adversary techniques (for example T1566 Phishing)</w:t>
      </w:r>
    </w:p>
    <w:p>
      <w:pPr>
        <w:pStyle w:val="ListParagraph"/>
        <w:numPr>
          <w:ilvl w:val="0"/>
          <w:numId w:val="9"/>
        </w:numPr>
        <w:spacing w:after="70" w:line="300"/>
      </w:pPr>
      <w:r>
        <w:rPr>
          <w:rFonts w:ascii="Times New Roman" w:cs="Times New Roman" w:eastAsia="Times New Roman" w:hAnsi="Times New Roman"/>
          <w:b/>
          <w:bCs/>
          <w:sz w:val="24"/>
          <w:szCs w:val="24"/>
        </w:rPr>
        <w:t xml:space="preserve">GraphRAG — </w:t>
      </w:r>
      <w:r>
        <w:rPr>
          <w:rFonts w:ascii="Times New Roman" w:cs="Times New Roman" w:eastAsia="Times New Roman" w:hAnsi="Times New Roman"/>
          <w:sz w:val="24"/>
          <w:szCs w:val="24"/>
        </w:rPr>
        <w:t xml:space="preserve">answering questions with evidence retrieved from a graph and a vector index before generation</w:t>
      </w:r>
    </w:p>
    <w:p>
      <w:pPr>
        <w:pStyle w:val="ListParagraph"/>
        <w:numPr>
          <w:ilvl w:val="0"/>
          <w:numId w:val="9"/>
        </w:numPr>
        <w:spacing w:after="70" w:line="300"/>
      </w:pPr>
      <w:r>
        <w:rPr>
          <w:rFonts w:ascii="Times New Roman" w:cs="Times New Roman" w:eastAsia="Times New Roman" w:hAnsi="Times New Roman"/>
          <w:b/>
          <w:bCs/>
          <w:sz w:val="24"/>
          <w:szCs w:val="24"/>
        </w:rPr>
        <w:t xml:space="preserve">Commodity hub — </w:t>
      </w:r>
      <w:r>
        <w:rPr>
          <w:rFonts w:ascii="Times New Roman" w:cs="Times New Roman" w:eastAsia="Times New Roman" w:hAnsi="Times New Roman"/>
          <w:sz w:val="24"/>
          <w:szCs w:val="24"/>
        </w:rPr>
        <w:t xml:space="preserve">a tool used by many unrelated actors, and therefore weak evidence of attribution</w:t>
      </w:r>
    </w:p>
    <w:p>
      <w:pPr>
        <w:pStyle w:val="ListParagraph"/>
        <w:numPr>
          <w:ilvl w:val="0"/>
          <w:numId w:val="9"/>
        </w:numPr>
        <w:spacing w:after="70" w:line="300"/>
      </w:pPr>
      <w:r>
        <w:rPr>
          <w:rFonts w:ascii="Times New Roman" w:cs="Times New Roman" w:eastAsia="Times New Roman" w:hAnsi="Times New Roman"/>
          <w:b/>
          <w:bCs/>
          <w:sz w:val="24"/>
          <w:szCs w:val="24"/>
        </w:rPr>
        <w:t xml:space="preserve">Retrieve-only — </w:t>
      </w:r>
      <w:r>
        <w:rPr>
          <w:rFonts w:ascii="Times New Roman" w:cs="Times New Roman" w:eastAsia="Times New Roman" w:hAnsi="Times New Roman"/>
          <w:sz w:val="24"/>
          <w:szCs w:val="24"/>
        </w:rPr>
        <w:t xml:space="preserve">an answer made of evidence sentences without the language model</w:t>
      </w:r>
    </w:p>
    <w:p>
      <w:pPr>
        <w:pStyle w:val="ListParagraph"/>
        <w:numPr>
          <w:ilvl w:val="0"/>
          <w:numId w:val="9"/>
        </w:numPr>
        <w:spacing w:after="70" w:line="300"/>
      </w:pPr>
      <w:r>
        <w:rPr>
          <w:rFonts w:ascii="Times New Roman" w:cs="Times New Roman" w:eastAsia="Times New Roman" w:hAnsi="Times New Roman"/>
          <w:b/>
          <w:bCs/>
          <w:sz w:val="24"/>
          <w:szCs w:val="24"/>
        </w:rPr>
        <w:t xml:space="preserve">Groundedness gate — </w:t>
      </w:r>
      <w:r>
        <w:rPr>
          <w:rFonts w:ascii="Times New Roman" w:cs="Times New Roman" w:eastAsia="Times New Roman" w:hAnsi="Times New Roman"/>
          <w:sz w:val="24"/>
          <w:szCs w:val="24"/>
        </w:rPr>
        <w:t xml:space="preserve">the check that removes uncited sentences and refuses unsupported answers</w:t>
      </w:r>
    </w:p>
    <w:p>
      <w:pPr>
        <w:pStyle w:val="ListParagraph"/>
        <w:numPr>
          <w:ilvl w:val="0"/>
          <w:numId w:val="9"/>
        </w:numPr>
        <w:spacing w:after="70" w:line="300"/>
      </w:pPr>
      <w:r>
        <w:rPr>
          <w:rFonts w:ascii="Times New Roman" w:cs="Times New Roman" w:eastAsia="Times New Roman" w:hAnsi="Times New Roman"/>
          <w:b/>
          <w:bCs/>
          <w:sz w:val="24"/>
          <w:szCs w:val="24"/>
        </w:rPr>
        <w:t xml:space="preserve">Hot set — </w:t>
      </w:r>
      <w:r>
        <w:rPr>
          <w:rFonts w:ascii="Times New Roman" w:cs="Times New Roman" w:eastAsia="Times New Roman" w:hAnsi="Times New Roman"/>
          <w:sz w:val="24"/>
          <w:szCs w:val="24"/>
        </w:rPr>
        <w:t xml:space="preserve">the IOCs currently live in the Redis blocklist</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A47" w:sz="6" w:space="6"/>
      </w:pBdr>
      <w:tabs>
        <w:tab w:val="right" w:pos="9638"/>
      </w:tabs>
      <w:spacing w:before="80"/>
    </w:pPr>
    <w:r>
      <w:rPr>
        <w:rFonts w:ascii="Times New Roman" w:cs="Times New Roman" w:eastAsia="Times New Roman" w:hAnsi="Times New Roman"/>
        <w:color w:val="4A5560"/>
        <w:sz w:val="16"/>
        <w:szCs w:val="16"/>
      </w:rPr>
      <w:t xml:space="preserve">Review–III deliverable</w:t>
    </w:r>
    <w:r>
      <w:rPr>
        <w:rFonts w:ascii="Times New Roman" w:cs="Times New Roman" w:eastAsia="Times New Roman" w:hAnsi="Times New Roman"/>
        <w:color w:val="4A5560"/>
        <w:sz w:val="16"/>
        <w:szCs w:val="16"/>
      </w:rPr>
      <w:t xml:space="preserve">	Page </w:t>
    </w:r>
    <w:r>
      <w:rPr>
        <w:rFonts w:ascii="Times New Roman" w:cs="Times New Roman" w:eastAsia="Times New Roman" w:hAnsi="Times New Roman"/>
        <w:color w:val="4A556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A47" w:sz="6" w:space="4"/>
      </w:pBdr>
      <w:tabs>
        <w:tab w:val="right" w:pos="9638"/>
      </w:tabs>
      <w:spacing w:after="80"/>
    </w:pPr>
    <w:r>
      <w:rPr>
        <w:rFonts w:ascii="Times New Roman" w:cs="Times New Roman" w:eastAsia="Times New Roman" w:hAnsi="Times New Roman"/>
        <w:color w:val="4A5560"/>
        <w:sz w:val="16"/>
        <w:szCs w:val="16"/>
      </w:rPr>
      <w:t xml:space="preserve">GraphRAG CTI Platform  ·  User Manual</w:t>
    </w:r>
    <w:r>
      <w:rPr>
        <w:rFonts w:ascii="Times New Roman" w:cs="Times New Roman" w:eastAsia="Times New Roman" w:hAnsi="Times New Roman"/>
        <w:color w:val="4A5560"/>
        <w:sz w:val="16"/>
        <w:szCs w:val="16"/>
      </w:rPr>
      <w:t xml:space="preserve">	Version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100" w:hanging="300"/>
      </w:pPr>
    </w:lvl>
  </w:abstractNum>
  <w:abstractNum w:abstractNumId="3" w15:restartNumberingAfterBreak="0">
    <w:multiLevelType w:val="hybridMultilevel"/>
    <w:lvl w:ilvl="0" w15:tentative="1">
      <w:start w:val="1"/>
      <w:numFmt w:val="decimal"/>
      <w:lvlText w:val="%1."/>
      <w:lvlJc w:val="left"/>
      <w:pPr>
        <w:ind w:left="640" w:hanging="320"/>
      </w:pPr>
    </w:lvl>
    <w:lvl w:ilvl="1" w15:tentative="1">
      <w:start w:val="1"/>
      <w:numFmt w:val="bullet"/>
      <w:lvlText w:val="–"/>
      <w:lvlJc w:val="left"/>
      <w:pPr>
        <w:ind w:left="1100" w:hanging="300"/>
      </w:pPr>
    </w:lvl>
  </w:abstractNum>
  <w:abstractNum w:abstractNumId="4" w15:restartNumberingAfterBreak="0">
    <w:multiLevelType w:val="hybridMultilevel"/>
    <w:lvl w:ilvl="0" w15:tentative="1">
      <w:start w:val="1"/>
      <w:numFmt w:val="decimal"/>
      <w:lvlText w:val="%1."/>
      <w:lvlJc w:val="left"/>
      <w:pPr>
        <w:ind w:left="640" w:hanging="320"/>
      </w:pPr>
    </w:lvl>
    <w:lvl w:ilvl="1" w15:tentative="1">
      <w:start w:val="1"/>
      <w:numFmt w:val="bullet"/>
      <w:lvlText w:val="–"/>
      <w:lvlJc w:val="left"/>
      <w:pPr>
        <w:ind w:left="1100" w:hanging="300"/>
      </w:pPr>
    </w:lvl>
  </w:abstractNum>
  <w:abstractNum w:abstractNumId="5" w15:restartNumberingAfterBreak="0">
    <w:multiLevelType w:val="hybridMultilevel"/>
    <w:lvl w:ilvl="0" w15:tentative="1">
      <w:start w:val="1"/>
      <w:numFmt w:val="decimal"/>
      <w:lvlText w:val="%1."/>
      <w:lvlJc w:val="left"/>
      <w:pPr>
        <w:ind w:left="640" w:hanging="320"/>
      </w:pPr>
    </w:lvl>
    <w:lvl w:ilvl="1" w15:tentative="1">
      <w:start w:val="1"/>
      <w:numFmt w:val="bullet"/>
      <w:lvlText w:val="–"/>
      <w:lvlJc w:val="left"/>
      <w:pPr>
        <w:ind w:left="1100" w:hanging="300"/>
      </w:pPr>
    </w:lvl>
  </w:abstractNum>
  <w:abstractNum w:abstractNumId="6" w15:restartNumberingAfterBreak="0">
    <w:multiLevelType w:val="hybridMultilevel"/>
    <w:lvl w:ilvl="0" w15:tentative="1">
      <w:start w:val="1"/>
      <w:numFmt w:val="decimal"/>
      <w:lvlText w:val="%1."/>
      <w:lvlJc w:val="left"/>
      <w:pPr>
        <w:ind w:left="640" w:hanging="320"/>
      </w:pPr>
    </w:lvl>
    <w:lvl w:ilvl="1" w15:tentative="1">
      <w:start w:val="1"/>
      <w:numFmt w:val="bullet"/>
      <w:lvlText w:val="–"/>
      <w:lvlJc w:val="left"/>
      <w:pPr>
        <w:ind w:left="1100" w:hanging="300"/>
      </w:pPr>
    </w:lvl>
  </w:abstractNum>
  <w:abstractNum w:abstractNumId="7" w15:restartNumberingAfterBreak="0">
    <w:multiLevelType w:val="hybridMultilevel"/>
    <w:lvl w:ilvl="0" w15:tentative="1">
      <w:start w:val="1"/>
      <w:numFmt w:val="decimal"/>
      <w:lvlText w:val="%1."/>
      <w:lvlJc w:val="left"/>
      <w:pPr>
        <w:ind w:left="640" w:hanging="320"/>
      </w:pPr>
    </w:lvl>
    <w:lvl w:ilvl="1" w15:tentative="1">
      <w:start w:val="1"/>
      <w:numFmt w:val="bullet"/>
      <w:lvlText w:val="–"/>
      <w:lvlJc w:val="left"/>
      <w:pPr>
        <w:ind w:left="1100" w:hanging="300"/>
      </w:pPr>
    </w:lvl>
  </w:abstractNum>
  <w:abstractNum w:abstractNumId="8" w15:restartNumberingAfterBreak="0">
    <w:multiLevelType w:val="hybridMultilevel"/>
    <w:lvl w:ilvl="0" w15:tentative="1">
      <w:start w:val="1"/>
      <w:numFmt w:val="decimal"/>
      <w:lvlText w:val="%1."/>
      <w:lvlJc w:val="left"/>
      <w:pPr>
        <w:ind w:left="640" w:hanging="320"/>
      </w:pPr>
    </w:lvl>
    <w:lvl w:ilvl="1" w15:tentative="1">
      <w:start w:val="1"/>
      <w:numFmt w:val="bullet"/>
      <w:lvlText w:val="–"/>
      <w:lvlJc w:val="left"/>
      <w:pPr>
        <w:ind w:left="1100" w:hanging="300"/>
      </w:pPr>
    </w:lvl>
  </w:abstractNum>
  <w:abstractNum w:abstractNumId="9" w15:restartNumberingAfterBreak="0">
    <w:multiLevelType w:val="hybridMultilevel"/>
    <w:lvl w:ilvl="0" w15:tentative="1">
      <w:start w:val="1"/>
      <w:numFmt w:val="decimal"/>
      <w:lvlText w:val="%1."/>
      <w:lvlJc w:val="left"/>
      <w:pPr>
        <w:ind w:left="640" w:hanging="320"/>
      </w:pPr>
    </w:lvl>
    <w:lvl w:ilvl="1" w15:tentative="1">
      <w:start w:val="1"/>
      <w:numFmt w:val="bullet"/>
      <w:lvlText w:val="–"/>
      <w:lvlJc w:val="left"/>
      <w:pPr>
        <w:ind w:left="11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9"/>
    <w:lvlOverride w:ilvl="0">
      <w:startOverride w:val="1"/>
    </w:lvlOverride>
  </w:num>
  <w:num w:numId="7">
    <w:abstractNumId w:val="7"/>
    <w:lvlOverride w:ilvl="0">
      <w:startOverride w:val="1"/>
    </w:lvlOverride>
  </w:num>
  <w:num w:numId="8">
    <w:abstractNumId w:val="8"/>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Times New Roman" w:cs="Times New Roman" w:eastAsia="Times New Roman" w:hAnsi="Times New Roman"/>
      <w:b/>
      <w:bCs/>
      <w:color w:val="0F2A47"/>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B4F72"/>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99e0b94323dba54d92a94aa248aedcacc5e68ef.png"/><Relationship Id="rId12" Type="http://schemas.openxmlformats.org/officeDocument/2006/relationships/image" Target="media/dcef2786a20de6a448183ba572659e5c41567cde.png"/><Relationship Id="rId13" Type="http://schemas.openxmlformats.org/officeDocument/2006/relationships/image" Target="media/22e0a649f6d6f938e3a9f0110c9393811f3c8f8d.png"/><Relationship Id="rId14" Type="http://schemas.openxmlformats.org/officeDocument/2006/relationships/image" Target="media/d382ceab5280cf81e364b5cdea2c27073c13aeaf.png"/><Relationship Id="rId15" Type="http://schemas.openxmlformats.org/officeDocument/2006/relationships/image" Target="media/8871ee6458886a2964138536545864abc6ca30cc.png"/><Relationship Id="rId16" Type="http://schemas.openxmlformats.org/officeDocument/2006/relationships/image" Target="media/aeb5127780b96ee6c9b2ac5595ec5995cb47efd3.png"/><Relationship Id="rId17" Type="http://schemas.openxmlformats.org/officeDocument/2006/relationships/image" Target="media/4bdfb455f82fd1eb6ef41e89c828565cb8eb317a.png"/><Relationship Id="rId18" Type="http://schemas.openxmlformats.org/officeDocument/2006/relationships/image" Target="media/7f606444812a603f244dc1ef693ad9d54b98c4e1.png"/><Relationship Id="rId19" Type="http://schemas.openxmlformats.org/officeDocument/2006/relationships/image" Target="media/c3e00089679d733b98ddebb3270af7e07a8178c8.png"/><Relationship Id="rId20" Type="http://schemas.openxmlformats.org/officeDocument/2006/relationships/image" Target="media/731f2e4ea48b5184adbb12f6ccc904614b6fbdac.png"/><Relationship Id="rId21" Type="http://schemas.openxmlformats.org/officeDocument/2006/relationships/image" Target="media/2461f6ee9bc80075f2aa6dca49b638808b6eac69.png"/><Relationship Id="rId22" Type="http://schemas.openxmlformats.org/officeDocument/2006/relationships/image" Target="media/509e003cac7cfef4f3825923b71a56fcb296cd53.png"/><Relationship Id="rId23" Type="http://schemas.openxmlformats.org/officeDocument/2006/relationships/image" Target="media/ba13eb8b2dd3313c5f4e55e46df1418823ef9fc8.png"/><Relationship Id="rId24" Type="http://schemas.openxmlformats.org/officeDocument/2006/relationships/image" Target="media/d12f0e1beeba9396b24b059b1d16a0a33482511c.png"/><Relationship Id="rId25" Type="http://schemas.openxmlformats.org/officeDocument/2006/relationships/image" Target="media/85ae3f372e5bf0baad6949e1c8fa7ab98865d2e5.png"/><Relationship Id="rId26" Type="http://schemas.openxmlformats.org/officeDocument/2006/relationships/image" Target="media/2eacfbcdc0085ec4f3c98dd51c8d93e96f41b690.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GraphRAG CTI Platform  ·  User Manual</dc:title>
  <dc:creator>Shivansh Sharma, Himali Sharma, Aayush Sinha</dc:creator>
  <cp:lastModifiedBy>Un-named</cp:lastModifiedBy>
  <cp:revision>1</cp:revision>
  <dcterms:created xsi:type="dcterms:W3CDTF">2026-10-26T19:39:25.105Z</dcterms:created>
  <dcterms:modified xsi:type="dcterms:W3CDTF">2026-10-26T19:39:25.105Z</dcterms:modified>
</cp:coreProperties>
</file>

<file path=docProps/custom.xml><?xml version="1.0" encoding="utf-8"?>
<Properties xmlns="http://schemas.openxmlformats.org/officeDocument/2006/custom-properties" xmlns:vt="http://schemas.openxmlformats.org/officeDocument/2006/docPropsVTypes"/>
</file>