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F2A47" w:sz="18" w:space="8"/>
        </w:pBdr>
        <w:spacing w:after="120"/>
      </w:pPr>
    </w:p>
    <w:p>
      <w:pPr>
        <w:spacing w:after="80" w:before="80"/>
        <w:jc w:val="center"/>
      </w:pPr>
      <w:r>
        <w:rPr>
          <w:rFonts w:ascii="Times New Roman" w:cs="Times New Roman" w:eastAsia="Times New Roman" w:hAnsi="Times New Roman"/>
          <w:b/>
          <w:bCs/>
          <w:color w:val="0F2A47"/>
          <w:spacing w:val="200"/>
          <w:sz w:val="28"/>
          <w:szCs w:val="28"/>
        </w:rPr>
        <w:t xml:space="preserve">REVIEW – I REPORT</w:t>
      </w:r>
    </w:p>
    <w:p>
      <w:pPr>
        <w:spacing w:after="200"/>
        <w:jc w:val="center"/>
      </w:pPr>
      <w:r>
        <w:rPr>
          <w:rFonts w:ascii="Times New Roman" w:cs="Times New Roman" w:eastAsia="Times New Roman" w:hAnsi="Times New Roman"/>
          <w:i/>
          <w:iCs/>
          <w:color w:val="4A5560"/>
          <w:sz w:val="24"/>
          <w:szCs w:val="24"/>
        </w:rPr>
        <w:t xml:space="preserve">Problem Identification and Design</w:t>
      </w:r>
    </w:p>
    <w:p>
      <w:pPr>
        <w:spacing w:after="80" w:before="400"/>
        <w:jc w:val="center"/>
      </w:pPr>
      <w:r>
        <w:rPr>
          <w:rFonts w:ascii="Times New Roman" w:cs="Times New Roman" w:eastAsia="Times New Roman" w:hAnsi="Times New Roman"/>
          <w:b/>
          <w:bCs/>
          <w:color w:val="0F2A47"/>
          <w:sz w:val="36"/>
          <w:szCs w:val="36"/>
        </w:rPr>
        <w:t xml:space="preserve">GraphRAG-Powered Cyber Threat Intelligence Platform:</w:t>
      </w:r>
    </w:p>
    <w:p>
      <w:pPr>
        <w:spacing w:after="400"/>
        <w:jc w:val="center"/>
      </w:pPr>
      <w:r>
        <w:rPr>
          <w:rFonts w:ascii="Times New Roman" w:cs="Times New Roman" w:eastAsia="Times New Roman" w:hAnsi="Times New Roman"/>
          <w:b/>
          <w:bCs/>
          <w:color w:val="0F2A47"/>
          <w:sz w:val="36"/>
          <w:szCs w:val="36"/>
        </w:rPr>
        <w:t xml:space="preserve">A Multi-Model NoSQL Approach</w:t>
      </w:r>
    </w:p>
    <w:p>
      <w:pPr>
        <w:spacing w:after="80"/>
        <w:jc w:val="center"/>
      </w:pPr>
      <w:r>
        <w:rPr>
          <w:rFonts w:ascii="Times New Roman" w:cs="Times New Roman" w:eastAsia="Times New Roman" w:hAnsi="Times New Roman"/>
          <w:i/>
          <w:iCs/>
          <w:sz w:val="22"/>
          <w:szCs w:val="22"/>
        </w:rPr>
        <w:t xml:space="preserve">Short title: Multi-Model NoSQL Threat Intelligence Platform with GraphRAG</w:t>
      </w:r>
    </w:p>
    <w:p>
      <w:pPr>
        <w:spacing w:after="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Deliverable</w:t>
            </w:r>
          </w:p>
        </w:tc>
        <w:tc>
          <w:tcPr>
            <w:tcW w:type="dxa" w:w="64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Review – I  (10 marks)</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Focus</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Problem identification and design</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Student</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Shivansh</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Programme</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Computer Science / Information Technology</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Institution</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[College / University name]</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Guide / Supervisor</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[Name]</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Roll number</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[Roll no.]</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Date</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August 2026</w:t>
            </w:r>
          </w:p>
        </w:tc>
      </w:tr>
    </w:tbl>
    <w:p>
      <w:pPr>
        <w:spacing w:after="400"/>
      </w:pPr>
    </w:p>
    <w:p>
      <w:pPr>
        <w:spacing w:after="80"/>
        <w:jc w:val="center"/>
      </w:pPr>
      <w:r>
        <w:rPr>
          <w:rFonts w:ascii="Times New Roman" w:cs="Times New Roman" w:eastAsia="Times New Roman" w:hAnsi="Times New Roman"/>
          <w:b/>
          <w:bCs/>
          <w:color w:val="0F2A47"/>
          <w:sz w:val="22"/>
          <w:szCs w:val="22"/>
        </w:rPr>
        <w:t xml:space="preserve">Expected deliverables covered in this report</w:t>
      </w:r>
    </w:p>
    <w:p>
      <w:pPr>
        <w:spacing w:after="40"/>
        <w:jc w:val="center"/>
      </w:pPr>
      <w:r>
        <w:rPr>
          <w:rFonts w:ascii="Times New Roman" w:cs="Times New Roman" w:eastAsia="Times New Roman" w:hAnsi="Times New Roman"/>
          <w:sz w:val="22"/>
          <w:szCs w:val="22"/>
        </w:rPr>
        <w:t xml:space="preserve">Problem statement</w:t>
      </w:r>
    </w:p>
    <w:p>
      <w:pPr>
        <w:spacing w:after="40"/>
        <w:jc w:val="center"/>
      </w:pPr>
      <w:r>
        <w:rPr>
          <w:rFonts w:ascii="Times New Roman" w:cs="Times New Roman" w:eastAsia="Times New Roman" w:hAnsi="Times New Roman"/>
          <w:sz w:val="22"/>
          <w:szCs w:val="22"/>
        </w:rPr>
        <w:t xml:space="preserve">Literature survey (5–8 pages)</w:t>
      </w:r>
    </w:p>
    <w:p>
      <w:pPr>
        <w:spacing w:after="40"/>
        <w:jc w:val="center"/>
      </w:pPr>
      <w:r>
        <w:rPr>
          <w:rFonts w:ascii="Times New Roman" w:cs="Times New Roman" w:eastAsia="Times New Roman" w:hAnsi="Times New Roman"/>
          <w:sz w:val="22"/>
          <w:szCs w:val="22"/>
        </w:rPr>
        <w:t xml:space="preserve">Gaps identified</w:t>
      </w:r>
    </w:p>
    <w:p>
      <w:pPr>
        <w:spacing w:after="40"/>
        <w:jc w:val="center"/>
      </w:pPr>
      <w:r>
        <w:rPr>
          <w:rFonts w:ascii="Times New Roman" w:cs="Times New Roman" w:eastAsia="Times New Roman" w:hAnsi="Times New Roman"/>
          <w:sz w:val="22"/>
          <w:szCs w:val="22"/>
        </w:rPr>
        <w:t xml:space="preserve">Requirement analysis</w:t>
      </w:r>
    </w:p>
    <w:p>
      <w:pPr>
        <w:spacing w:after="40"/>
        <w:jc w:val="center"/>
      </w:pPr>
      <w:r>
        <w:rPr>
          <w:rFonts w:ascii="Times New Roman" w:cs="Times New Roman" w:eastAsia="Times New Roman" w:hAnsi="Times New Roman"/>
          <w:sz w:val="22"/>
          <w:szCs w:val="22"/>
        </w:rPr>
        <w:t xml:space="preserve">Selection of NoSQL databases</w:t>
      </w:r>
    </w:p>
    <w:p>
      <w:pPr>
        <w:spacing w:after="40"/>
        <w:jc w:val="center"/>
      </w:pPr>
      <w:r>
        <w:rPr>
          <w:rFonts w:ascii="Times New Roman" w:cs="Times New Roman" w:eastAsia="Times New Roman" w:hAnsi="Times New Roman"/>
          <w:sz w:val="22"/>
          <w:szCs w:val="22"/>
        </w:rPr>
        <w:t xml:space="preserve">Initial architecture</w:t>
      </w:r>
    </w:p>
    <w:p>
      <w:pPr>
        <w:spacing w:after="40"/>
        <w:jc w:val="center"/>
      </w:pPr>
      <w:r>
        <w:rPr>
          <w:rFonts w:ascii="Times New Roman" w:cs="Times New Roman" w:eastAsia="Times New Roman" w:hAnsi="Times New Roman"/>
          <w:sz w:val="22"/>
          <w:szCs w:val="22"/>
        </w:rPr>
        <w:t xml:space="preserve">Graph / document schema</w:t>
      </w:r>
    </w:p>
    <w:p>
      <w:pPr>
        <w:spacing w:after="40"/>
        <w:jc w:val="center"/>
      </w:pPr>
      <w:r>
        <w:rPr>
          <w:rFonts w:ascii="Times New Roman" w:cs="Times New Roman" w:eastAsia="Times New Roman" w:hAnsi="Times New Roman"/>
          <w:sz w:val="22"/>
          <w:szCs w:val="22"/>
        </w:rPr>
        <w:t xml:space="preserve">Project plan</w:t>
      </w:r>
    </w:p>
    <w:p>
      <w:pPr>
        <w:pageBreakBefore/>
      </w:pPr>
      <w:r>
        <w:rPr>
          <w:rFonts w:ascii="Times New Roman" w:cs="Times New Roman" w:eastAsia="Times New Roman" w:hAnsi="Times New Roman"/>
          <w:sz w:val="24"/>
          <w:szCs w:val="24"/>
        </w:rPr>
        <w:t xml:space="preserve"/>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Table of Contents</w:t>
      </w:r>
    </w:p>
    <w:p>
      <w:pPr>
        <w:spacing w:after="80" w:line="276"/>
        <w:ind w:left="0"/>
      </w:pPr>
      <w:r>
        <w:rPr>
          <w:rFonts w:ascii="Times New Roman" w:cs="Times New Roman" w:eastAsia="Times New Roman" w:hAnsi="Times New Roman"/>
          <w:sz w:val="22"/>
          <w:szCs w:val="22"/>
        </w:rPr>
        <w:t xml:space="preserve">1.  Abstract</w:t>
      </w:r>
    </w:p>
    <w:p>
      <w:pPr>
        <w:spacing w:after="80" w:line="276"/>
        <w:ind w:left="0"/>
      </w:pPr>
      <w:r>
        <w:rPr>
          <w:rFonts w:ascii="Times New Roman" w:cs="Times New Roman" w:eastAsia="Times New Roman" w:hAnsi="Times New Roman"/>
          <w:sz w:val="22"/>
          <w:szCs w:val="22"/>
        </w:rPr>
        <w:t xml:space="preserve">2.  Problem Statement</w:t>
      </w:r>
    </w:p>
    <w:p>
      <w:pPr>
        <w:spacing w:after="80" w:line="276"/>
        <w:ind w:left="0"/>
      </w:pPr>
      <w:r>
        <w:rPr>
          <w:rFonts w:ascii="Times New Roman" w:cs="Times New Roman" w:eastAsia="Times New Roman" w:hAnsi="Times New Roman"/>
          <w:sz w:val="22"/>
          <w:szCs w:val="22"/>
        </w:rPr>
        <w:t xml:space="preserve">3.  Literature Survey  (5–8 pages)</w:t>
      </w:r>
    </w:p>
    <w:p>
      <w:pPr>
        <w:spacing w:after="80" w:line="276"/>
        <w:ind w:left="360"/>
      </w:pPr>
      <w:r>
        <w:rPr>
          <w:rFonts w:ascii="Times New Roman" w:cs="Times New Roman" w:eastAsia="Times New Roman" w:hAnsi="Times New Roman"/>
          <w:sz w:val="22"/>
          <w:szCs w:val="22"/>
        </w:rPr>
        <w:t xml:space="preserve">3.1  Cyber threat intelligence: definitions and the relationship problem</w:t>
      </w:r>
    </w:p>
    <w:p>
      <w:pPr>
        <w:spacing w:after="80" w:line="276"/>
        <w:ind w:left="360"/>
      </w:pPr>
      <w:r>
        <w:rPr>
          <w:rFonts w:ascii="Times New Roman" w:cs="Times New Roman" w:eastAsia="Times New Roman" w:hAnsi="Times New Roman"/>
          <w:sz w:val="22"/>
          <w:szCs w:val="22"/>
        </w:rPr>
        <w:t xml:space="preserve">3.2  Standards and sharing platforms</w:t>
      </w:r>
    </w:p>
    <w:p>
      <w:pPr>
        <w:spacing w:after="80" w:line="276"/>
        <w:ind w:left="360"/>
      </w:pPr>
      <w:r>
        <w:rPr>
          <w:rFonts w:ascii="Times New Roman" w:cs="Times New Roman" w:eastAsia="Times New Roman" w:hAnsi="Times New Roman"/>
          <w:sz w:val="22"/>
          <w:szCs w:val="22"/>
        </w:rPr>
        <w:t xml:space="preserve">3.3  Limitations of relational stores for CTI workloads</w:t>
      </w:r>
    </w:p>
    <w:p>
      <w:pPr>
        <w:spacing w:after="80" w:line="276"/>
        <w:ind w:left="360"/>
      </w:pPr>
      <w:r>
        <w:rPr>
          <w:rFonts w:ascii="Times New Roman" w:cs="Times New Roman" w:eastAsia="Times New Roman" w:hAnsi="Times New Roman"/>
          <w:sz w:val="22"/>
          <w:szCs w:val="22"/>
        </w:rPr>
        <w:t xml:space="preserve">3.4  NoSQL models and polyglot persistence</w:t>
      </w:r>
    </w:p>
    <w:p>
      <w:pPr>
        <w:spacing w:after="80" w:line="276"/>
        <w:ind w:left="360"/>
      </w:pPr>
      <w:r>
        <w:rPr>
          <w:rFonts w:ascii="Times New Roman" w:cs="Times New Roman" w:eastAsia="Times New Roman" w:hAnsi="Times New Roman"/>
          <w:sz w:val="22"/>
          <w:szCs w:val="22"/>
        </w:rPr>
        <w:t xml:space="preserve">3.5  Graph databases for cybersecurity knowledge</w:t>
      </w:r>
    </w:p>
    <w:p>
      <w:pPr>
        <w:spacing w:after="80" w:line="276"/>
        <w:ind w:left="360"/>
      </w:pPr>
      <w:r>
        <w:rPr>
          <w:rFonts w:ascii="Times New Roman" w:cs="Times New Roman" w:eastAsia="Times New Roman" w:hAnsi="Times New Roman"/>
          <w:sz w:val="22"/>
          <w:szCs w:val="22"/>
        </w:rPr>
        <w:t xml:space="preserve">3.6  Document stores for heterogeneous CTI reports</w:t>
      </w:r>
    </w:p>
    <w:p>
      <w:pPr>
        <w:spacing w:after="80" w:line="276"/>
        <w:ind w:left="360"/>
      </w:pPr>
      <w:r>
        <w:rPr>
          <w:rFonts w:ascii="Times New Roman" w:cs="Times New Roman" w:eastAsia="Times New Roman" w:hAnsi="Times New Roman"/>
          <w:sz w:val="22"/>
          <w:szCs w:val="22"/>
        </w:rPr>
        <w:t xml:space="preserve">3.7  Key–value caches and indicator volatility</w:t>
      </w:r>
    </w:p>
    <w:p>
      <w:pPr>
        <w:spacing w:after="80" w:line="276"/>
        <w:ind w:left="360"/>
      </w:pPr>
      <w:r>
        <w:rPr>
          <w:rFonts w:ascii="Times New Roman" w:cs="Times New Roman" w:eastAsia="Times New Roman" w:hAnsi="Times New Roman"/>
          <w:sz w:val="22"/>
          <w:szCs w:val="22"/>
        </w:rPr>
        <w:t xml:space="preserve">3.8  Vector databases and dense retrieval</w:t>
      </w:r>
    </w:p>
    <w:p>
      <w:pPr>
        <w:spacing w:after="80" w:line="276"/>
        <w:ind w:left="360"/>
      </w:pPr>
      <w:r>
        <w:rPr>
          <w:rFonts w:ascii="Times New Roman" w:cs="Times New Roman" w:eastAsia="Times New Roman" w:hAnsi="Times New Roman"/>
          <w:sz w:val="22"/>
          <w:szCs w:val="22"/>
        </w:rPr>
        <w:t xml:space="preserve">3.9  From RAG to GraphRAG</w:t>
      </w:r>
    </w:p>
    <w:p>
      <w:pPr>
        <w:spacing w:after="80" w:line="276"/>
        <w:ind w:left="360"/>
      </w:pPr>
      <w:r>
        <w:rPr>
          <w:rFonts w:ascii="Times New Roman" w:cs="Times New Roman" w:eastAsia="Times New Roman" w:hAnsi="Times New Roman"/>
          <w:sz w:val="22"/>
          <w:szCs w:val="22"/>
        </w:rPr>
        <w:t xml:space="preserve">3.10  Integrated CTI platforms</w:t>
      </w:r>
    </w:p>
    <w:p>
      <w:pPr>
        <w:spacing w:after="80" w:line="276"/>
        <w:ind w:left="360"/>
      </w:pPr>
      <w:r>
        <w:rPr>
          <w:rFonts w:ascii="Times New Roman" w:cs="Times New Roman" w:eastAsia="Times New Roman" w:hAnsi="Times New Roman"/>
          <w:sz w:val="22"/>
          <w:szCs w:val="22"/>
        </w:rPr>
        <w:t xml:space="preserve">3.11  Summary of the survey</w:t>
      </w:r>
    </w:p>
    <w:p>
      <w:pPr>
        <w:spacing w:after="80" w:line="276"/>
        <w:ind w:left="0"/>
      </w:pPr>
      <w:r>
        <w:rPr>
          <w:rFonts w:ascii="Times New Roman" w:cs="Times New Roman" w:eastAsia="Times New Roman" w:hAnsi="Times New Roman"/>
          <w:sz w:val="22"/>
          <w:szCs w:val="22"/>
        </w:rPr>
        <w:t xml:space="preserve">4.  Gaps Identified</w:t>
      </w:r>
    </w:p>
    <w:p>
      <w:pPr>
        <w:spacing w:after="80" w:line="276"/>
        <w:ind w:left="0"/>
      </w:pPr>
      <w:r>
        <w:rPr>
          <w:rFonts w:ascii="Times New Roman" w:cs="Times New Roman" w:eastAsia="Times New Roman" w:hAnsi="Times New Roman"/>
          <w:sz w:val="22"/>
          <w:szCs w:val="22"/>
        </w:rPr>
        <w:t xml:space="preserve">5.  Requirement Analysis</w:t>
      </w:r>
    </w:p>
    <w:p>
      <w:pPr>
        <w:spacing w:after="80" w:line="276"/>
        <w:ind w:left="0"/>
      </w:pPr>
      <w:r>
        <w:rPr>
          <w:rFonts w:ascii="Times New Roman" w:cs="Times New Roman" w:eastAsia="Times New Roman" w:hAnsi="Times New Roman"/>
          <w:sz w:val="22"/>
          <w:szCs w:val="22"/>
        </w:rPr>
        <w:t xml:space="preserve">6.  Selection of NoSQL Databases</w:t>
      </w:r>
    </w:p>
    <w:p>
      <w:pPr>
        <w:spacing w:after="80" w:line="276"/>
        <w:ind w:left="0"/>
      </w:pPr>
      <w:r>
        <w:rPr>
          <w:rFonts w:ascii="Times New Roman" w:cs="Times New Roman" w:eastAsia="Times New Roman" w:hAnsi="Times New Roman"/>
          <w:sz w:val="22"/>
          <w:szCs w:val="22"/>
        </w:rPr>
        <w:t xml:space="preserve">7.  Initial Architecture</w:t>
      </w:r>
    </w:p>
    <w:p>
      <w:pPr>
        <w:spacing w:after="80" w:line="276"/>
        <w:ind w:left="0"/>
      </w:pPr>
      <w:r>
        <w:rPr>
          <w:rFonts w:ascii="Times New Roman" w:cs="Times New Roman" w:eastAsia="Times New Roman" w:hAnsi="Times New Roman"/>
          <w:sz w:val="22"/>
          <w:szCs w:val="22"/>
        </w:rPr>
        <w:t xml:space="preserve">8.  Graph and Document Schema</w:t>
      </w:r>
    </w:p>
    <w:p>
      <w:pPr>
        <w:spacing w:after="80" w:line="276"/>
        <w:ind w:left="0"/>
      </w:pPr>
      <w:r>
        <w:rPr>
          <w:rFonts w:ascii="Times New Roman" w:cs="Times New Roman" w:eastAsia="Times New Roman" w:hAnsi="Times New Roman"/>
          <w:sz w:val="22"/>
          <w:szCs w:val="22"/>
        </w:rPr>
        <w:t xml:space="preserve">9.  Project Plan</w:t>
      </w:r>
    </w:p>
    <w:p>
      <w:pPr>
        <w:spacing w:after="80" w:line="276"/>
        <w:ind w:left="360"/>
      </w:pPr>
      <w:r>
        <w:rPr>
          <w:rFonts w:ascii="Times New Roman" w:cs="Times New Roman" w:eastAsia="Times New Roman" w:hAnsi="Times New Roman"/>
          <w:sz w:val="22"/>
          <w:szCs w:val="22"/>
        </w:rPr>
        <w:t xml:space="preserve">10.  Conclusion of Review–I</w:t>
      </w:r>
    </w:p>
    <w:p>
      <w:pPr>
        <w:spacing w:after="80" w:line="276"/>
        <w:ind w:left="0"/>
      </w:pPr>
      <w:r>
        <w:rPr>
          <w:rFonts w:ascii="Times New Roman" w:cs="Times New Roman" w:eastAsia="Times New Roman" w:hAnsi="Times New Roman"/>
          <w:sz w:val="22"/>
          <w:szCs w:val="22"/>
        </w:rPr>
        <w:t xml:space="preserve">References</w:t>
      </w:r>
    </w:p>
    <w:p>
      <w:pPr>
        <w:spacing w:after="80" w:line="276"/>
        <w:ind w:left="0"/>
      </w:pPr>
      <w:r>
        <w:rPr>
          <w:rFonts w:ascii="Times New Roman" w:cs="Times New Roman" w:eastAsia="Times New Roman" w:hAnsi="Times New Roman"/>
          <w:sz w:val="22"/>
          <w:szCs w:val="22"/>
        </w:rPr>
        <w:t xml:space="preserve">Appendix A.  Representative analyst questions</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1.  Abstract</w:t>
      </w:r>
    </w:p>
    <w:p>
      <w:pPr>
        <w:spacing w:after="200" w:line="360"/>
        <w:jc w:val="both"/>
      </w:pPr>
      <w:r>
        <w:rPr>
          <w:rFonts w:ascii="Times New Roman" w:cs="Times New Roman" w:eastAsia="Times New Roman" w:hAnsi="Times New Roman"/>
          <w:sz w:val="24"/>
          <w:szCs w:val="24"/>
        </w:rPr>
        <w:t xml:space="preserve">Modern security operations generate overwhelming volumes of threat data whose real value lies not in isolated facts but in the relationships between attackers, campaigns, malware, and indicators of compromise. Traditional relational databases struggle with these highly connected, heterogeneous, and rapidly evolving datasets. This project designs a production-oriented Cyber Threat Intelligence (CTI) workstation that uses polyglot persistence: four complementary NoSQL data models, each assigned to the workload where it is operationally superior. A graph database (Neo4j) is the system of record for the threat knowledge graph and answers multi-hop relationship queries—such as shared attacker infrastructure—that would require expensive joins in SQL. A document store (MongoDB) is the system of record for raw, schema-variable threat reports, including STIX 2.1 bundles, without rigid migrations. A key–value store (Redis) serves the enforcement-facing indicator blocklist with TTL-based automatic expiry, reflecting the short-lived nature of threat indicators. A vector database (Qdrant) indexes report embeddings for semantic similarity search. On top of these, a GraphRAG (Graph-augmented Retrieval-Augmented Generation) layer combines graph traversal, vector retrieval, and a locally hosted large language model so that analysts can ask natural-language questions and receive grounded, citable responses. An operations dashboard exposes evidence in real time—graph traversals, live TTL state, and semantic-similarity neighbourhoods—so that every answer can be audited against the stores that produced it. The result is a working CTI platform whose storage architecture is an engineering decision, not a single-database compromise.</w:t>
      </w:r>
    </w:p>
    <w:p>
      <w:pPr>
        <w:spacing w:after="200" w:line="36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NoSQL, polyglot persistence, graph database, document store, key–value store, vector database, GraphRAG, cyber threat intelligence, Neo4j, MongoDB, Redis, Qdrant.</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2.  Problem Statement</w:t>
      </w:r>
    </w:p>
    <w:p>
      <w:pPr>
        <w:pStyle w:val="Heading2"/>
        <w:spacing w:after="140" w:before="280"/>
      </w:pPr>
      <w:r>
        <w:rPr>
          <w:rFonts w:ascii="Times New Roman" w:cs="Times New Roman" w:eastAsia="Times New Roman" w:hAnsi="Times New Roman"/>
          <w:b/>
          <w:bCs/>
          <w:color w:val="1B4F72"/>
          <w:sz w:val="26"/>
          <w:szCs w:val="26"/>
        </w:rPr>
        <w:t xml:space="preserve">2.1  Context</w:t>
      </w:r>
    </w:p>
    <w:p>
      <w:pPr>
        <w:spacing w:after="200" w:line="360"/>
        <w:jc w:val="both"/>
      </w:pPr>
      <w:r>
        <w:rPr>
          <w:rFonts w:ascii="Times New Roman" w:cs="Times New Roman" w:eastAsia="Times New Roman" w:hAnsi="Times New Roman"/>
          <w:sz w:val="24"/>
          <w:szCs w:val="24"/>
        </w:rPr>
        <w:t xml:space="preserve">Security operations centres (SOCs) and CTI teams ingest reports, malware write-ups, indicator feeds, and adversary profiles that are simultaneously (i) highly connected, (ii) schema-unstable, (iii) time-decaying, and (iv) linguistically varied. The operational questions that matter are relational and semantic rather than tabular. Typical analyst questions include: which threat actors share command-and-control infrastructure; which campaigns reuse a commodity post-exploitation tool; which unstructured reports are narratively similar to a new spearphishing incident; and whether an indicator currently on a blocklist is still fresh. These questions cut across data shapes that a single storage engine handles poorly [1], [8], [9].</w:t>
      </w:r>
    </w:p>
    <w:p>
      <w:pPr>
        <w:pStyle w:val="Heading2"/>
        <w:spacing w:after="140" w:before="280"/>
      </w:pPr>
      <w:r>
        <w:rPr>
          <w:rFonts w:ascii="Times New Roman" w:cs="Times New Roman" w:eastAsia="Times New Roman" w:hAnsi="Times New Roman"/>
          <w:b/>
          <w:bCs/>
          <w:color w:val="1B4F72"/>
          <w:sz w:val="26"/>
          <w:szCs w:val="26"/>
        </w:rPr>
        <w:t xml:space="preserve">2.2  Statement of the problem</w:t>
      </w:r>
    </w:p>
    <w:p>
      <w:pPr>
        <w:spacing w:after="200" w:line="360"/>
        <w:jc w:val="both"/>
      </w:pPr>
      <w:r>
        <w:rPr>
          <w:rFonts w:ascii="Times New Roman" w:cs="Times New Roman" w:eastAsia="Times New Roman" w:hAnsi="Times New Roman"/>
          <w:sz w:val="24"/>
          <w:szCs w:val="24"/>
        </w:rPr>
        <w:t xml:space="preserve">Existing CTI platforms do not close the loop that analysts actually need. Sharing systems such as MISP emphasise collection and distribution of events [5]. Knowledge-graph workstations such as OpenCTI model relationships but do not combine typed multi-hop graph retrieval, semantic report search, a volatile enforcement cache, and grounded natural-language Q&amp;A in one control plane [16]. Language-model assistants, conversely, produce fluent text without typed graph constraints or live indicator state [21]. The operational problem is therefore: analysts cannot ask a multi-hop, evidence-backed question of their CTI estate and see, in one place, the graph path, the source report, the semantic neighbours, and whether an indicator is still actionable.</w:t>
      </w:r>
    </w:p>
    <w:p>
      <w:pPr>
        <w:spacing w:after="200" w:line="360"/>
        <w:jc w:val="both"/>
      </w:pPr>
      <w:r>
        <w:rPr>
          <w:rFonts w:ascii="Times New Roman" w:cs="Times New Roman" w:eastAsia="Times New Roman" w:hAnsi="Times New Roman"/>
          <w:sz w:val="24"/>
          <w:szCs w:val="24"/>
        </w:rPr>
        <w:t xml:space="preserve">Formally: </w:t>
      </w:r>
      <w:r>
        <w:rPr>
          <w:rFonts w:ascii="Times New Roman" w:cs="Times New Roman" w:eastAsia="Times New Roman" w:hAnsi="Times New Roman"/>
          <w:i/>
          <w:iCs/>
          <w:sz w:val="24"/>
          <w:szCs w:val="24"/>
        </w:rPr>
        <w:t xml:space="preserve">design and implement an operational CTI platform that uses polyglot NoSQL persistence and GraphRAG so that relationship queries, variable reports, volatile indicators, and semantic search are each served by the data model best suited to that task, with an analyst interface that returns cited answers and an ingest path that keeps all four stores consistent.</w:t>
      </w:r>
    </w:p>
    <w:p>
      <w:pPr>
        <w:pStyle w:val="Heading2"/>
        <w:spacing w:after="140" w:before="280"/>
      </w:pPr>
      <w:r>
        <w:rPr>
          <w:rFonts w:ascii="Times New Roman" w:cs="Times New Roman" w:eastAsia="Times New Roman" w:hAnsi="Times New Roman"/>
          <w:b/>
          <w:bCs/>
          <w:color w:val="1B4F72"/>
          <w:sz w:val="26"/>
          <w:szCs w:val="26"/>
        </w:rPr>
        <w:t xml:space="preserve">2.3  Why relational-only designs fail here</w:t>
      </w:r>
    </w:p>
    <w:p>
      <w:pPr>
        <w:spacing w:after="200" w:line="360"/>
        <w:jc w:val="both"/>
      </w:pPr>
      <w:r>
        <w:rPr>
          <w:rFonts w:ascii="Times New Roman" w:cs="Times New Roman" w:eastAsia="Times New Roman" w:hAnsi="Times New Roman"/>
          <w:sz w:val="24"/>
          <w:szCs w:val="24"/>
        </w:rPr>
        <w:t xml:space="preserve">A normalised relational schema can represent actors, campaigns, and indicators, but multi-hop questions become recursive joins or closure tables whose cost grows with path length and with the heterogeneity of edge types [12]. Report bodies and nested, report-specific objects (ICS protocol lists, build-pipeline metadata, attribution confidence objects) force either sparse columns, Entity–Attribute–Value anti-patterns, or frequent migrations [8]. Indicator blocklists require aggressive expiry; relational rows do not expire themselves. Semantic similarity is not a native relational operator. Stonebraker and Çetintemel’s argument that “one size fits all” has passed is therefore not a slogan in this domain—it is an observed mismatch between workload and engine [8].</w:t>
      </w:r>
    </w:p>
    <w:p>
      <w:pPr>
        <w:pStyle w:val="Heading2"/>
        <w:spacing w:after="140" w:before="280"/>
      </w:pPr>
      <w:r>
        <w:rPr>
          <w:rFonts w:ascii="Times New Roman" w:cs="Times New Roman" w:eastAsia="Times New Roman" w:hAnsi="Times New Roman"/>
          <w:b/>
          <w:bCs/>
          <w:color w:val="1B4F72"/>
          <w:sz w:val="26"/>
          <w:szCs w:val="26"/>
        </w:rPr>
        <w:t xml:space="preserve">2.4  Scope and non-goals</w:t>
      </w:r>
    </w:p>
    <w:p>
      <w:pPr>
        <w:spacing w:after="200" w:line="360"/>
        <w:jc w:val="both"/>
      </w:pPr>
      <w:r>
        <w:rPr>
          <w:rFonts w:ascii="Times New Roman" w:cs="Times New Roman" w:eastAsia="Times New Roman" w:hAnsi="Times New Roman"/>
          <w:sz w:val="24"/>
          <w:szCs w:val="24"/>
        </w:rPr>
        <w:t xml:space="preserve">The project is a complete CTI workstation: ingest, persistence, GraphRAG query, analyst dashboard, and enforcement-facing blocklist. It is not a national CERT product and does not replace commercial telemetry crawlers; it is a real platform that an organisation can run on its own infrastructure. In scope: STIX-aligned knowledge graph, schema-variable report store, TTL blocklist for SOC/EDR consumers, vector search over report text, locally hosted LLM (no mandatory cloud API) so classified or TLP-AMBER text never leaves the perimeter, role-based access by TLP, and an ingest pipeline that fans out writes to all four stores. Out of scope: generating offensive payloads, scraping live victim networks, or claiming new cryptanalysis. Evaluation in later reviews will measure query correctness against gold graph paths, blocklist freshness, GraphRAG groundedness (citation coverage), and latency SLOs per store—not open-domain QA leaderboards.</w:t>
      </w:r>
    </w:p>
    <w:p>
      <w:pPr>
        <w:pStyle w:val="Heading2"/>
        <w:spacing w:after="140" w:before="280"/>
      </w:pPr>
      <w:r>
        <w:rPr>
          <w:rFonts w:ascii="Times New Roman" w:cs="Times New Roman" w:eastAsia="Times New Roman" w:hAnsi="Times New Roman"/>
          <w:b/>
          <w:bCs/>
          <w:color w:val="1B4F72"/>
          <w:sz w:val="26"/>
          <w:szCs w:val="26"/>
        </w:rPr>
        <w:t xml:space="preserve">2.5  Objectives</w:t>
      </w:r>
    </w:p>
    <w:p>
      <w:pPr>
        <w:pStyle w:val="ListParagraph"/>
        <w:numPr>
          <w:ilvl w:val="0"/>
          <w:numId w:val="2"/>
        </w:numPr>
        <w:spacing w:after="80" w:line="276"/>
      </w:pPr>
      <w:r>
        <w:rPr>
          <w:rFonts w:ascii="Times New Roman" w:cs="Times New Roman" w:eastAsia="Times New Roman" w:hAnsi="Times New Roman"/>
          <w:sz w:val="24"/>
          <w:szCs w:val="24"/>
        </w:rPr>
        <w:t xml:space="preserve">To survey operational CTI systems, NoSQL models, RAG, and GraphRAG, and to state the engineering gap this platform closes.</w:t>
      </w:r>
    </w:p>
    <w:p>
      <w:pPr>
        <w:pStyle w:val="ListParagraph"/>
        <w:numPr>
          <w:ilvl w:val="0"/>
          <w:numId w:val="2"/>
        </w:numPr>
        <w:spacing w:after="80" w:line="276"/>
      </w:pPr>
      <w:r>
        <w:rPr>
          <w:rFonts w:ascii="Times New Roman" w:cs="Times New Roman" w:eastAsia="Times New Roman" w:hAnsi="Times New Roman"/>
          <w:sz w:val="24"/>
          <w:szCs w:val="24"/>
        </w:rPr>
        <w:t xml:space="preserve">To select four NoSQL stores (graph, document, key–value, vector) with an explicit, testable rationale for each production workload.</w:t>
      </w:r>
    </w:p>
    <w:p>
      <w:pPr>
        <w:pStyle w:val="ListParagraph"/>
        <w:numPr>
          <w:ilvl w:val="0"/>
          <w:numId w:val="2"/>
        </w:numPr>
        <w:spacing w:after="80" w:line="276"/>
      </w:pPr>
      <w:r>
        <w:rPr>
          <w:rFonts w:ascii="Times New Roman" w:cs="Times New Roman" w:eastAsia="Times New Roman" w:hAnsi="Times New Roman"/>
          <w:sz w:val="24"/>
          <w:szCs w:val="24"/>
        </w:rPr>
        <w:t xml:space="preserve">To specify a full architecture: ingest fan-out, GraphRAG orchestrator, TLP-aware API, and analyst operations dashboard.</w:t>
      </w:r>
    </w:p>
    <w:p>
      <w:pPr>
        <w:pStyle w:val="ListParagraph"/>
        <w:numPr>
          <w:ilvl w:val="0"/>
          <w:numId w:val="2"/>
        </w:numPr>
        <w:spacing w:after="80" w:line="276"/>
      </w:pPr>
      <w:r>
        <w:rPr>
          <w:rFonts w:ascii="Times New Roman" w:cs="Times New Roman" w:eastAsia="Times New Roman" w:hAnsi="Times New Roman"/>
          <w:sz w:val="24"/>
          <w:szCs w:val="24"/>
        </w:rPr>
        <w:t xml:space="preserve">To define graph, document, key–value, and vector schemas that support multi-hop CTI queries and schema-variable reports.</w:t>
      </w:r>
    </w:p>
    <w:p>
      <w:pPr>
        <w:pStyle w:val="ListParagraph"/>
        <w:numPr>
          <w:ilvl w:val="0"/>
          <w:numId w:val="2"/>
        </w:numPr>
        <w:spacing w:after="80" w:line="276"/>
      </w:pPr>
      <w:r>
        <w:rPr>
          <w:rFonts w:ascii="Times New Roman" w:cs="Times New Roman" w:eastAsia="Times New Roman" w:hAnsi="Times New Roman"/>
          <w:sz w:val="24"/>
          <w:szCs w:val="24"/>
        </w:rPr>
        <w:t xml:space="preserve">To plan implementation, evaluation (correctness, latency, groundedness), and subsequent project reviews.</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3.  Literature Survey</w:t>
      </w:r>
    </w:p>
    <w:p>
      <w:pPr>
        <w:spacing w:after="200" w:line="360"/>
        <w:jc w:val="both"/>
      </w:pPr>
      <w:r>
        <w:rPr>
          <w:rFonts w:ascii="Times New Roman" w:cs="Times New Roman" w:eastAsia="Times New Roman" w:hAnsi="Times New Roman"/>
          <w:sz w:val="24"/>
          <w:szCs w:val="24"/>
        </w:rPr>
        <w:t xml:space="preserve">This survey is organised around the data problems of operational cyber threat intelligence rather than around product catalogues. It first establishes what CTI is and why relationships dominate its value; reviews standards and sharing platforms; then examines each candidate data model (relational, graph, document, key–value, vector) and the generation stack (RAG, GraphRAG). It closes by positioning integrated platforms such as MISP and OpenCTI, which is the immediate background for the gaps in Section 4.</w:t>
      </w:r>
    </w:p>
    <w:p>
      <w:pPr>
        <w:pStyle w:val="Heading2"/>
        <w:spacing w:after="140" w:before="280"/>
      </w:pPr>
      <w:r>
        <w:rPr>
          <w:rFonts w:ascii="Times New Roman" w:cs="Times New Roman" w:eastAsia="Times New Roman" w:hAnsi="Times New Roman"/>
          <w:b/>
          <w:bCs/>
          <w:color w:val="1B4F72"/>
          <w:sz w:val="26"/>
          <w:szCs w:val="26"/>
        </w:rPr>
        <w:t xml:space="preserve">3.1  Cyber threat intelligence: definitions and the relationship problem</w:t>
      </w:r>
    </w:p>
    <w:p>
      <w:pPr>
        <w:spacing w:after="200" w:line="360"/>
        <w:jc w:val="both"/>
      </w:pPr>
      <w:r>
        <w:rPr>
          <w:rFonts w:ascii="Times New Roman" w:cs="Times New Roman" w:eastAsia="Times New Roman" w:hAnsi="Times New Roman"/>
          <w:sz w:val="24"/>
          <w:szCs w:val="24"/>
        </w:rPr>
        <w:t xml:space="preserve">Tounsi and Rais distinguish strategic, operational, and technical threat intelligence, and argue that the last of these—indicators, malware artefacts, and tactical procedures—is what automated defences actually consume [1]. Skopik, Settanni, and Fiedler frame sharing itself as a collective-defence problem: a problem shared is only “halved” if the receiving organisation can correlate the shared object with local context [2]. Both surveys converge on a point that storage architecture must respect: an IP address, a malware family name, or a spearphishing lure is weakly informative in isolation. Value appears when the same infrastructure is reused across actors, when a tool is common to crime and espionage clusters, or when a campaign’s initial-access technique matches a new report’s narrative. Liao et al. showed that even open-source “IOC games” are really extraction-plus-correlation problems, not lookup problems [6]. Husari et al.’s TTPDrill likewise treats unstructured CTI text as a source of ATT&amp;CK-like threat actions rather than as a bag of tokens [7]. Any storage architecture that cannot cheaply ask “what else is connected, two or three hops away?” is therefore fighting the structure of the domain.</w:t>
      </w:r>
    </w:p>
    <w:p>
      <w:pPr>
        <w:spacing w:after="200" w:line="360"/>
        <w:jc w:val="both"/>
      </w:pPr>
      <w:r>
        <w:rPr>
          <w:rFonts w:ascii="Times New Roman" w:cs="Times New Roman" w:eastAsia="Times New Roman" w:hAnsi="Times New Roman"/>
          <w:sz w:val="24"/>
          <w:szCs w:val="24"/>
        </w:rPr>
        <w:t xml:space="preserve">Industry practice agrees. MITRE ATT&amp;CK organises adversary behaviour as a graph of tactics and techniques rather than as a flat signature list [4]. ENISA threat-landscape reporting and vendor M-Trends-style analyses repeatedly describe clustering of activity by shared tooling and infrastructure, not by a single primary key [27], [28]. The implication for this project is direct: the canonical CTI query is a path query over a heterogeneous graph, optionally grounded in long-form text.</w:t>
      </w:r>
    </w:p>
    <w:p>
      <w:pPr>
        <w:pStyle w:val="Heading2"/>
        <w:spacing w:after="140" w:before="280"/>
      </w:pPr>
      <w:r>
        <w:rPr>
          <w:rFonts w:ascii="Times New Roman" w:cs="Times New Roman" w:eastAsia="Times New Roman" w:hAnsi="Times New Roman"/>
          <w:b/>
          <w:bCs/>
          <w:color w:val="1B4F72"/>
          <w:sz w:val="26"/>
          <w:szCs w:val="26"/>
        </w:rPr>
        <w:t xml:space="preserve">3.2  Standards and sharing platforms</w:t>
      </w:r>
    </w:p>
    <w:p>
      <w:pPr>
        <w:spacing w:after="200" w:line="360"/>
        <w:jc w:val="both"/>
      </w:pPr>
      <w:r>
        <w:rPr>
          <w:rFonts w:ascii="Times New Roman" w:cs="Times New Roman" w:eastAsia="Times New Roman" w:hAnsi="Times New Roman"/>
          <w:sz w:val="24"/>
          <w:szCs w:val="24"/>
        </w:rPr>
        <w:t xml:space="preserve">OASIS STIX 2.1 models CTI as a graph of STIX Domain Objects (SDOs) and STIX Relationship Objects (SROs), exchanged over TAXII [3]. The standard is explicitly relationship-centric: an indicator “indicates” a malware family; an intrusion set “uses” a tool; a campaign “targets” an identity. That is a property-graph schema in all but product name. Wagner et al. describe MISP as a collaborative sharing platform whose core abstraction is the event—an extensible bundle of attributes, objects, and galaxies [5]. MISP’s historical persistence engine is relational (MySQL/MariaDB), with objects mapped into tables and JSON-ish blobs; the sharing UX is excellent, but multi-hop “who shares this C2 with whom?” is not the native query model. OpenCTI, by contrast, is built around a knowledge-graph mental model and a modern microservice stack (search, queue, object storage) [16]. It is the closest production analogue to the present work. It still leaves three operational holes this platform fills: a first-class TTL enforcement cache distinct from historical intelligence; a vector index over report narrative for semantic recall; and a GraphRAG control plane that cites graph edges, document identifiers, and live IOC state together rather than offering search and chat as disconnected features.</w:t>
      </w:r>
    </w:p>
    <w:p>
      <w:pPr>
        <w:spacing w:after="200" w:line="360"/>
        <w:jc w:val="both"/>
      </w:pPr>
      <w:r>
        <w:rPr>
          <w:rFonts w:ascii="Times New Roman" w:cs="Times New Roman" w:eastAsia="Times New Roman" w:hAnsi="Times New Roman"/>
          <w:sz w:val="24"/>
          <w:szCs w:val="24"/>
        </w:rPr>
        <w:t xml:space="preserve">The standards landscape therefore supplies the ontology (ATT&amp;CK, STIX) and the sharing UX (MISP, OpenCTI, commercial TI platforms), but it does not settle the storage question. STIX can be serialised as JSON into a document store, projected as nodes and edges into Neo4j, indexed as embeddings in a vector database, or cached as indicator keys in Redis. The interesting design problem—the one this project takes as primary—is which projection to use for which operation.</w:t>
      </w:r>
    </w:p>
    <w:p>
      <w:pPr>
        <w:pStyle w:val="Heading2"/>
        <w:spacing w:after="140" w:before="280"/>
      </w:pPr>
      <w:r>
        <w:rPr>
          <w:rFonts w:ascii="Times New Roman" w:cs="Times New Roman" w:eastAsia="Times New Roman" w:hAnsi="Times New Roman"/>
          <w:b/>
          <w:bCs/>
          <w:color w:val="1B4F72"/>
          <w:sz w:val="26"/>
          <w:szCs w:val="26"/>
        </w:rPr>
        <w:t xml:space="preserve">3.3  Limitations of relational stores for CTI workloads</w:t>
      </w:r>
    </w:p>
    <w:p>
      <w:pPr>
        <w:spacing w:after="200" w:line="360"/>
        <w:jc w:val="both"/>
      </w:pPr>
      <w:r>
        <w:rPr>
          <w:rFonts w:ascii="Times New Roman" w:cs="Times New Roman" w:eastAsia="Times New Roman" w:hAnsi="Times New Roman"/>
          <w:sz w:val="24"/>
          <w:szCs w:val="24"/>
        </w:rPr>
        <w:t xml:space="preserve">Cattell’s survey of scalable SQL and NoSQL stores remains a useful map of the design space: clustered relational systems scale some workloads, but they do not erase the impedance mismatch between tables and variable documents or recursive graphs [10]. Stonebraker’s “one size fits all” critique is older than the NoSQL marketing wave and more precise than it: specialised engines win when the data model and the query operators match the workload [8]. CTI exhibits three such mismatches at once.</w:t>
      </w:r>
    </w:p>
    <w:p>
      <w:pPr>
        <w:spacing w:after="200" w:line="360"/>
        <w:jc w:val="both"/>
      </w:pPr>
      <w:r>
        <w:rPr>
          <w:rFonts w:ascii="Times New Roman" w:cs="Times New Roman" w:eastAsia="Times New Roman" w:hAnsi="Times New Roman"/>
          <w:sz w:val="24"/>
          <w:szCs w:val="24"/>
        </w:rPr>
        <w:t xml:space="preserve">First, graph-shaped queries. Computing “actors two hops from FIN7 via shared tooling” in SQL is a join of actor–uses–malware with malware–used-by–actor, unioned with further hops, with DISTINCT to break cycles. Query planners do this; they do not like doing it repeatedly at interactive latency on dense hubs such as Mimikatz or Cobalt Strike. Graph databases treat that pattern as a first-class traversal [12], [26].</w:t>
      </w:r>
    </w:p>
    <w:p>
      <w:pPr>
        <w:spacing w:after="200" w:line="360"/>
        <w:jc w:val="both"/>
      </w:pPr>
      <w:r>
        <w:rPr>
          <w:rFonts w:ascii="Times New Roman" w:cs="Times New Roman" w:eastAsia="Times New Roman" w:hAnsi="Times New Roman"/>
          <w:sz w:val="24"/>
          <w:szCs w:val="24"/>
        </w:rPr>
        <w:t xml:space="preserve">Second, schema drift. A SolarWinds report needs a nested build-pipeline object and a list of MITRE IDs; an Industroyer report needs ICS protocol names and outage duration; a POS-skimming report needs payment brands. Forcing these into one wide table produces nulls and migrations; splitting them into subclass tables produces join storms on the common case (list all reports mentioning an actor). Document stores accept this heterogeneity as the default [9], [17].</w:t>
      </w:r>
    </w:p>
    <w:p>
      <w:pPr>
        <w:spacing w:after="200" w:line="360"/>
        <w:jc w:val="both"/>
      </w:pPr>
      <w:r>
        <w:rPr>
          <w:rFonts w:ascii="Times New Roman" w:cs="Times New Roman" w:eastAsia="Times New Roman" w:hAnsi="Times New Roman"/>
          <w:sz w:val="24"/>
          <w:szCs w:val="24"/>
        </w:rPr>
        <w:t xml:space="preserve">Third, volatility. Many indicators are useful for hours to days, not years. Relational delete jobs can implement expiry; they do not make expiry a property of the datum. Key–value stores with TTL do [18]. Brewer’s CAP discussion applies when stores are clustered independently: this architecture picks consistency and lifetime semantics per working set—strong, typed consistency on the graph and documents; eventual expiry on the hot blocklist—rather than one global rule [11].</w:t>
      </w:r>
    </w:p>
    <w:p>
      <w:pPr>
        <w:pStyle w:val="Heading2"/>
        <w:spacing w:after="140" w:before="280"/>
      </w:pPr>
      <w:r>
        <w:rPr>
          <w:rFonts w:ascii="Times New Roman" w:cs="Times New Roman" w:eastAsia="Times New Roman" w:hAnsi="Times New Roman"/>
          <w:b/>
          <w:bCs/>
          <w:color w:val="1B4F72"/>
          <w:sz w:val="26"/>
          <w:szCs w:val="26"/>
        </w:rPr>
        <w:t xml:space="preserve">3.4  NoSQL models and polyglot persistence</w:t>
      </w:r>
    </w:p>
    <w:p>
      <w:pPr>
        <w:spacing w:after="200" w:line="360"/>
        <w:jc w:val="both"/>
      </w:pPr>
      <w:r>
        <w:rPr>
          <w:rFonts w:ascii="Times New Roman" w:cs="Times New Roman" w:eastAsia="Times New Roman" w:hAnsi="Times New Roman"/>
          <w:sz w:val="24"/>
          <w:szCs w:val="24"/>
        </w:rPr>
        <w:t xml:space="preserve">Sadalage and Fowler popularised polyglot persistence: using different data stores for different kinds of data inside one application, rather than stretching a single engine [9]. This project treats that as an operational requirement of CTI, not a slogan. Four models are in scope.</w:t>
      </w:r>
    </w:p>
    <w:p>
      <w:pPr>
        <w:spacing w:after="200" w:line="360"/>
        <w:jc w:val="both"/>
      </w:pPr>
      <w:r>
        <w:rPr>
          <w:rFonts w:ascii="Times New Roman" w:cs="Times New Roman" w:eastAsia="Times New Roman" w:hAnsi="Times New Roman"/>
          <w:b/>
          <w:bCs/>
          <w:sz w:val="24"/>
          <w:szCs w:val="24"/>
        </w:rPr>
        <w:t xml:space="preserve">Property graphs. </w:t>
      </w:r>
      <w:r>
        <w:rPr>
          <w:rFonts w:ascii="Times New Roman" w:cs="Times New Roman" w:eastAsia="Times New Roman" w:hAnsi="Times New Roman"/>
          <w:sz w:val="24"/>
          <w:szCs w:val="24"/>
        </w:rPr>
        <w:t xml:space="preserve">Nodes have labels and properties; relationships are typed, directed, and can themselves carry properties. Cypher (Neo4j) and similar languages express variable-length paths without encoding the path as a table [12], [26]. This is the natural home of STIX-like CTI.</w:t>
      </w:r>
    </w:p>
    <w:p>
      <w:pPr>
        <w:spacing w:after="200" w:line="360"/>
        <w:jc w:val="both"/>
      </w:pPr>
      <w:r>
        <w:rPr>
          <w:rFonts w:ascii="Times New Roman" w:cs="Times New Roman" w:eastAsia="Times New Roman" w:hAnsi="Times New Roman"/>
          <w:b/>
          <w:bCs/>
          <w:sz w:val="24"/>
          <w:szCs w:val="24"/>
        </w:rPr>
        <w:t xml:space="preserve">Documents. </w:t>
      </w:r>
      <w:r>
        <w:rPr>
          <w:rFonts w:ascii="Times New Roman" w:cs="Times New Roman" w:eastAsia="Times New Roman" w:hAnsi="Times New Roman"/>
          <w:sz w:val="24"/>
          <w:szCs w:val="24"/>
        </w:rPr>
        <w:t xml:space="preserve">JSON/BSON documents are trees. They fit reports, after-action write-ups, and vendor PDFs once parsed. Schema-on-read means two reports in the same collection need not share nested keys [17].</w:t>
      </w:r>
    </w:p>
    <w:p>
      <w:pPr>
        <w:spacing w:after="200" w:line="360"/>
        <w:jc w:val="both"/>
      </w:pPr>
      <w:r>
        <w:rPr>
          <w:rFonts w:ascii="Times New Roman" w:cs="Times New Roman" w:eastAsia="Times New Roman" w:hAnsi="Times New Roman"/>
          <w:b/>
          <w:bCs/>
          <w:sz w:val="24"/>
          <w:szCs w:val="24"/>
        </w:rPr>
        <w:t xml:space="preserve">Key–value. </w:t>
      </w:r>
      <w:r>
        <w:rPr>
          <w:rFonts w:ascii="Times New Roman" w:cs="Times New Roman" w:eastAsia="Times New Roman" w:hAnsi="Times New Roman"/>
          <w:sz w:val="24"/>
          <w:szCs w:val="24"/>
        </w:rPr>
        <w:t xml:space="preserve">The simplest NoSQL model. A key (for example ioc:ip:185.86.77.12) maps to a blob. Operations are O(1) GET/SET with optional expiry. The model is a poor fit for “find all actors related to this campaign” and an excellent fit for “is this indicator currently blocked?” [18].</w:t>
      </w:r>
    </w:p>
    <w:p>
      <w:pPr>
        <w:spacing w:after="200" w:line="360"/>
        <w:jc w:val="both"/>
      </w:pPr>
      <w:r>
        <w:rPr>
          <w:rFonts w:ascii="Times New Roman" w:cs="Times New Roman" w:eastAsia="Times New Roman" w:hAnsi="Times New Roman"/>
          <w:b/>
          <w:bCs/>
          <w:sz w:val="24"/>
          <w:szCs w:val="24"/>
        </w:rPr>
        <w:t xml:space="preserve">Vectors. </w:t>
      </w:r>
      <w:r>
        <w:rPr>
          <w:rFonts w:ascii="Times New Roman" w:cs="Times New Roman" w:eastAsia="Times New Roman" w:hAnsi="Times New Roman"/>
          <w:sz w:val="24"/>
          <w:szCs w:val="24"/>
        </w:rPr>
        <w:t xml:space="preserve">Embeddings place passages in a high-dimensional space so that cosine or inner-product nearest neighbours approximate semantic similarity. Indexes such as HNSW make approximate k-NN practical [19], [20], [30]. This is not a replacement for a knowledge graph: two reports can be semantically close without sharing a single infrastructure node, and two actors can share infrastructure without similar prose.</w:t>
      </w:r>
    </w:p>
    <w:p>
      <w:pPr>
        <w:spacing w:after="200" w:line="360"/>
        <w:jc w:val="both"/>
      </w:pPr>
      <w:r>
        <w:rPr>
          <w:rFonts w:ascii="Times New Roman" w:cs="Times New Roman" w:eastAsia="Times New Roman" w:hAnsi="Times New Roman"/>
          <w:sz w:val="24"/>
          <w:szCs w:val="24"/>
        </w:rPr>
        <w:t xml:space="preserve">Polyglot persistence is justified only when the application actually issues the queries that each engine is good at. A system that writes everything to MongoDB and then pretends to be a graph is not polyglot; it is a document store with extra latency. The architecture in Section 7 therefore assigns each engine a closed set of operations and forbids using it as a general dumping ground.</w:t>
      </w:r>
    </w:p>
    <w:p>
      <w:pPr>
        <w:pStyle w:val="Heading2"/>
        <w:spacing w:after="140" w:before="280"/>
      </w:pPr>
      <w:r>
        <w:rPr>
          <w:rFonts w:ascii="Times New Roman" w:cs="Times New Roman" w:eastAsia="Times New Roman" w:hAnsi="Times New Roman"/>
          <w:b/>
          <w:bCs/>
          <w:color w:val="1B4F72"/>
          <w:sz w:val="26"/>
          <w:szCs w:val="26"/>
        </w:rPr>
        <w:t xml:space="preserve">3.5  Graph databases for cybersecurity knowledge</w:t>
      </w:r>
    </w:p>
    <w:p>
      <w:pPr>
        <w:spacing w:after="200" w:line="360"/>
        <w:jc w:val="both"/>
      </w:pPr>
      <w:r>
        <w:rPr>
          <w:rFonts w:ascii="Times New Roman" w:cs="Times New Roman" w:eastAsia="Times New Roman" w:hAnsi="Times New Roman"/>
          <w:sz w:val="24"/>
          <w:szCs w:val="24"/>
        </w:rPr>
        <w:t xml:space="preserve">Robinson, Webber, and Eifrem argue that graphs win when the problem is the connections [12]. Cybersecurity was an early adopter. Noel et al.’s CyGraph combined network topology, vulnerabilities, and attack paths into a graph analytic environment, showing that path queries support both defence and mission impact [13]. Piplai et al. constructed cybersecurity knowledge graphs from malware after-action reports, linking extracted entities into a typed graph that can be queried beyond keyword search [14]. Sarhan and Spruit’s Open-CyKG similarly publishes an open CTI knowledge graph extracted from reports [15]. These works establish two results this project relies on: (1) CTI entities and relations can be extracted or curated into a property graph; (2) the graph is useful for questions that keyword search misses.</w:t>
      </w:r>
    </w:p>
    <w:p>
      <w:pPr>
        <w:spacing w:after="200" w:line="360"/>
        <w:jc w:val="both"/>
      </w:pPr>
      <w:r>
        <w:rPr>
          <w:rFonts w:ascii="Times New Roman" w:cs="Times New Roman" w:eastAsia="Times New Roman" w:hAnsi="Times New Roman"/>
          <w:sz w:val="24"/>
          <w:szCs w:val="24"/>
        </w:rPr>
        <w:t xml:space="preserve">They also leave a storage lesson unstated. Once the graph exists, keeping the raw report only as a node property does not scale to long, variably structured documents, and it does not give semantic nearest-neighbour search. Conversely, a knowledge graph without a vector index cannot retrieve “reports like this spearphish against a political organisation” unless that phrase was pre-encoded as a node. Graph-plus-document-plus-vector is therefore a completion of the CyKG line of work, not a contradiction of it.</w:t>
      </w:r>
    </w:p>
    <w:p>
      <w:pPr>
        <w:spacing w:after="200" w:line="360"/>
        <w:jc w:val="both"/>
      </w:pPr>
      <w:r>
        <w:rPr>
          <w:rFonts w:ascii="Times New Roman" w:cs="Times New Roman" w:eastAsia="Times New Roman" w:hAnsi="Times New Roman"/>
          <w:sz w:val="24"/>
          <w:szCs w:val="24"/>
        </w:rPr>
        <w:t xml:space="preserve">Neo4j is selected as the graph engine because the labelled-property-graph model maps onto STIX-like CTI, Cypher expresses variable-length paths as first-class queries, and the engine is proven in production knowledge-graph deployments [12], [26]. Alternatives (JanusGraph, Memgraph, Amazon Neptune, Kuzu) do not change the data-model argument; clustering Neo4j is a deployment choice, not a schema change.</w:t>
      </w:r>
    </w:p>
    <w:p>
      <w:pPr>
        <w:pStyle w:val="Heading2"/>
        <w:spacing w:after="140" w:before="280"/>
      </w:pPr>
      <w:r>
        <w:rPr>
          <w:rFonts w:ascii="Times New Roman" w:cs="Times New Roman" w:eastAsia="Times New Roman" w:hAnsi="Times New Roman"/>
          <w:b/>
          <w:bCs/>
          <w:color w:val="1B4F72"/>
          <w:sz w:val="26"/>
          <w:szCs w:val="26"/>
        </w:rPr>
        <w:t xml:space="preserve">3.6  Document stores for heterogeneous CTI reports</w:t>
      </w:r>
    </w:p>
    <w:p>
      <w:pPr>
        <w:spacing w:after="200" w:line="360"/>
        <w:jc w:val="both"/>
      </w:pPr>
      <w:r>
        <w:rPr>
          <w:rFonts w:ascii="Times New Roman" w:cs="Times New Roman" w:eastAsia="Times New Roman" w:hAnsi="Times New Roman"/>
          <w:sz w:val="24"/>
          <w:szCs w:val="24"/>
        </w:rPr>
        <w:t xml:space="preserve">Technical CTI is not only indicators. It is prose: how SUNBURST waited through a dormant period; how NotPetya’s ransom note was a façade; how Scattered Spider social-engineers help desks. Liao et al. and Husari et al. both start from unstructured text [6], [7]. Piplai et al. start from after-action reports [14]. A document database is the appropriate system of record for those artefacts because each report is a self-contained JSON tree whose nested shape follows the incident, not a global schema [9], [17].</w:t>
      </w:r>
    </w:p>
    <w:p>
      <w:pPr>
        <w:spacing w:after="200" w:line="360"/>
        <w:jc w:val="both"/>
      </w:pPr>
      <w:r>
        <w:rPr>
          <w:rFonts w:ascii="Times New Roman" w:cs="Times New Roman" w:eastAsia="Times New Roman" w:hAnsi="Times New Roman"/>
          <w:sz w:val="24"/>
          <w:szCs w:val="24"/>
        </w:rPr>
        <w:t xml:space="preserve">MongoDB is selected as the report system of record: BSON, secondary indexes on common fields (actor id, TLP, date), change streams for ingest fan-out, and the ability to store attribution objects, YARA rule names, ICS protocol arrays, and missing IOC lists side by side. Couchbase, DocumentDB, or PostgreSQL JSONB could hold the same trees; they are not chosen because the document model is required, and MongoDB’s operational tooling matches a CTI ingest pipeline.</w:t>
      </w:r>
    </w:p>
    <w:p>
      <w:pPr>
        <w:pStyle w:val="Heading2"/>
        <w:spacing w:after="140" w:before="280"/>
      </w:pPr>
      <w:r>
        <w:rPr>
          <w:rFonts w:ascii="Times New Roman" w:cs="Times New Roman" w:eastAsia="Times New Roman" w:hAnsi="Times New Roman"/>
          <w:b/>
          <w:bCs/>
          <w:color w:val="1B4F72"/>
          <w:sz w:val="26"/>
          <w:szCs w:val="26"/>
        </w:rPr>
        <w:t xml:space="preserve">3.7  Key–value caches and indicator volatility</w:t>
      </w:r>
    </w:p>
    <w:p>
      <w:pPr>
        <w:spacing w:after="200" w:line="360"/>
        <w:jc w:val="both"/>
      </w:pPr>
      <w:r>
        <w:rPr>
          <w:rFonts w:ascii="Times New Roman" w:cs="Times New Roman" w:eastAsia="Times New Roman" w:hAnsi="Times New Roman"/>
          <w:sz w:val="24"/>
          <w:szCs w:val="24"/>
        </w:rPr>
        <w:t xml:space="preserve">Indicators of compromise have a half-life. Fast-flux infrastructure, sinkholed domains, and rotating leak-site hostnames mean that yesterday’s blocklist entry may be actively harmful (false positives) or simply dead. Sharing platforms retain history—which is necessary for forensics—but enforcement paths need a hot set. Redis-style stores provide GET/SET with per-key TTL and eviction policies [18]. In a SOC pipeline this is the difference between a SIEM table scan and an in-memory membership check on a firewall or EDR integration.</w:t>
      </w:r>
    </w:p>
    <w:p>
      <w:pPr>
        <w:spacing w:after="200" w:line="360"/>
        <w:jc w:val="both"/>
      </w:pPr>
      <w:r>
        <w:rPr>
          <w:rFonts w:ascii="Times New Roman" w:cs="Times New Roman" w:eastAsia="Times New Roman" w:hAnsi="Times New Roman"/>
          <w:sz w:val="24"/>
          <w:szCs w:val="24"/>
        </w:rPr>
        <w:t xml:space="preserve">Redis is not “a cache because web applications have caches.” It is the enforcement plane: freshness as a first-class property of each indicator [18]. The operations dashboard shows remaining TTL because SOC operators must know whether a block is still live. When a key expires, the graph and the report still retain historical presence; the blocklist no longer asserts that the indicator is currently actionable. Downstream firewall or EDR integrations consume this hot set, not a SQL table scan.</w:t>
      </w:r>
    </w:p>
    <w:p>
      <w:pPr>
        <w:pStyle w:val="Heading2"/>
        <w:spacing w:after="140" w:before="280"/>
      </w:pPr>
      <w:r>
        <w:rPr>
          <w:rFonts w:ascii="Times New Roman" w:cs="Times New Roman" w:eastAsia="Times New Roman" w:hAnsi="Times New Roman"/>
          <w:b/>
          <w:bCs/>
          <w:color w:val="1B4F72"/>
          <w:sz w:val="26"/>
          <w:szCs w:val="26"/>
        </w:rPr>
        <w:t xml:space="preserve">3.8  Vector databases and dense retrieval</w:t>
      </w:r>
    </w:p>
    <w:p>
      <w:pPr>
        <w:spacing w:after="200" w:line="360"/>
        <w:jc w:val="both"/>
      </w:pPr>
      <w:r>
        <w:rPr>
          <w:rFonts w:ascii="Times New Roman" w:cs="Times New Roman" w:eastAsia="Times New Roman" w:hAnsi="Times New Roman"/>
          <w:sz w:val="24"/>
          <w:szCs w:val="24"/>
        </w:rPr>
        <w:t xml:space="preserve">Karpukhin et al.’s Dense Passage Retrieval showed that dual-encoder embeddings outperform BM25 on many open-domain QA retrieval tasks [22]. Malkov and Yashunin’s HNSW graphs made approximate nearest neighbour search efficient enough for interactive applications [19]. FAISS demonstrated billion-scale similarity search [30]. Productised vector databases such as Qdrant wrap these indexes with payload filters and collections [20]. For CTI, the payoff is semantic recall: a query about “supply-chain compromise of signed software updates” should retrieve SolarWinds, MeDoc/NotPetya, and 3CX write-ups even if they share few keywords. That is precisely the class of match that graph structure alone does not give (those campaigns do not share a single actor) and that Boolean keyword search on “supply chain” only partially gives.</w:t>
      </w:r>
    </w:p>
    <w:p>
      <w:pPr>
        <w:spacing w:after="200" w:line="360"/>
        <w:jc w:val="both"/>
      </w:pPr>
      <w:r>
        <w:rPr>
          <w:rFonts w:ascii="Times New Roman" w:cs="Times New Roman" w:eastAsia="Times New Roman" w:hAnsi="Times New Roman"/>
          <w:sz w:val="24"/>
          <w:szCs w:val="24"/>
        </w:rPr>
        <w:t xml:space="preserve">Vector search fails in characteristic ways that GraphRAG must handle in production. Commodity terms (“phishing”, “Mimikatz”) retrieve too much. Rare malware family names retrieve well only if they appeared in the embedding corpus. The platform therefore uses vectors to pull narrative context, then constrains and expands with the graph so that semantic recall cannot invent a relationship that Cypher does not support [23], [24].</w:t>
      </w:r>
    </w:p>
    <w:p>
      <w:pPr>
        <w:pStyle w:val="Heading2"/>
        <w:spacing w:after="140" w:before="280"/>
      </w:pPr>
      <w:r>
        <w:rPr>
          <w:rFonts w:ascii="Times New Roman" w:cs="Times New Roman" w:eastAsia="Times New Roman" w:hAnsi="Times New Roman"/>
          <w:b/>
          <w:bCs/>
          <w:color w:val="1B4F72"/>
          <w:sz w:val="26"/>
          <w:szCs w:val="26"/>
        </w:rPr>
        <w:t xml:space="preserve">3.9  From RAG to GraphRAG</w:t>
      </w:r>
    </w:p>
    <w:p>
      <w:pPr>
        <w:spacing w:after="200" w:line="360"/>
        <w:jc w:val="both"/>
      </w:pPr>
      <w:r>
        <w:rPr>
          <w:rFonts w:ascii="Times New Roman" w:cs="Times New Roman" w:eastAsia="Times New Roman" w:hAnsi="Times New Roman"/>
          <w:sz w:val="24"/>
          <w:szCs w:val="24"/>
        </w:rPr>
        <w:t xml:space="preserve">Lewis et al. introduced retrieval-augmented generation as a way to ground sequence-to-sequence models in a non-parametric memory, reducing hallucination on knowledge-intensive tasks [21]. The RAG pattern—retrieve passages, then generate—has become the default architecture for “chat with your documents.” It is not sufficient for CTI. Passages do not reliably encode multi-hop constraints such as “shared C2 but different malware families.” Yasunaga et al.’s QA-GNN already combined language models with knowledge-graph reasoning for QA [25]. Edge et al.’s Graph RAG (Microsoft) builds a graph over source documents (including community summaries) so that query-focused summarisation can use both local neighbours and global structure [23]. Peng et al. survey the rapidly growing GraphRAG family: retrieve nodes/paths/subgraphs, optionally rerank, then generate [24].</w:t>
      </w:r>
    </w:p>
    <w:p>
      <w:pPr>
        <w:spacing w:after="200" w:line="360"/>
        <w:jc w:val="both"/>
      </w:pPr>
      <w:r>
        <w:rPr>
          <w:rFonts w:ascii="Times New Roman" w:cs="Times New Roman" w:eastAsia="Times New Roman" w:hAnsi="Times New Roman"/>
          <w:sz w:val="24"/>
          <w:szCs w:val="24"/>
        </w:rPr>
        <w:t xml:space="preserve">This platform instantiates a CTI-specific GraphRAG loop rather than Microsoft’s community-summary construction over general corpora. Retrieval is four-channel: (1) embedding nearest neighbours in Qdrant; (2) Cypher expansions in Neo4j; (3) full-document hydration in MongoDB; (4) live IOC state in Redis. Generation is constrained to that context pack and is executed on a locally hosted LLM so that TLP-restricted reports never require a cloud API. Relative to Lewis et al. the contribution is the typed graph channel plus live blocklist state; relative to Edge et al. it is the polyglot CTI mapping and citation into operational stores; relative to OpenCTI it is grounded natural-language Q&amp;A that is obligated to name its graph edges, document ids, and IOC TTLs.</w:t>
      </w:r>
    </w:p>
    <w:p>
      <w:pPr>
        <w:spacing w:after="200" w:line="360"/>
        <w:jc w:val="both"/>
      </w:pPr>
      <w:r>
        <w:rPr>
          <w:rFonts w:ascii="Times New Roman" w:cs="Times New Roman" w:eastAsia="Times New Roman" w:hAnsi="Times New Roman"/>
          <w:sz w:val="24"/>
          <w:szCs w:val="24"/>
        </w:rPr>
        <w:t xml:space="preserve">Risks are acknowledged. LLMs still paraphrase incorrectly even with retrieved context. The mitigation is architectural and operational: every answer is displayed beside the retrieved hops, passages, and IOC states; the model is a renderer of evidence, not an authority; and later evaluation scores answers against gold paths in the knowledge graph and against a citation-coverage rubric.</w:t>
      </w:r>
    </w:p>
    <w:p>
      <w:pPr>
        <w:pStyle w:val="Heading2"/>
        <w:spacing w:after="140" w:before="280"/>
      </w:pPr>
      <w:r>
        <w:rPr>
          <w:rFonts w:ascii="Times New Roman" w:cs="Times New Roman" w:eastAsia="Times New Roman" w:hAnsi="Times New Roman"/>
          <w:b/>
          <w:bCs/>
          <w:color w:val="1B4F72"/>
          <w:sz w:val="26"/>
          <w:szCs w:val="26"/>
        </w:rPr>
        <w:t xml:space="preserve">3.10  Integrated CTI platforms: what exists and what is still missing</w:t>
      </w:r>
    </w:p>
    <w:p>
      <w:pPr>
        <w:spacing w:after="200" w:line="360"/>
        <w:jc w:val="both"/>
      </w:pPr>
      <w:r>
        <w:rPr>
          <w:rFonts w:ascii="Times New Roman" w:cs="Times New Roman" w:eastAsia="Times New Roman" w:hAnsi="Times New Roman"/>
          <w:sz w:val="24"/>
          <w:szCs w:val="24"/>
        </w:rPr>
        <w:t xml:space="preserve">MISP remains the open standard for sharing indicators and events among CSIRTs [5]. OpenCTI is the leading open graph-shaped CTI workstation [16]. Commercial platforms (Recorded Future, ThreatConnect, Mandiant Advantage, and others) add scoring, crawling, and analyst workflow [28]. Academic CyKGs add extraction from reports into graphs [14], [15]. RAG systems add NL interfaces over text dumps [21]. No widely deployed system simultaneously (a) keeps relationship, document, volatile-indicator, and semantic-search workloads on native NoSQL engines with an explicit operation set per store, (b) runs GraphRAG over CTI with citations into those engines, and (c) exposes hops, TTLs, and embedding neighbourhoods so that an analyst can audit why an answer was produced. That operational combination is the niche of this platform. It is designed to ingest a growing corpus (STIX bundles and free-text reports) rather than to remain a static sample, and to be operated as a workstation rather than as a single-database application.</w:t>
      </w:r>
    </w:p>
    <w:p>
      <w:pPr>
        <w:pStyle w:val="Heading2"/>
        <w:spacing w:after="140" w:before="280"/>
      </w:pPr>
      <w:r>
        <w:rPr>
          <w:rFonts w:ascii="Times New Roman" w:cs="Times New Roman" w:eastAsia="Times New Roman" w:hAnsi="Times New Roman"/>
          <w:b/>
          <w:bCs/>
          <w:color w:val="1B4F72"/>
          <w:sz w:val="26"/>
          <w:szCs w:val="26"/>
        </w:rPr>
        <w:t xml:space="preserve">3.11  Summary of the survey</w:t>
      </w:r>
    </w:p>
    <w:p>
      <w:pPr>
        <w:spacing w:after="200" w:line="360"/>
        <w:jc w:val="both"/>
      </w:pPr>
      <w:r>
        <w:rPr>
          <w:rFonts w:ascii="Times New Roman" w:cs="Times New Roman" w:eastAsia="Times New Roman" w:hAnsi="Times New Roman"/>
          <w:sz w:val="24"/>
          <w:szCs w:val="24"/>
        </w:rPr>
        <w:t xml:space="preserve">The literature yields five design commitments. CTI value is in relationships and in prose, not in isolated indicators [1], [6]. Standards already describe a graph (STIX, ATT&amp;CK) [3], [4]. One storage engine cannot serve path queries, schema-variable documents, volatile hot keys, and semantic k-NN equally well [8], [9]. Knowledge graphs for cyber exist but rarely close the loop with vectors and TTL caches [13]–[16]. RAG must be graph-augmented to answer multi-hop CTI questions without unconstrained hallucination [21], [23], [24]. Section 4 turns these commitments into explicit gaps; Sections 6–8 turn them into store selection, architecture, and schemas.</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4.  Gaps Identified</w:t>
      </w:r>
    </w:p>
    <w:p>
      <w:pPr>
        <w:spacing w:after="200" w:line="360"/>
        <w:jc w:val="both"/>
      </w:pPr>
      <w:r>
        <w:rPr>
          <w:rFonts w:ascii="Times New Roman" w:cs="Times New Roman" w:eastAsia="Times New Roman" w:hAnsi="Times New Roman"/>
          <w:sz w:val="24"/>
          <w:szCs w:val="24"/>
        </w:rPr>
        <w:t xml:space="preserve">The survey does not claim that CTI platforms or GraphRAG papers are absent. It claims that the following gaps remain, and that they are the ones this project is designed to close.</w:t>
      </w:r>
    </w:p>
    <w:p>
      <w:pPr>
        <w:pStyle w:val="Heading3"/>
        <w:spacing w:after="100" w:before="200"/>
      </w:pPr>
      <w:r>
        <w:rPr>
          <w:rFonts w:ascii="Times New Roman" w:cs="Times New Roman" w:eastAsia="Times New Roman" w:hAnsi="Times New Roman"/>
          <w:b/>
          <w:bCs/>
          <w:i/>
          <w:iCs/>
          <w:color w:val="1A1A1A"/>
          <w:sz w:val="24"/>
          <w:szCs w:val="24"/>
        </w:rPr>
        <w:t xml:space="preserve">Gap G1 — One engine is forced to serve four incompatible CTI workloads</w:t>
      </w:r>
    </w:p>
    <w:p>
      <w:pPr>
        <w:spacing w:after="200" w:line="360"/>
        <w:jc w:val="both"/>
      </w:pPr>
      <w:r>
        <w:rPr>
          <w:rFonts w:ascii="Times New Roman" w:cs="Times New Roman" w:eastAsia="Times New Roman" w:hAnsi="Times New Roman"/>
          <w:sz w:val="24"/>
          <w:szCs w:val="24"/>
        </w:rPr>
        <w:t xml:space="preserve">Production stacks often hide polyglot choices behind a single API, or collapse everything into search-plus-relational. Path queries, schema-variable reports, volatile hot keys, and dense k-NN then share an engine that is optimal for at most one of them [8], [9]. The result is either slow multi-hop correlation or a second unofficial store that operators cannot query together.</w:t>
      </w:r>
    </w:p>
    <w:p>
      <w:pPr>
        <w:pStyle w:val="Heading3"/>
        <w:spacing w:after="100" w:before="200"/>
      </w:pPr>
      <w:r>
        <w:rPr>
          <w:rFonts w:ascii="Times New Roman" w:cs="Times New Roman" w:eastAsia="Times New Roman" w:hAnsi="Times New Roman"/>
          <w:b/>
          <w:bCs/>
          <w:i/>
          <w:iCs/>
          <w:color w:val="1A1A1A"/>
          <w:sz w:val="24"/>
          <w:szCs w:val="24"/>
        </w:rPr>
        <w:t xml:space="preserve">Gap G2 — Sharing platforms are not query-native graphs with enforcement state</w:t>
      </w:r>
    </w:p>
    <w:p>
      <w:pPr>
        <w:spacing w:after="200" w:line="360"/>
        <w:jc w:val="both"/>
      </w:pPr>
      <w:r>
        <w:rPr>
          <w:rFonts w:ascii="Times New Roman" w:cs="Times New Roman" w:eastAsia="Times New Roman" w:hAnsi="Times New Roman"/>
          <w:sz w:val="24"/>
          <w:szCs w:val="24"/>
        </w:rPr>
        <w:t xml:space="preserve">MISP’s strength is dissemination of events, not interactive multi-hop queries over a labelled property graph coupled to a live blocklist [5]. OpenCTI is graph-native as a product but does not treat TTL enforcement, vector narrative search, and cited GraphRAG as first-class, co-equal planes [16].</w:t>
      </w:r>
    </w:p>
    <w:p>
      <w:pPr>
        <w:pStyle w:val="Heading3"/>
        <w:spacing w:after="100" w:before="200"/>
      </w:pPr>
      <w:r>
        <w:rPr>
          <w:rFonts w:ascii="Times New Roman" w:cs="Times New Roman" w:eastAsia="Times New Roman" w:hAnsi="Times New Roman"/>
          <w:b/>
          <w:bCs/>
          <w:i/>
          <w:iCs/>
          <w:color w:val="1A1A1A"/>
          <w:sz w:val="24"/>
          <w:szCs w:val="24"/>
        </w:rPr>
        <w:t xml:space="preserve">Gap G3 — Knowledge graphs stop before volatile indicators and semantic recall</w:t>
      </w:r>
    </w:p>
    <w:p>
      <w:pPr>
        <w:spacing w:after="200" w:line="360"/>
        <w:jc w:val="both"/>
      </w:pPr>
      <w:r>
        <w:rPr>
          <w:rFonts w:ascii="Times New Roman" w:cs="Times New Roman" w:eastAsia="Times New Roman" w:hAnsi="Times New Roman"/>
          <w:sz w:val="24"/>
          <w:szCs w:val="24"/>
        </w:rPr>
        <w:t xml:space="preserve">Cybersecurity knowledge graphs extract entities from reports [14], [15] but seldom pair the graph with (a) a TTL blocklist that can disagree with historical fact—necessary for SOC enforcement—and (b) a vector index over the same report text. Those two absences are exactly where Redis and Qdrant belong in a real workstation.</w:t>
      </w:r>
    </w:p>
    <w:p>
      <w:pPr>
        <w:pStyle w:val="Heading3"/>
        <w:spacing w:after="100" w:before="200"/>
      </w:pPr>
      <w:r>
        <w:rPr>
          <w:rFonts w:ascii="Times New Roman" w:cs="Times New Roman" w:eastAsia="Times New Roman" w:hAnsi="Times New Roman"/>
          <w:b/>
          <w:bCs/>
          <w:i/>
          <w:iCs/>
          <w:color w:val="1A1A1A"/>
          <w:sz w:val="24"/>
          <w:szCs w:val="24"/>
        </w:rPr>
        <w:t xml:space="preserve">Gap G4 — RAG over CTI is under-constrained</w:t>
      </w:r>
    </w:p>
    <w:p>
      <w:pPr>
        <w:spacing w:after="200" w:line="360"/>
        <w:jc w:val="both"/>
      </w:pPr>
      <w:r>
        <w:rPr>
          <w:rFonts w:ascii="Times New Roman" w:cs="Times New Roman" w:eastAsia="Times New Roman" w:hAnsi="Times New Roman"/>
          <w:sz w:val="24"/>
          <w:szCs w:val="24"/>
        </w:rPr>
        <w:t xml:space="preserve">Vanilla RAG retrieves similar paragraphs and lets the LLM narrate [21]. Multi-hop CTI questions (“shared C2 with APT28”) are graph questions. GraphRAG work is recent and mostly evaluated on general or enterprise corpora [23], [24], not on ATT&amp;CK-aligned CTI with citable report identifiers and live IOC state that a SOC can act on.</w:t>
      </w:r>
    </w:p>
    <w:p>
      <w:pPr>
        <w:pStyle w:val="Heading3"/>
        <w:spacing w:after="100" w:before="200"/>
      </w:pPr>
      <w:r>
        <w:rPr>
          <w:rFonts w:ascii="Times New Roman" w:cs="Times New Roman" w:eastAsia="Times New Roman" w:hAnsi="Times New Roman"/>
          <w:b/>
          <w:bCs/>
          <w:i/>
          <w:iCs/>
          <w:color w:val="1A1A1A"/>
          <w:sz w:val="24"/>
          <w:szCs w:val="24"/>
        </w:rPr>
        <w:t xml:space="preserve">Gap G5 — Answers are not auditable against the stores that produced them</w:t>
      </w:r>
    </w:p>
    <w:p>
      <w:pPr>
        <w:spacing w:after="200" w:line="360"/>
        <w:jc w:val="both"/>
      </w:pPr>
      <w:r>
        <w:rPr>
          <w:rFonts w:ascii="Times New Roman" w:cs="Times New Roman" w:eastAsia="Times New Roman" w:hAnsi="Times New Roman"/>
          <w:sz w:val="24"/>
          <w:szCs w:val="24"/>
        </w:rPr>
        <w:t xml:space="preserve">Analysts cannot currently see, for a single question, which hops were traversed, which report chunks were similar, which documents were hydrated, and whether named IOCs are still in the hot blocklist. Without that observability, GraphRAG is an un-auditable chatbot. The operations dashboard is therefore part of the control plane: every answer must be replayable against the stores that produced it.</w:t>
      </w:r>
    </w:p>
    <w:p>
      <w:pPr>
        <w:spacing w:after="200" w:line="360"/>
        <w:jc w:val="both"/>
      </w:pPr>
      <w:r>
        <w:rPr>
          <w:rFonts w:ascii="Times New Roman" w:cs="Times New Roman" w:eastAsia="Times New Roman" w:hAnsi="Times New Roman"/>
          <w:sz w:val="24"/>
          <w:szCs w:val="24"/>
        </w:rPr>
        <w:t xml:space="preserve">Table 1 maps each gap to a project response.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119"/>
        <w:gridCol w:w="4119"/>
      </w:tblGrid>
      <w:tr>
        <w:tc>
          <w:tcPr>
            <w:tcW w:type="dxa" w:w="14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Gap</w:t>
            </w:r>
          </w:p>
        </w:tc>
        <w:tc>
          <w:tcPr>
            <w:tcW w:type="dxa" w:w="4119"/>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Observation from literature</w:t>
            </w:r>
          </w:p>
        </w:tc>
        <w:tc>
          <w:tcPr>
            <w:tcW w:type="dxa" w:w="4119"/>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Project response</w:t>
            </w:r>
          </w:p>
        </w:tc>
      </w:tr>
      <w:tr>
        <w:tc>
          <w:tcPr>
            <w:tcW w:type="dxa" w:w="1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G1</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One store forced to serve path, document, TTL, and k-NN</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Four native engines; closed operation set per store</w:t>
            </w:r>
          </w:p>
        </w:tc>
      </w:tr>
      <w:tr>
        <w:tc>
          <w:tcPr>
            <w:tcW w:type="dxa" w:w="1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G2</w:t>
            </w:r>
          </w:p>
        </w:tc>
        <w:tc>
          <w:tcPr>
            <w:tcW w:type="dxa" w:w="4119"/>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MISP/OpenCTI lack GraphRAG + live TTL plane</w:t>
            </w:r>
          </w:p>
        </w:tc>
        <w:tc>
          <w:tcPr>
            <w:tcW w:type="dxa" w:w="4119"/>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STIX-like graph + Redis enforcement cache + cited NL Q&amp;A</w:t>
            </w:r>
          </w:p>
        </w:tc>
      </w:tr>
      <w:tr>
        <w:tc>
          <w:tcPr>
            <w:tcW w:type="dxa" w:w="1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G3</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CyKGs lack TTL cache and vectors</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Redis blocklist + Qdrant chunks beside Neo4j</w:t>
            </w:r>
          </w:p>
        </w:tc>
      </w:tr>
      <w:tr>
        <w:tc>
          <w:tcPr>
            <w:tcW w:type="dxa" w:w="1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G4</w:t>
            </w:r>
          </w:p>
        </w:tc>
        <w:tc>
          <w:tcPr>
            <w:tcW w:type="dxa" w:w="4119"/>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RAG is passage-only; GraphRAG rarely CTI-specific</w:t>
            </w:r>
          </w:p>
        </w:tc>
        <w:tc>
          <w:tcPr>
            <w:tcW w:type="dxa" w:w="4119"/>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Four-channel GraphRAG + local LLM + citations</w:t>
            </w:r>
          </w:p>
        </w:tc>
      </w:tr>
      <w:tr>
        <w:tc>
          <w:tcPr>
            <w:tcW w:type="dxa" w:w="1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G5</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Answers cannot be audited to source stores</w:t>
            </w:r>
          </w:p>
        </w:tc>
        <w:tc>
          <w:tcPr>
            <w:tcW w:type="dxa" w:w="4119"/>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Traversal, TTL, similarity, and document replay in the UI</w:t>
            </w:r>
          </w:p>
        </w:tc>
      </w:tr>
    </w:tbl>
    <w:p>
      <w:pPr>
        <w:spacing w:after="280" w:before="80"/>
        <w:jc w:val="center"/>
      </w:pPr>
      <w:r>
        <w:rPr>
          <w:rFonts w:ascii="Times New Roman" w:cs="Times New Roman" w:eastAsia="Times New Roman" w:hAnsi="Times New Roman"/>
          <w:i/>
          <w:iCs/>
          <w:sz w:val="20"/>
          <w:szCs w:val="20"/>
        </w:rPr>
        <w:t xml:space="preserve">Table 1.  Gaps and corresponding design responses.</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5.  Requirement Analysis</w:t>
      </w:r>
    </w:p>
    <w:p>
      <w:pPr>
        <w:pStyle w:val="Heading2"/>
        <w:spacing w:after="140" w:before="280"/>
      </w:pPr>
      <w:r>
        <w:rPr>
          <w:rFonts w:ascii="Times New Roman" w:cs="Times New Roman" w:eastAsia="Times New Roman" w:hAnsi="Times New Roman"/>
          <w:b/>
          <w:bCs/>
          <w:color w:val="1B4F72"/>
          <w:sz w:val="26"/>
          <w:szCs w:val="26"/>
        </w:rPr>
        <w:t xml:space="preserve">5.1  Stakeholders</w:t>
      </w:r>
    </w:p>
    <w:p>
      <w:pPr>
        <w:pStyle w:val="ListParagraph"/>
        <w:numPr>
          <w:ilvl w:val="0"/>
          <w:numId w:val="3"/>
        </w:numPr>
        <w:spacing w:after="80" w:line="276"/>
      </w:pPr>
      <w:r>
        <w:rPr>
          <w:rFonts w:ascii="Times New Roman" w:cs="Times New Roman" w:eastAsia="Times New Roman" w:hAnsi="Times New Roman"/>
          <w:sz w:val="24"/>
          <w:szCs w:val="24"/>
        </w:rPr>
        <w:t xml:space="preserve">SOC / CTI analyst (primary): relationship and narrative questions, evidence inspection, TLP-aware report access.</w:t>
      </w:r>
    </w:p>
    <w:p>
      <w:pPr>
        <w:pStyle w:val="ListParagraph"/>
        <w:numPr>
          <w:ilvl w:val="0"/>
          <w:numId w:val="3"/>
        </w:numPr>
        <w:spacing w:after="80" w:line="276"/>
      </w:pPr>
      <w:r>
        <w:rPr>
          <w:rFonts w:ascii="Times New Roman" w:cs="Times New Roman" w:eastAsia="Times New Roman" w:hAnsi="Times New Roman"/>
          <w:sz w:val="24"/>
          <w:szCs w:val="24"/>
        </w:rPr>
        <w:t xml:space="preserve">CTI lead / detection engineer: publishes indicators to the hot blocklist, sets TTLs, reviews GraphRAG citations before pushing detections.</w:t>
      </w:r>
    </w:p>
    <w:p>
      <w:pPr>
        <w:pStyle w:val="ListParagraph"/>
        <w:numPr>
          <w:ilvl w:val="0"/>
          <w:numId w:val="3"/>
        </w:numPr>
        <w:spacing w:after="80" w:line="276"/>
      </w:pPr>
      <w:r>
        <w:rPr>
          <w:rFonts w:ascii="Times New Roman" w:cs="Times New Roman" w:eastAsia="Times New Roman" w:hAnsi="Times New Roman"/>
          <w:sz w:val="24"/>
          <w:szCs w:val="24"/>
        </w:rPr>
        <w:t xml:space="preserve">Platform operator / SRE: store health, ingest jobs, model endpoint, backup of graph and documents.</w:t>
      </w:r>
    </w:p>
    <w:p>
      <w:pPr>
        <w:pStyle w:val="ListParagraph"/>
        <w:numPr>
          <w:ilvl w:val="0"/>
          <w:numId w:val="3"/>
        </w:numPr>
        <w:spacing w:after="80" w:line="276"/>
      </w:pPr>
      <w:r>
        <w:rPr>
          <w:rFonts w:ascii="Times New Roman" w:cs="Times New Roman" w:eastAsia="Times New Roman" w:hAnsi="Times New Roman"/>
          <w:sz w:val="24"/>
          <w:szCs w:val="24"/>
        </w:rPr>
        <w:t xml:space="preserve">Downstream consumer (firewall, EDR, SIEM): O(1) membership checks against the Redis blocklist only.</w:t>
      </w:r>
    </w:p>
    <w:p>
      <w:pPr>
        <w:pStyle w:val="Heading2"/>
        <w:spacing w:after="140" w:before="280"/>
      </w:pPr>
      <w:r>
        <w:rPr>
          <w:rFonts w:ascii="Times New Roman" w:cs="Times New Roman" w:eastAsia="Times New Roman" w:hAnsi="Times New Roman"/>
          <w:b/>
          <w:bCs/>
          <w:color w:val="1B4F72"/>
          <w:sz w:val="26"/>
          <w:szCs w:val="26"/>
        </w:rPr>
        <w:t xml:space="preserve">5.2  Functional requirements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c>
          <w:tcPr>
            <w:tcW w:type="dxa" w:w="9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18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Name</w:t>
            </w:r>
          </w:p>
        </w:tc>
        <w:tc>
          <w:tcPr>
            <w:tcW w:type="dxa" w:w="69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Description</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FR1</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Ingest</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Accept STIX 2.1 bundles and free-text CTI reports with non-uniform nested fields; fan-out to graph, document, vector, and (where applicable) blocklist stores.</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FR2</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 query</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Answer multi-hop questions (shared infrastructure, shared tooling, common victims) as path queries over the knowledge graph.</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FR3</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Blocklist</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O(1) indicator lookup with per-key TTL; expired keys leave the hot set while remaining in graph/history; exportable to EDR/firewall consumers.</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FR4</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Semantic search</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Retrieve report chunks by embedding similarity, with payload filters (actor, TLP, date).</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FR5</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GraphRAG Q&amp;A</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Natural-language question → retrieve from all four stores → generate a cited answer on a locally hosted LLM.</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FR6</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Hydration</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Open the full MongoDB document for a graph Report node or a vector hit, subject to TLP policy.</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FR7</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Evidence UI</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Show traversals, remaining TTL, and similarity neighbourhoods so every answer is auditable.</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FR8</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Corpus</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Load an initial public-knowledge CTI graph and reports; support ongoing ingest of additional STIX/report documents.</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FR9</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Health / SLO</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Report liveness of Neo4j, MongoDB, Redis, Qdrant, and the LLM; record per-store latency on GraphRAG calls.</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FR10</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Replay / audit</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Persist which hops, chunks, documents, and IOCs were used for each GraphRAG answer (audit log).</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FR11</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Access control</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Authenticate analysts; enforce TLP (WHITE/GREEN/AMBER/RED) on document bodies and on generated answers.</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FR12</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Blocklist publish</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Authorised role can add/revoke an IOC with a chosen TTL without rewriting the historical graph.</w:t>
            </w:r>
          </w:p>
        </w:tc>
      </w:tr>
    </w:tbl>
    <w:p>
      <w:pPr>
        <w:spacing w:after="280" w:before="80"/>
        <w:jc w:val="center"/>
      </w:pPr>
      <w:r>
        <w:rPr>
          <w:rFonts w:ascii="Times New Roman" w:cs="Times New Roman" w:eastAsia="Times New Roman" w:hAnsi="Times New Roman"/>
          <w:i/>
          <w:iCs/>
          <w:sz w:val="20"/>
          <w:szCs w:val="20"/>
        </w:rPr>
        <w:t xml:space="preserve">Table 2.  Functional requirements.</w:t>
      </w:r>
    </w:p>
    <w:p>
      <w:pPr>
        <w:pStyle w:val="Heading2"/>
        <w:spacing w:after="140" w:before="280"/>
      </w:pPr>
      <w:r>
        <w:rPr>
          <w:rFonts w:ascii="Times New Roman" w:cs="Times New Roman" w:eastAsia="Times New Roman" w:hAnsi="Times New Roman"/>
          <w:b/>
          <w:bCs/>
          <w:color w:val="1B4F72"/>
          <w:sz w:val="26"/>
          <w:szCs w:val="26"/>
        </w:rPr>
        <w:t xml:space="preserve">5.3  Non-functional requirements</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938"/>
      </w:tblGrid>
      <w:tr>
        <w:tc>
          <w:tcPr>
            <w:tcW w:type="dxa" w:w="9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ID</w:t>
            </w:r>
          </w:p>
        </w:tc>
        <w:tc>
          <w:tcPr>
            <w:tcW w:type="dxa" w:w="18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Name</w:t>
            </w:r>
          </w:p>
        </w:tc>
        <w:tc>
          <w:tcPr>
            <w:tcW w:type="dxa" w:w="69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Description</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NFR1</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Data residency</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LLM and CTI data remain on organisation-controlled infrastructure; no mandatory cloud API.</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NFR2</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Interactive latency</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Redis GET p99 &lt; 5 ms; graph 1–3 hop p95 &lt; 500 ms on the working corpus; GraphRAG end-to-end p95 &lt; 15 s including LLM.</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NFR3</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Store isolation</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 Redis miss must not be “fixed” by scanning MongoDB on the enforcement path; each store’s contract is closed.</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NFR4</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Groundedness</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Every generated sentence must be tie-able to a graph edge, chunk id, or report id; otherwise the system refuses.</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NFR5</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Reproducibility</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Deterministic ingest; compose-based deployment; versioned schemas.</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NFR6</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Ethics / safety</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No exploit generation; no live targeting; public or operator-supplied indicators only.</w:t>
            </w:r>
          </w:p>
        </w:tc>
      </w:tr>
      <w:tr>
        <w:tc>
          <w:tcPr>
            <w:tcW w:type="dxa" w:w="9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NFR7</w:t>
            </w:r>
          </w:p>
        </w:tc>
        <w:tc>
          <w:tcPr>
            <w:tcW w:type="dxa" w:w="1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Usability</w:t>
            </w:r>
          </w:p>
        </w:tc>
        <w:tc>
          <w:tcPr>
            <w:tcW w:type="dxa" w:w="69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Analyst can complete UC1–UC4 without leaving the dashboard; evidence panel always visible beside the answer.</w:t>
            </w:r>
          </w:p>
        </w:tc>
      </w:tr>
      <w:tr>
        <w:tc>
          <w:tcPr>
            <w:tcW w:type="dxa" w:w="9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NFR8</w:t>
            </w:r>
          </w:p>
        </w:tc>
        <w:tc>
          <w:tcPr>
            <w:tcW w:type="dxa" w:w="1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Availability</w:t>
            </w:r>
          </w:p>
        </w:tc>
        <w:tc>
          <w:tcPr>
            <w:tcW w:type="dxa" w:w="69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Read path (graph, documents, search, Q&amp;A) degrades gracefully if Redis or LLM is down; enforcement path fails closed if Redis is down.</w:t>
            </w:r>
          </w:p>
        </w:tc>
      </w:tr>
    </w:tbl>
    <w:p>
      <w:pPr>
        <w:spacing w:after="280" w:before="80"/>
        <w:jc w:val="center"/>
      </w:pPr>
      <w:r>
        <w:rPr>
          <w:rFonts w:ascii="Times New Roman" w:cs="Times New Roman" w:eastAsia="Times New Roman" w:hAnsi="Times New Roman"/>
          <w:i/>
          <w:iCs/>
          <w:sz w:val="20"/>
          <w:szCs w:val="20"/>
        </w:rPr>
        <w:t xml:space="preserve">Table 3.  Non-functional requirements.</w:t>
      </w:r>
    </w:p>
    <w:p>
      <w:pPr>
        <w:pStyle w:val="Heading2"/>
        <w:spacing w:after="140" w:before="280"/>
      </w:pPr>
      <w:r>
        <w:rPr>
          <w:rFonts w:ascii="Times New Roman" w:cs="Times New Roman" w:eastAsia="Times New Roman" w:hAnsi="Times New Roman"/>
          <w:b/>
          <w:bCs/>
          <w:color w:val="1B4F72"/>
          <w:sz w:val="26"/>
          <w:szCs w:val="26"/>
        </w:rPr>
        <w:t xml:space="preserve">5.4  Use cases (brief)</w:t>
      </w:r>
    </w:p>
    <w:p>
      <w:pPr>
        <w:spacing w:after="200" w:line="360"/>
        <w:jc w:val="both"/>
      </w:pPr>
      <w:r>
        <w:rPr>
          <w:rFonts w:ascii="Times New Roman" w:cs="Times New Roman" w:eastAsia="Times New Roman" w:hAnsi="Times New Roman"/>
          <w:b/>
          <w:bCs/>
          <w:sz w:val="24"/>
          <w:szCs w:val="24"/>
        </w:rPr>
        <w:t xml:space="preserve">UC1 Shared infrastructure. </w:t>
      </w:r>
      <w:r>
        <w:rPr>
          <w:rFonts w:ascii="Times New Roman" w:cs="Times New Roman" w:eastAsia="Times New Roman" w:hAnsi="Times New Roman"/>
          <w:sz w:val="24"/>
          <w:szCs w:val="24"/>
        </w:rPr>
        <w:t xml:space="preserve">Analyst asks which actors share C2 with APT28. System traverses USES_INFRA, returns Sandworm (shared VPS) and any Beacon overlap, cites reports, shows live Redis state of those IPs/domains.</w:t>
      </w:r>
    </w:p>
    <w:p>
      <w:pPr>
        <w:spacing w:after="200" w:line="360"/>
        <w:jc w:val="both"/>
      </w:pPr>
      <w:r>
        <w:rPr>
          <w:rFonts w:ascii="Times New Roman" w:cs="Times New Roman" w:eastAsia="Times New Roman" w:hAnsi="Times New Roman"/>
          <w:b/>
          <w:bCs/>
          <w:sz w:val="24"/>
          <w:szCs w:val="24"/>
        </w:rPr>
        <w:t xml:space="preserve">UC2 Semantic analogue. </w:t>
      </w:r>
      <w:r>
        <w:rPr>
          <w:rFonts w:ascii="Times New Roman" w:cs="Times New Roman" w:eastAsia="Times New Roman" w:hAnsi="Times New Roman"/>
          <w:sz w:val="24"/>
          <w:szCs w:val="24"/>
        </w:rPr>
        <w:t xml:space="preserve">Analyst asks for activity similar to spearphishing against political organisations. Qdrant returns DNC-related chunks; graph expands to APT28/APT29; MongoDB hydrates full reports.</w:t>
      </w:r>
    </w:p>
    <w:p>
      <w:pPr>
        <w:spacing w:after="200" w:line="360"/>
        <w:jc w:val="both"/>
      </w:pPr>
      <w:r>
        <w:rPr>
          <w:rFonts w:ascii="Times New Roman" w:cs="Times New Roman" w:eastAsia="Times New Roman" w:hAnsi="Times New Roman"/>
          <w:b/>
          <w:bCs/>
          <w:sz w:val="24"/>
          <w:szCs w:val="24"/>
        </w:rPr>
        <w:t xml:space="preserve">UC3 Commodity-tool caution. </w:t>
      </w:r>
      <w:r>
        <w:rPr>
          <w:rFonts w:ascii="Times New Roman" w:cs="Times New Roman" w:eastAsia="Times New Roman" w:hAnsi="Times New Roman"/>
          <w:sz w:val="24"/>
          <w:szCs w:val="24"/>
        </w:rPr>
        <w:t xml:space="preserve">Analyst asks who uses Mimikatz. Graph returns many actors; the answer must state that the tool is a weak attribution feature and must pair it with victim sector or C2 context [6].</w:t>
      </w:r>
    </w:p>
    <w:p>
      <w:pPr>
        <w:spacing w:after="200" w:line="360"/>
        <w:jc w:val="both"/>
      </w:pPr>
      <w:r>
        <w:rPr>
          <w:rFonts w:ascii="Times New Roman" w:cs="Times New Roman" w:eastAsia="Times New Roman" w:hAnsi="Times New Roman"/>
          <w:b/>
          <w:bCs/>
          <w:sz w:val="24"/>
          <w:szCs w:val="24"/>
        </w:rPr>
        <w:t xml:space="preserve">UC4 Expiry. </w:t>
      </w:r>
      <w:r>
        <w:rPr>
          <w:rFonts w:ascii="Times New Roman" w:cs="Times New Roman" w:eastAsia="Times New Roman" w:hAnsi="Times New Roman"/>
          <w:sz w:val="24"/>
          <w:szCs w:val="24"/>
        </w:rPr>
        <w:t xml:space="preserve">Dashboard shows an IOC TTL reach zero; blocklist miss; graph still holds historical HAS_IOC/OBSERVED_AS.</w:t>
      </w:r>
    </w:p>
    <w:p>
      <w:pPr>
        <w:pStyle w:val="Heading2"/>
        <w:spacing w:after="140" w:before="280"/>
      </w:pPr>
      <w:r>
        <w:rPr>
          <w:rFonts w:ascii="Times New Roman" w:cs="Times New Roman" w:eastAsia="Times New Roman" w:hAnsi="Times New Roman"/>
          <w:b/>
          <w:bCs/>
          <w:color w:val="1B4F72"/>
          <w:sz w:val="26"/>
          <w:szCs w:val="26"/>
        </w:rPr>
        <w:t xml:space="preserve">5.5  Success criteria for Review–I</w:t>
      </w:r>
    </w:p>
    <w:p>
      <w:pPr>
        <w:spacing w:after="200" w:line="360"/>
        <w:jc w:val="both"/>
      </w:pPr>
      <w:r>
        <w:rPr>
          <w:rFonts w:ascii="Times New Roman" w:cs="Times New Roman" w:eastAsia="Times New Roman" w:hAnsi="Times New Roman"/>
          <w:sz w:val="24"/>
          <w:szCs w:val="24"/>
        </w:rPr>
        <w:t xml:space="preserve">Review–I succeeds if the operational problem is sharp, gaps versus MISP/OpenCTI/RAG are cited, four stores are justified as production choices, architecture includes ingest and access control, and schemas are specific enough to implement. Implementation belongs to Review–II.</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6.  Selection of NoSQL Databases</w:t>
      </w:r>
    </w:p>
    <w:p>
      <w:pPr>
        <w:spacing w:after="200" w:line="360"/>
        <w:jc w:val="both"/>
      </w:pPr>
      <w:r>
        <w:rPr>
          <w:rFonts w:ascii="Times New Roman" w:cs="Times New Roman" w:eastAsia="Times New Roman" w:hAnsi="Times New Roman"/>
          <w:sz w:val="24"/>
          <w:szCs w:val="24"/>
        </w:rPr>
        <w:t xml:space="preserve">Selection follows a single rule: pick the model whose native operators match the CTI operation, then pick a production-grade engine that implements that model. Table 4 is the decision record. Deployment may start as four containers on one host and scale each engine independently later; the schema does not change.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50"/>
        <w:gridCol w:w="1600"/>
        <w:gridCol w:w="2800"/>
        <w:gridCol w:w="3388"/>
      </w:tblGrid>
      <w:tr>
        <w:tc>
          <w:tcPr>
            <w:tcW w:type="dxa" w:w="185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Workload</w:t>
            </w:r>
          </w:p>
        </w:tc>
        <w:tc>
          <w:tcPr>
            <w:tcW w:type="dxa" w:w="16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Native operators needed</w:t>
            </w:r>
          </w:p>
        </w:tc>
        <w:tc>
          <w:tcPr>
            <w:tcW w:type="dxa" w:w="28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Rejected alternatives</w:t>
            </w:r>
          </w:p>
        </w:tc>
        <w:tc>
          <w:tcPr>
            <w:tcW w:type="dxa" w:w="338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Selected engine</w:t>
            </w:r>
          </w:p>
        </w:tc>
      </w:tr>
      <w:tr>
        <w:tc>
          <w:tcPr>
            <w:tcW w:type="dxa" w:w="185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Multi-hop CTI relations</w:t>
            </w:r>
          </w:p>
        </w:tc>
        <w:tc>
          <w:tcPr>
            <w:tcW w:type="dxa" w:w="16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Variable-length path, typed edges</w:t>
            </w:r>
          </w:p>
        </w:tc>
        <w:tc>
          <w:tcPr>
            <w:tcW w:type="dxa" w:w="2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SQL recursive CTE (verbose, costly); document $graphLookup (not first-class)</w:t>
            </w:r>
          </w:p>
        </w:tc>
        <w:tc>
          <w:tcPr>
            <w:tcW w:type="dxa" w:w="338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Neo4j 5 (labelled property graph, Cypher)</w:t>
            </w:r>
          </w:p>
        </w:tc>
      </w:tr>
      <w:tr>
        <w:tc>
          <w:tcPr>
            <w:tcW w:type="dxa" w:w="185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Variable CTI reports</w:t>
            </w:r>
          </w:p>
        </w:tc>
        <w:tc>
          <w:tcPr>
            <w:tcW w:type="dxa" w:w="16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Schema-on-read JSON trees, index common fields</w:t>
            </w:r>
          </w:p>
        </w:tc>
        <w:tc>
          <w:tcPr>
            <w:tcW w:type="dxa" w:w="2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Wide SQL table; XML store; graph properties for long prose</w:t>
            </w:r>
          </w:p>
        </w:tc>
        <w:tc>
          <w:tcPr>
            <w:tcW w:type="dxa" w:w="338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MongoDB 7 (documents / BSON)</w:t>
            </w:r>
          </w:p>
        </w:tc>
      </w:tr>
      <w:tr>
        <w:tc>
          <w:tcPr>
            <w:tcW w:type="dxa" w:w="185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Hot IOC blocklist</w:t>
            </w:r>
          </w:p>
        </w:tc>
        <w:tc>
          <w:tcPr>
            <w:tcW w:type="dxa" w:w="16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O(1) GET + per-key TTL</w:t>
            </w:r>
          </w:p>
        </w:tc>
        <w:tc>
          <w:tcPr>
            <w:tcW w:type="dxa" w:w="28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SQL DELETE job; Mongo TTL index (heavier); graph nodes (no native countdown UX)</w:t>
            </w:r>
          </w:p>
        </w:tc>
        <w:tc>
          <w:tcPr>
            <w:tcW w:type="dxa" w:w="338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Redis 7 (key–value + EXPIRE)</w:t>
            </w:r>
          </w:p>
        </w:tc>
      </w:tr>
      <w:tr>
        <w:tc>
          <w:tcPr>
            <w:tcW w:type="dxa" w:w="185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Semantic report search</w:t>
            </w:r>
          </w:p>
        </w:tc>
        <w:tc>
          <w:tcPr>
            <w:tcW w:type="dxa" w:w="16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k-NN over dense vectors, payload filters</w:t>
            </w:r>
          </w:p>
        </w:tc>
        <w:tc>
          <w:tcPr>
            <w:tcW w:type="dxa" w:w="28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BM25-only; storing vectors in Postgres without HNSW ops; graph full-text</w:t>
            </w:r>
          </w:p>
        </w:tc>
        <w:tc>
          <w:tcPr>
            <w:tcW w:type="dxa" w:w="338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Qdrant (HNSW, cosine)</w:t>
            </w:r>
          </w:p>
        </w:tc>
      </w:tr>
    </w:tbl>
    <w:p>
      <w:pPr>
        <w:spacing w:after="280" w:before="80"/>
        <w:jc w:val="center"/>
      </w:pPr>
      <w:r>
        <w:rPr>
          <w:rFonts w:ascii="Times New Roman" w:cs="Times New Roman" w:eastAsia="Times New Roman" w:hAnsi="Times New Roman"/>
          <w:i/>
          <w:iCs/>
          <w:sz w:val="20"/>
          <w:szCs w:val="20"/>
        </w:rPr>
        <w:t xml:space="preserve">Table 4.  NoSQL selection rationale (model first, product second).</w:t>
      </w:r>
    </w:p>
    <w:p>
      <w:pPr>
        <w:pStyle w:val="Heading2"/>
        <w:spacing w:after="140" w:before="280"/>
      </w:pPr>
      <w:r>
        <w:rPr>
          <w:rFonts w:ascii="Times New Roman" w:cs="Times New Roman" w:eastAsia="Times New Roman" w:hAnsi="Times New Roman"/>
          <w:b/>
          <w:bCs/>
          <w:color w:val="1B4F72"/>
          <w:sz w:val="26"/>
          <w:szCs w:val="26"/>
        </w:rPr>
        <w:t xml:space="preserve">6.1  Neo4j — graph</w:t>
      </w:r>
    </w:p>
    <w:p>
      <w:pPr>
        <w:spacing w:after="200" w:line="360"/>
        <w:jc w:val="both"/>
      </w:pPr>
      <w:r>
        <w:rPr>
          <w:rFonts w:ascii="Times New Roman" w:cs="Times New Roman" w:eastAsia="Times New Roman" w:hAnsi="Times New Roman"/>
          <w:sz w:val="24"/>
          <w:szCs w:val="24"/>
        </w:rPr>
        <w:t xml:space="preserve">Neo4j implements the labelled property graph that STIX-like CTI already assumes [3], [12], [26]. Cypher MATCH (a:ThreatActor)-[:USES_INFRA]-&gt;(i)&lt;-[:USES_INFRA]-(b) is the shared-infrastructure query that would be a self-join puzzle in SQL. Relationship types (USES, ATTRIBUTED_TO, HOSTS, MENTIONED_IN) are data, not column names, so adding SHARES_UNIT between GRU clusters does not require a migration. Neo4j is rejected as a store for full report prose (property size and query mix) and as a blocklist (no TTL semantics comparable to Redis).</w:t>
      </w:r>
    </w:p>
    <w:p>
      <w:pPr>
        <w:pStyle w:val="Heading2"/>
        <w:spacing w:after="140" w:before="280"/>
      </w:pPr>
      <w:r>
        <w:rPr>
          <w:rFonts w:ascii="Times New Roman" w:cs="Times New Roman" w:eastAsia="Times New Roman" w:hAnsi="Times New Roman"/>
          <w:b/>
          <w:bCs/>
          <w:color w:val="1B4F72"/>
          <w:sz w:val="26"/>
          <w:szCs w:val="26"/>
        </w:rPr>
        <w:t xml:space="preserve">6.2  MongoDB — document</w:t>
      </w:r>
    </w:p>
    <w:p>
      <w:pPr>
        <w:spacing w:after="200" w:line="360"/>
        <w:jc w:val="both"/>
      </w:pPr>
      <w:r>
        <w:rPr>
          <w:rFonts w:ascii="Times New Roman" w:cs="Times New Roman" w:eastAsia="Times New Roman" w:hAnsi="Times New Roman"/>
          <w:sz w:val="24"/>
          <w:szCs w:val="24"/>
        </w:rPr>
        <w:t xml:space="preserve">MongoDB holds the system of record for reports. A single reports collection stores documents that share a small core (_id, title, source, date, tlp, body, actors[]) and diverge on nested keys (attribution, build_pipeline, ics_protocols, yara_rule_name). That is the textbook document-model win [9], [17]. MongoDB is rejected for multi-hop paths and for sub-millisecond membership tests.</w:t>
      </w:r>
    </w:p>
    <w:p>
      <w:pPr>
        <w:pStyle w:val="Heading2"/>
        <w:spacing w:after="140" w:before="280"/>
      </w:pPr>
      <w:r>
        <w:rPr>
          <w:rFonts w:ascii="Times New Roman" w:cs="Times New Roman" w:eastAsia="Times New Roman" w:hAnsi="Times New Roman"/>
          <w:b/>
          <w:bCs/>
          <w:color w:val="1B4F72"/>
          <w:sz w:val="26"/>
          <w:szCs w:val="26"/>
        </w:rPr>
        <w:t xml:space="preserve">6.3  Redis — key–value</w:t>
      </w:r>
    </w:p>
    <w:p>
      <w:pPr>
        <w:spacing w:after="200" w:line="360"/>
        <w:jc w:val="both"/>
      </w:pPr>
      <w:r>
        <w:rPr>
          <w:rFonts w:ascii="Times New Roman" w:cs="Times New Roman" w:eastAsia="Times New Roman" w:hAnsi="Times New Roman"/>
          <w:sz w:val="24"/>
          <w:szCs w:val="24"/>
        </w:rPr>
        <w:t xml:space="preserve">Each hot indicator is a key ioc:{type}:{value} with a JSON payload and EXPIRE. TTL is the reason for the engine, not an afterthought [18]. Historical presence remains in Neo4j/MongoDB. Redis is rejected as a knowledge graph (no typed multi-hop) and as a report store (blobs without rich query).</w:t>
      </w:r>
    </w:p>
    <w:p>
      <w:pPr>
        <w:pStyle w:val="Heading2"/>
        <w:spacing w:after="140" w:before="280"/>
      </w:pPr>
      <w:r>
        <w:rPr>
          <w:rFonts w:ascii="Times New Roman" w:cs="Times New Roman" w:eastAsia="Times New Roman" w:hAnsi="Times New Roman"/>
          <w:b/>
          <w:bCs/>
          <w:color w:val="1B4F72"/>
          <w:sz w:val="26"/>
          <w:szCs w:val="26"/>
        </w:rPr>
        <w:t xml:space="preserve">6.4  Qdrant — vector</w:t>
      </w:r>
    </w:p>
    <w:p>
      <w:pPr>
        <w:spacing w:after="200" w:line="360"/>
        <w:jc w:val="both"/>
      </w:pPr>
      <w:r>
        <w:rPr>
          <w:rFonts w:ascii="Times New Roman" w:cs="Times New Roman" w:eastAsia="Times New Roman" w:hAnsi="Times New Roman"/>
          <w:sz w:val="24"/>
          <w:szCs w:val="24"/>
        </w:rPr>
        <w:t xml:space="preserve">Report text is chunked, embedded, and indexed under cosine distance with HNSW [19], [20]. Payloads keep report_id so hits can hydrate MongoDB and pin graph Report nodes. Qdrant is rejected as a source of truth for relationships (nearest neighbour ≠ “shares C2”).</w:t>
      </w:r>
    </w:p>
    <w:p>
      <w:pPr>
        <w:pStyle w:val="Heading2"/>
        <w:spacing w:after="140" w:before="280"/>
      </w:pPr>
      <w:r>
        <w:rPr>
          <w:rFonts w:ascii="Times New Roman" w:cs="Times New Roman" w:eastAsia="Times New Roman" w:hAnsi="Times New Roman"/>
          <w:b/>
          <w:bCs/>
          <w:color w:val="1B4F72"/>
          <w:sz w:val="26"/>
          <w:szCs w:val="26"/>
        </w:rPr>
        <w:t xml:space="preserve">6.5  What was not selected, and why</w:t>
      </w:r>
    </w:p>
    <w:p>
      <w:pPr>
        <w:spacing w:after="200" w:line="360"/>
        <w:jc w:val="both"/>
      </w:pPr>
      <w:r>
        <w:rPr>
          <w:rFonts w:ascii="Times New Roman" w:cs="Times New Roman" w:eastAsia="Times New Roman" w:hAnsi="Times New Roman"/>
          <w:sz w:val="24"/>
          <w:szCs w:val="24"/>
        </w:rPr>
        <w:t xml:space="preserve">Cassandra / wide-column: excellent for append-heavy telemetry time series, not for CTI path queries or variable report trees. Elasticsearch as the only store: strong full-text, weaker as a typed graph and as a TTL blocklist with per-key expiry semantics. PostgreSQL + JSONB + pgvector + recursive CTE can approximate all four and is a valid industrial compromise for a small team that wants one operator surface; it is rejected here because the four workloads have incompatible SLOs (sub-5 ms membership vs multi-hop graph vs k-NN vs schema-on-read documents), and collapsing them would recreate the “one size fits all” failure [8]. Cloud-only embedding APIs were rejected under NFR1.</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7.  Initial Architecture</w:t>
      </w:r>
    </w:p>
    <w:p>
      <w:pPr>
        <w:spacing w:after="200" w:line="360"/>
        <w:jc w:val="both"/>
      </w:pPr>
      <w:r>
        <w:rPr>
          <w:rFonts w:ascii="Times New Roman" w:cs="Times New Roman" w:eastAsia="Times New Roman" w:hAnsi="Times New Roman"/>
          <w:sz w:val="24"/>
          <w:szCs w:val="24"/>
        </w:rPr>
        <w:t xml:space="preserve">The architecture has four layers (Figure 1). Ingest accepts STIX 2.1 bundles and free-text reports, extracts entities, and fans out writes: graph merges, document upsert, chunk embed/upsert, and optional Redis SET with EXPIRE for newly actionable IOCs. The presentation layer is an analyst operations console (graph explorer, report browser, live blocklist, semantic search, GraphRAG). The orchestration layer is the GraphRAG service plus TLP-aware API and audit log. The persistence layer is the four NoSQL engines. There is no fifth catch-all database.</w:t>
      </w:r>
    </w:p>
    <w:p>
      <w:pPr>
        <w:spacing w:after="80" w:before="200"/>
        <w:jc w:val="center"/>
      </w:pPr>
      <w:r>
        <w:drawing>
          <wp:inline distT="0" distB="0" distL="0" distR="0">
            <wp:extent cx="5905500" cy="4057650"/>
            <wp:effectExtent t="0" r="0" b="0" l="0"/>
            <wp:docPr id="1" name="Figure 1 system architecture" descr="Figure 1 system architecture" title="Figure 1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57650"/>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0"/>
          <w:szCs w:val="20"/>
        </w:rPr>
        <w:t xml:space="preserve">Figure 1.  Initial system architecture: presentation, GraphRAG orchestration, and four NoSQL stores.</w:t>
      </w:r>
    </w:p>
    <w:p>
      <w:pPr>
        <w:pStyle w:val="Heading2"/>
        <w:spacing w:after="140" w:before="280"/>
      </w:pPr>
      <w:r>
        <w:rPr>
          <w:rFonts w:ascii="Times New Roman" w:cs="Times New Roman" w:eastAsia="Times New Roman" w:hAnsi="Times New Roman"/>
          <w:b/>
          <w:bCs/>
          <w:color w:val="1B4F72"/>
          <w:sz w:val="26"/>
          <w:szCs w:val="26"/>
        </w:rPr>
        <w:t xml:space="preserve">7.1  GraphRAG control flow</w:t>
      </w:r>
    </w:p>
    <w:p>
      <w:pPr>
        <w:spacing w:after="200" w:line="360"/>
        <w:jc w:val="both"/>
      </w:pPr>
      <w:r>
        <w:rPr>
          <w:rFonts w:ascii="Times New Roman" w:cs="Times New Roman" w:eastAsia="Times New Roman" w:hAnsi="Times New Roman"/>
          <w:sz w:val="24"/>
          <w:szCs w:val="24"/>
        </w:rPr>
        <w:t xml:space="preserve">A question such as “Which actors share C2 infrastructure with APT28, and which reports discuss that overlap?” is executed as follows. Entities in the question are linked to graph ids (APT28 → ThreatActor apt28). Qdrant embeds the question and returns top-k chunks. Neo4j expands 1–3 hops from linked entities, biased toward USES_INFRA, HOSTS, and MENTIONED_IN. MongoDB loads full reports for the union of chunk report_ids and graph Report nodes. Redis returns TTL and severity for any indicator values mentioned in the question or the retrieved subgraph. The context pack—graph facts, passages, report ids, IOC states—is sent to a locally hosted LLM with an instruction to refuse unsupported claims. The dashboard then replays the same artefacts: hops animate, similar chunks plot, TTLs tick.</w:t>
      </w:r>
    </w:p>
    <w:p>
      <w:pPr>
        <w:spacing w:after="80" w:before="200"/>
        <w:jc w:val="center"/>
      </w:pPr>
      <w:r>
        <w:drawing>
          <wp:inline distT="0" distB="0" distL="0" distR="0">
            <wp:extent cx="5905500" cy="3324225"/>
            <wp:effectExtent t="0" r="0" b="0" l="0"/>
            <wp:docPr id="1" name="Figure 2 GraphRAG pipeline" descr="Figure 2 GraphRAG pipeline" title="Figure 2 GraphRAG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24225"/>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0"/>
          <w:szCs w:val="20"/>
        </w:rPr>
        <w:t xml:space="preserve">Figure 2.  GraphRAG pipeline: parallel retrieval from four stores, then grounded generation.</w:t>
      </w:r>
    </w:p>
    <w:p>
      <w:pPr>
        <w:pStyle w:val="Heading2"/>
        <w:spacing w:after="140" w:before="280"/>
      </w:pPr>
      <w:r>
        <w:rPr>
          <w:rFonts w:ascii="Times New Roman" w:cs="Times New Roman" w:eastAsia="Times New Roman" w:hAnsi="Times New Roman"/>
          <w:b/>
          <w:bCs/>
          <w:color w:val="1B4F72"/>
          <w:sz w:val="26"/>
          <w:szCs w:val="26"/>
        </w:rPr>
        <w:t xml:space="preserve">7.2  Component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Component</w:t>
            </w:r>
          </w:p>
        </w:tc>
        <w:tc>
          <w:tcPr>
            <w:tcW w:type="dxa" w:w="72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Responsibility</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Ingest pipeline</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STIX/report parse; entity link; fan-out to Neo4j, MongoDB, Qdrant, Redis; idempotent upserts</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Analyst console</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 canvas; report viewer; TTL blocklist; similarity map; GraphRAG with evidence panel</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GraphRAG service</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Entity linking, retrieval planning, prompt assembly, LLM call, citation packing</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API + policy</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AuthN/AuthZ; TLP filtering; audit log of queries and answers</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Neo4j</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Canonical relationship store; path queries; subgraph for the console</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MongoDB</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Canonical report/STIX store; variable schema; citation targets</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Redis</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Hot blocklist for enforcement; TTL; not a historical archive</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Qdrant</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Chunk vectors; k-NN; payload → report_id</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Local LLM</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Render evidence into prose; no unaudited write path to stores</w:t>
            </w:r>
          </w:p>
        </w:tc>
      </w:tr>
    </w:tbl>
    <w:p>
      <w:pPr>
        <w:spacing w:after="280" w:before="80"/>
        <w:jc w:val="center"/>
      </w:pPr>
      <w:r>
        <w:rPr>
          <w:rFonts w:ascii="Times New Roman" w:cs="Times New Roman" w:eastAsia="Times New Roman" w:hAnsi="Times New Roman"/>
          <w:i/>
          <w:iCs/>
          <w:sz w:val="20"/>
          <w:szCs w:val="20"/>
        </w:rPr>
        <w:t xml:space="preserve">Table 5.  Component responsibilities.</w:t>
      </w:r>
    </w:p>
    <w:p>
      <w:pPr>
        <w:pStyle w:val="Heading2"/>
        <w:spacing w:after="140" w:before="280"/>
      </w:pPr>
      <w:r>
        <w:rPr>
          <w:rFonts w:ascii="Times New Roman" w:cs="Times New Roman" w:eastAsia="Times New Roman" w:hAnsi="Times New Roman"/>
          <w:b/>
          <w:bCs/>
          <w:color w:val="1B4F72"/>
          <w:sz w:val="26"/>
          <w:szCs w:val="26"/>
        </w:rPr>
        <w:t xml:space="preserve">7.3  Data movement and keys</w:t>
      </w:r>
    </w:p>
    <w:p>
      <w:pPr>
        <w:spacing w:after="200" w:line="360"/>
        <w:jc w:val="both"/>
      </w:pPr>
      <w:r>
        <w:rPr>
          <w:rFonts w:ascii="Times New Roman" w:cs="Times New Roman" w:eastAsia="Times New Roman" w:hAnsi="Times New Roman"/>
          <w:sz w:val="24"/>
          <w:szCs w:val="24"/>
        </w:rPr>
        <w:t xml:space="preserve">Cross-store references are explicit and minimal. Report.id in Neo4j equals MongoDB _id. Indicator.value (and type) in the graph equals the Redis key suffix and may appear in MongoDB iocs[]. Qdrant payload.report_id equals MongoDB _id. Ingest is the consistency boundary: a single ingest job writes Neo4j, MongoDB, Qdrant, and optionally Redis in a defined order, records a job id, and is idempotent on retry. Runtime GraphRAG is read-mostly. There is no distributed two-phase commit; a failed fan-out is retried from the ingest log. That is the production pattern for polyglot CTI, not a shortcut.</w:t>
      </w:r>
    </w:p>
    <w:p>
      <w:pPr>
        <w:pStyle w:val="Heading2"/>
        <w:spacing w:after="140" w:before="280"/>
      </w:pPr>
      <w:r>
        <w:rPr>
          <w:rFonts w:ascii="Times New Roman" w:cs="Times New Roman" w:eastAsia="Times New Roman" w:hAnsi="Times New Roman"/>
          <w:b/>
          <w:bCs/>
          <w:color w:val="1B4F72"/>
          <w:sz w:val="26"/>
          <w:szCs w:val="26"/>
        </w:rPr>
        <w:t xml:space="preserve">7.4  Security, TLP, and ethics</w:t>
      </w:r>
    </w:p>
    <w:p>
      <w:pPr>
        <w:spacing w:after="200" w:line="360"/>
        <w:jc w:val="both"/>
      </w:pPr>
      <w:r>
        <w:rPr>
          <w:rFonts w:ascii="Times New Roman" w:cs="Times New Roman" w:eastAsia="Times New Roman" w:hAnsi="Times New Roman"/>
          <w:sz w:val="24"/>
          <w:szCs w:val="24"/>
        </w:rPr>
        <w:t xml:space="preserve">The LLM is local so that TLP-AMBER/RED text never depends on a third-party API (NFR1). Analysts authenticate; document bodies and GraphRAG context packs are filtered by TLP (FR11). The audit log stores question, retrieved ids, and answer for later review. The corpus may begin with public-knowledge campaigns and operator-supplied indicators; the system is a reader of threat descriptions, not a generator of offensive capability. Downstream blocklist consumers receive only Redis keys, never full AMBER report bodies.</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8.  Graph and Document Schema</w:t>
      </w:r>
    </w:p>
    <w:p>
      <w:pPr>
        <w:pStyle w:val="Heading2"/>
        <w:spacing w:after="140" w:before="280"/>
      </w:pPr>
      <w:r>
        <w:rPr>
          <w:rFonts w:ascii="Times New Roman" w:cs="Times New Roman" w:eastAsia="Times New Roman" w:hAnsi="Times New Roman"/>
          <w:b/>
          <w:bCs/>
          <w:color w:val="1B4F72"/>
          <w:sz w:val="26"/>
          <w:szCs w:val="26"/>
        </w:rPr>
        <w:t xml:space="preserve">8.1  Graph schema (Neo4j)</w:t>
      </w:r>
    </w:p>
    <w:p>
      <w:pPr>
        <w:spacing w:after="200" w:line="360"/>
        <w:jc w:val="both"/>
      </w:pPr>
      <w:r>
        <w:rPr>
          <w:rFonts w:ascii="Times New Roman" w:cs="Times New Roman" w:eastAsia="Times New Roman" w:hAnsi="Times New Roman"/>
          <w:sz w:val="24"/>
          <w:szCs w:val="24"/>
        </w:rPr>
        <w:t xml:space="preserve">Figure 3 shows the labelled property graph. Node labels follow STIX-like CTI nouns. Relationship types are verbs that Cypher can match directly. Commodity tools are permitted to become hubs; the schema does not pretend that Mimikatz is actor-unique, because the literature says it is not [6].</w:t>
      </w:r>
    </w:p>
    <w:p>
      <w:pPr>
        <w:spacing w:after="80" w:before="200"/>
        <w:jc w:val="center"/>
      </w:pPr>
      <w:r>
        <w:drawing>
          <wp:inline distT="0" distB="0" distL="0" distR="0">
            <wp:extent cx="5905500" cy="4057650"/>
            <wp:effectExtent t="0" r="0" b="0" l="0"/>
            <wp:docPr id="1" name="Figure 3 graph schema" descr="Figure 3 graph schema" title="Figure 3 graph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57650"/>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0"/>
          <w:szCs w:val="20"/>
        </w:rPr>
        <w:t xml:space="preserve">Figure 3.  Threat knowledge graph schema (nodes, properties, and relationship types).</w:t>
      </w:r>
    </w:p>
    <w:p>
      <w:pPr>
        <w:pStyle w:val="Heading3"/>
        <w:spacing w:after="100" w:before="200"/>
      </w:pPr>
      <w:r>
        <w:rPr>
          <w:rFonts w:ascii="Times New Roman" w:cs="Times New Roman" w:eastAsia="Times New Roman" w:hAnsi="Times New Roman"/>
          <w:b/>
          <w:bCs/>
          <w:i/>
          <w:iCs/>
          <w:color w:val="1A1A1A"/>
          <w:sz w:val="24"/>
          <w:szCs w:val="24"/>
        </w:rPr>
        <w:t xml:space="preserve">8.1.1  Node labels and properties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Label</w:t>
            </w:r>
          </w:p>
        </w:tc>
        <w:tc>
          <w:tcPr>
            <w:tcW w:type="dxa" w:w="72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Properties (core)</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ThreatActor</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name, aliases[], origin, sponsor, motivation, sophistication</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Campaign</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name, year, target_sector, summary</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Malware</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name, family, kind</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Infrastructure</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value, kind (c2-domain | c2-ip | …), notes</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Technique</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(ATT&amp;CK), name, tactic</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Indicator</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value, type (ip|domain|hash), severity</w:t>
            </w:r>
          </w:p>
        </w:tc>
      </w:tr>
      <w:tr>
        <w:tc>
          <w:tcPr>
            <w:tcW w:type="dxa" w:w="24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Victim</w:t>
            </w:r>
          </w:p>
        </w:tc>
        <w:tc>
          <w:tcPr>
            <w:tcW w:type="dxa" w:w="7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name, sector, country</w:t>
            </w:r>
          </w:p>
        </w:tc>
      </w:tr>
      <w:tr>
        <w:tc>
          <w:tcPr>
            <w:tcW w:type="dxa" w:w="24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Report</w:t>
            </w:r>
          </w:p>
        </w:tc>
        <w:tc>
          <w:tcPr>
            <w:tcW w:type="dxa" w:w="7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id (MongoDB _id), title, source, date, tlp</w:t>
            </w:r>
          </w:p>
        </w:tc>
      </w:tr>
    </w:tbl>
    <w:p>
      <w:pPr>
        <w:spacing w:after="280" w:before="80"/>
        <w:jc w:val="center"/>
      </w:pPr>
      <w:r>
        <w:rPr>
          <w:rFonts w:ascii="Times New Roman" w:cs="Times New Roman" w:eastAsia="Times New Roman" w:hAnsi="Times New Roman"/>
          <w:i/>
          <w:iCs/>
          <w:sz w:val="20"/>
          <w:szCs w:val="20"/>
        </w:rPr>
        <w:t xml:space="preserve">Table 6.  Graph node labels.</w:t>
      </w:r>
    </w:p>
    <w:p>
      <w:pPr>
        <w:pStyle w:val="Heading3"/>
        <w:spacing w:after="100" w:before="200"/>
      </w:pPr>
      <w:r>
        <w:rPr>
          <w:rFonts w:ascii="Times New Roman" w:cs="Times New Roman" w:eastAsia="Times New Roman" w:hAnsi="Times New Roman"/>
          <w:b/>
          <w:bCs/>
          <w:i/>
          <w:iCs/>
          <w:color w:val="1A1A1A"/>
          <w:sz w:val="24"/>
          <w:szCs w:val="24"/>
        </w:rPr>
        <w:t xml:space="preserve">8.1.2  Relationship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Type</w:t>
            </w:r>
          </w:p>
        </w:tc>
        <w:tc>
          <w:tcPr>
            <w:tcW w:type="dxa" w:w="64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Endpoints</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ATTRIBUTED_TO_CAMPAIGN</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ThreatActor → Campaign</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USES / USES_MALWARE</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Actor/Campaign → Malware</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USES_INFRA</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ThreatActor → Infrastructure</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HOSTS</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Infrastructure → Malware</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EMPLOYS / IMPLEMENTS</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Actor/Campaign/Malware → Technique</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HAS_IOC / OBSERVED_AS</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Malware/Infrastructure → Indicator</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TARGETS</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Actor/Campaign → Victim</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MENTIONED_IN</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Actor/Campaign/Malware → Report</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SHARES_UNIT</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ThreatActor → ThreatActor (e.g. GRU clusters)</w:t>
            </w:r>
          </w:p>
        </w:tc>
      </w:tr>
    </w:tbl>
    <w:p>
      <w:pPr>
        <w:spacing w:after="280" w:before="80"/>
        <w:jc w:val="center"/>
      </w:pPr>
      <w:r>
        <w:rPr>
          <w:rFonts w:ascii="Times New Roman" w:cs="Times New Roman" w:eastAsia="Times New Roman" w:hAnsi="Times New Roman"/>
          <w:i/>
          <w:iCs/>
          <w:sz w:val="20"/>
          <w:szCs w:val="20"/>
        </w:rPr>
        <w:t xml:space="preserve">Table 7.  Graph relationship types.</w:t>
      </w:r>
    </w:p>
    <w:p>
      <w:pPr>
        <w:pStyle w:val="Heading3"/>
        <w:spacing w:after="100" w:before="200"/>
      </w:pPr>
      <w:r>
        <w:rPr>
          <w:rFonts w:ascii="Times New Roman" w:cs="Times New Roman" w:eastAsia="Times New Roman" w:hAnsi="Times New Roman"/>
          <w:b/>
          <w:bCs/>
          <w:i/>
          <w:iCs/>
          <w:color w:val="1A1A1A"/>
          <w:sz w:val="24"/>
          <w:szCs w:val="24"/>
        </w:rPr>
        <w:t xml:space="preserve">8.1.3  Representative Cypher (design-level)</w:t>
      </w:r>
    </w:p>
    <w:p>
      <w:pPr>
        <w:spacing w:after="200" w:line="360"/>
        <w:jc w:val="both"/>
      </w:pPr>
      <w:r>
        <w:rPr>
          <w:rFonts w:ascii="Times New Roman" w:cs="Times New Roman" w:eastAsia="Times New Roman" w:hAnsi="Times New Roman"/>
          <w:sz w:val="24"/>
          <w:szCs w:val="24"/>
        </w:rPr>
        <w:t xml:space="preserve">Shared infrastructure, the flagship multi-hop query, is conceptually: match actors who USES_INFRA the same Infrastructure node as APT28, returning the node, the kind of infrastructure, and reports MENTIONED_IN along the path. Shared tooling is the same pattern on Malware hubs (Cobalt Strike, Mimikatz) with an explicit caution in the GraphRAG prompt that hub nodes are weak attribution. These queries are the reason Neo4j was selected in Section 6; they are not implementable as single-table selects.</w:t>
      </w:r>
    </w:p>
    <w:p>
      <w:pPr>
        <w:pStyle w:val="Heading2"/>
        <w:spacing w:after="140" w:before="280"/>
      </w:pPr>
      <w:r>
        <w:rPr>
          <w:rFonts w:ascii="Times New Roman" w:cs="Times New Roman" w:eastAsia="Times New Roman" w:hAnsi="Times New Roman"/>
          <w:b/>
          <w:bCs/>
          <w:color w:val="1B4F72"/>
          <w:sz w:val="26"/>
          <w:szCs w:val="26"/>
        </w:rPr>
        <w:t xml:space="preserve">8.2  Document schema (MongoDB)</w:t>
      </w:r>
    </w:p>
    <w:p>
      <w:pPr>
        <w:spacing w:after="200" w:line="360"/>
        <w:jc w:val="both"/>
      </w:pPr>
      <w:r>
        <w:rPr>
          <w:rFonts w:ascii="Times New Roman" w:cs="Times New Roman" w:eastAsia="Times New Roman" w:hAnsi="Times New Roman"/>
          <w:sz w:val="24"/>
          <w:szCs w:val="24"/>
        </w:rPr>
        <w:t xml:space="preserve">The reports collection is schema-flexible by design (Figure 4). A core envelope is conventional so that the UI can list documents. Nested objects are allowed to appear or vanish per report. That variation is the proof of the document model: the same collection holds a GRU spearphish report with an attribution object, a SolarWinds report with a build_pipeline object, and an ICS report with ics_protocols and no iocs[] array at all.</w:t>
      </w:r>
    </w:p>
    <w:p>
      <w:pPr>
        <w:spacing w:after="80" w:before="200"/>
        <w:jc w:val="center"/>
      </w:pPr>
      <w:r>
        <w:drawing>
          <wp:inline distT="0" distB="0" distL="0" distR="0">
            <wp:extent cx="5905500" cy="3619500"/>
            <wp:effectExtent t="0" r="0" b="0" l="0"/>
            <wp:docPr id="1" name="Figure 4 document schema" descr="Figure 4 document schema" title="Figure 4 documen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619500"/>
                    </a:xfrm>
                    <a:prstGeom prst="rect">
                      <a:avLst/>
                    </a:prstGeom>
                  </pic:spPr>
                </pic:pic>
              </a:graphicData>
            </a:graphic>
          </wp:inline>
        </w:drawing>
      </w:r>
    </w:p>
    <w:p>
      <w:pPr>
        <w:spacing w:after="280" w:before="80"/>
        <w:jc w:val="center"/>
      </w:pPr>
      <w:r>
        <w:rPr>
          <w:rFonts w:ascii="Times New Roman" w:cs="Times New Roman" w:eastAsia="Times New Roman" w:hAnsi="Times New Roman"/>
          <w:i/>
          <w:iCs/>
          <w:sz w:val="20"/>
          <w:szCs w:val="20"/>
        </w:rPr>
        <w:t xml:space="preserve">Figure 4.  Schema variation across three reports in one MongoDB collection.</w:t>
      </w:r>
    </w:p>
    <w:p>
      <w:pPr>
        <w:pStyle w:val="Heading3"/>
        <w:spacing w:after="100" w:before="200"/>
      </w:pPr>
      <w:r>
        <w:rPr>
          <w:rFonts w:ascii="Times New Roman" w:cs="Times New Roman" w:eastAsia="Times New Roman" w:hAnsi="Times New Roman"/>
          <w:b/>
          <w:bCs/>
          <w:i/>
          <w:iCs/>
          <w:color w:val="1A1A1A"/>
          <w:sz w:val="24"/>
          <w:szCs w:val="24"/>
        </w:rPr>
        <w:t xml:space="preserve">8.2.1  Core envelope (present on most documents)</w:t>
      </w:r>
    </w:p>
    <w:p>
      <w:pPr>
        <w:pStyle w:val="ListParagraph"/>
        <w:numPr>
          <w:ilvl w:val="0"/>
          <w:numId w:val="4"/>
        </w:numPr>
        <w:spacing w:after="80" w:line="276"/>
      </w:pPr>
      <w:r>
        <w:rPr>
          <w:rFonts w:ascii="Times New Roman" w:cs="Times New Roman" w:eastAsia="Times New Roman" w:hAnsi="Times New Roman"/>
          <w:sz w:val="24"/>
          <w:szCs w:val="24"/>
        </w:rPr>
        <w:t xml:space="preserve">_id string — same as graph Report.id</w:t>
      </w:r>
    </w:p>
    <w:p>
      <w:pPr>
        <w:pStyle w:val="ListParagraph"/>
        <w:numPr>
          <w:ilvl w:val="0"/>
          <w:numId w:val="4"/>
        </w:numPr>
        <w:spacing w:after="80" w:line="276"/>
      </w:pPr>
      <w:r>
        <w:rPr>
          <w:rFonts w:ascii="Times New Roman" w:cs="Times New Roman" w:eastAsia="Times New Roman" w:hAnsi="Times New Roman"/>
          <w:sz w:val="24"/>
          <w:szCs w:val="24"/>
        </w:rPr>
        <w:t xml:space="preserve">title, source, date, tlp, confidence, body</w:t>
      </w:r>
    </w:p>
    <w:p>
      <w:pPr>
        <w:pStyle w:val="ListParagraph"/>
        <w:numPr>
          <w:ilvl w:val="0"/>
          <w:numId w:val="4"/>
        </w:numPr>
        <w:spacing w:after="80" w:line="276"/>
      </w:pPr>
      <w:r>
        <w:rPr>
          <w:rFonts w:ascii="Times New Roman" w:cs="Times New Roman" w:eastAsia="Times New Roman" w:hAnsi="Times New Roman"/>
          <w:sz w:val="24"/>
          <w:szCs w:val="24"/>
        </w:rPr>
        <w:t xml:space="preserve">actors[], campaigns[], malware[], iocs[] — optional arrays of ids/values</w:t>
      </w:r>
    </w:p>
    <w:p>
      <w:pPr>
        <w:pStyle w:val="Heading3"/>
        <w:spacing w:after="100" w:before="200"/>
      </w:pPr>
      <w:r>
        <w:rPr>
          <w:rFonts w:ascii="Times New Roman" w:cs="Times New Roman" w:eastAsia="Times New Roman" w:hAnsi="Times New Roman"/>
          <w:b/>
          <w:bCs/>
          <w:i/>
          <w:iCs/>
          <w:color w:val="1A1A1A"/>
          <w:sz w:val="24"/>
          <w:szCs w:val="24"/>
        </w:rPr>
        <w:t xml:space="preserve">8.2.2  Optional, report-specific fields (examples)</w:t>
      </w:r>
    </w:p>
    <w:p>
      <w:pPr>
        <w:pStyle w:val="ListParagraph"/>
        <w:numPr>
          <w:ilvl w:val="0"/>
          <w:numId w:val="5"/>
        </w:numPr>
        <w:spacing w:after="80" w:line="276"/>
      </w:pPr>
      <w:r>
        <w:rPr>
          <w:rFonts w:ascii="Times New Roman" w:cs="Times New Roman" w:eastAsia="Times New Roman" w:hAnsi="Times New Roman"/>
          <w:sz w:val="24"/>
          <w:szCs w:val="24"/>
        </w:rPr>
        <w:t xml:space="preserve">attribution { country, units[], confidence }</w:t>
      </w:r>
    </w:p>
    <w:p>
      <w:pPr>
        <w:pStyle w:val="ListParagraph"/>
        <w:numPr>
          <w:ilvl w:val="0"/>
          <w:numId w:val="5"/>
        </w:numPr>
        <w:spacing w:after="80" w:line="276"/>
      </w:pPr>
      <w:r>
        <w:rPr>
          <w:rFonts w:ascii="Times New Roman" w:cs="Times New Roman" w:eastAsia="Times New Roman" w:hAnsi="Times New Roman"/>
          <w:sz w:val="24"/>
          <w:szCs w:val="24"/>
        </w:rPr>
        <w:t xml:space="preserve">build_pipeline { product, vector, signed }</w:t>
      </w:r>
    </w:p>
    <w:p>
      <w:pPr>
        <w:pStyle w:val="ListParagraph"/>
        <w:numPr>
          <w:ilvl w:val="0"/>
          <w:numId w:val="5"/>
        </w:numPr>
        <w:spacing w:after="80" w:line="276"/>
      </w:pPr>
      <w:r>
        <w:rPr>
          <w:rFonts w:ascii="Times New Roman" w:cs="Times New Roman" w:eastAsia="Times New Roman" w:hAnsi="Times New Roman"/>
          <w:sz w:val="24"/>
          <w:szCs w:val="24"/>
        </w:rPr>
        <w:t xml:space="preserve">ics_protocols[], outage_minutes</w:t>
      </w:r>
    </w:p>
    <w:p>
      <w:pPr>
        <w:pStyle w:val="ListParagraph"/>
        <w:numPr>
          <w:ilvl w:val="0"/>
          <w:numId w:val="5"/>
        </w:numPr>
        <w:spacing w:after="80" w:line="276"/>
      </w:pPr>
      <w:r>
        <w:rPr>
          <w:rFonts w:ascii="Times New Roman" w:cs="Times New Roman" w:eastAsia="Times New Roman" w:hAnsi="Times New Roman"/>
          <w:sz w:val="24"/>
          <w:szCs w:val="24"/>
        </w:rPr>
        <w:t xml:space="preserve">mitre[], cve[], wormable, kill_switch</w:t>
      </w:r>
    </w:p>
    <w:p>
      <w:pPr>
        <w:pStyle w:val="ListParagraph"/>
        <w:numPr>
          <w:ilvl w:val="0"/>
          <w:numId w:val="5"/>
        </w:numPr>
        <w:spacing w:after="80" w:line="276"/>
      </w:pPr>
      <w:r>
        <w:rPr>
          <w:rFonts w:ascii="Times New Roman" w:cs="Times New Roman" w:eastAsia="Times New Roman" w:hAnsi="Times New Roman"/>
          <w:sz w:val="24"/>
          <w:szCs w:val="24"/>
        </w:rPr>
        <w:t xml:space="preserve">payment_brands[], lure_themes[], initial_access, idp[]</w:t>
      </w:r>
    </w:p>
    <w:p>
      <w:pPr>
        <w:pStyle w:val="ListParagraph"/>
        <w:numPr>
          <w:ilvl w:val="0"/>
          <w:numId w:val="5"/>
        </w:numPr>
        <w:spacing w:after="80" w:line="276"/>
      </w:pPr>
      <w:r>
        <w:rPr>
          <w:rFonts w:ascii="Times New Roman" w:cs="Times New Roman" w:eastAsia="Times New Roman" w:hAnsi="Times New Roman"/>
          <w:sz w:val="24"/>
          <w:szCs w:val="24"/>
        </w:rPr>
        <w:t xml:space="preserve">yara_rule_name, package { name, platforms[] }</w:t>
      </w:r>
    </w:p>
    <w:p>
      <w:pPr>
        <w:spacing w:after="200" w:line="360"/>
        <w:jc w:val="both"/>
      </w:pPr>
      <w:r>
        <w:rPr>
          <w:rFonts w:ascii="Times New Roman" w:cs="Times New Roman" w:eastAsia="Times New Roman" w:hAnsi="Times New Roman"/>
          <w:sz w:val="24"/>
          <w:szCs w:val="24"/>
        </w:rPr>
        <w:t xml:space="preserve">Indexes (design): _id (primary), actors, date, tlp. No unique constraint on nested optional keys.</w:t>
      </w:r>
    </w:p>
    <w:p>
      <w:pPr>
        <w:pStyle w:val="Heading2"/>
        <w:spacing w:after="140" w:before="280"/>
      </w:pPr>
      <w:r>
        <w:rPr>
          <w:rFonts w:ascii="Times New Roman" w:cs="Times New Roman" w:eastAsia="Times New Roman" w:hAnsi="Times New Roman"/>
          <w:b/>
          <w:bCs/>
          <w:color w:val="1B4F72"/>
          <w:sz w:val="26"/>
          <w:szCs w:val="26"/>
        </w:rPr>
        <w:t xml:space="preserve">8.3  Redis key schema</w:t>
      </w:r>
    </w:p>
    <w:p>
      <w:pPr>
        <w:spacing w:after="200" w:line="360"/>
        <w:jc w:val="both"/>
      </w:pPr>
      <w:r>
        <w:rPr>
          <w:rFonts w:ascii="Times New Roman" w:cs="Times New Roman" w:eastAsia="Times New Roman" w:hAnsi="Times New Roman"/>
          <w:sz w:val="24"/>
          <w:szCs w:val="24"/>
        </w:rPr>
        <w:t xml:space="preserve">Key: ioc:{type}:{value}  →  JSON { value, type, actor, campaign, severity, ttl, published_by, published_at }. Expiry: EXPIRE set to the operational TTL chosen by the detection engineer (hours to days, not seconds). Secondary index: sorted set ioc:index scored by expiry unix timestamp, used to list the hot set in the console and to drive expiry alerts. Redis is not queried by actor name; that remains a graph query. Enforcement consumers use EXISTS/GET only.</w:t>
      </w:r>
    </w:p>
    <w:p>
      <w:pPr>
        <w:pStyle w:val="Heading2"/>
        <w:spacing w:after="140" w:before="280"/>
      </w:pPr>
      <w:r>
        <w:rPr>
          <w:rFonts w:ascii="Times New Roman" w:cs="Times New Roman" w:eastAsia="Times New Roman" w:hAnsi="Times New Roman"/>
          <w:b/>
          <w:bCs/>
          <w:color w:val="1B4F72"/>
          <w:sz w:val="26"/>
          <w:szCs w:val="26"/>
        </w:rPr>
        <w:t xml:space="preserve">8.4  Qdrant collection schema</w:t>
      </w:r>
    </w:p>
    <w:p>
      <w:pPr>
        <w:spacing w:after="200" w:line="360"/>
        <w:jc w:val="both"/>
      </w:pPr>
      <w:r>
        <w:rPr>
          <w:rFonts w:ascii="Times New Roman" w:cs="Times New Roman" w:eastAsia="Times New Roman" w:hAnsi="Times New Roman"/>
          <w:sz w:val="24"/>
          <w:szCs w:val="24"/>
        </w:rPr>
        <w:t xml:space="preserve">Collection threat_chunks. Vector: dense embedding of chunk text (dimension fixed at seed time). Distance: cosine. Payload: { id, report_id, title, source, date, chunk_index, text, actors[], campaigns[] }. Point id is a monotonic chunk id. Filter examples: actors contains apt28. k-NN is always over vectors; filters only restrict the candidate set [20].</w:t>
      </w:r>
    </w:p>
    <w:p>
      <w:pPr>
        <w:pStyle w:val="Heading2"/>
        <w:spacing w:after="140" w:before="280"/>
      </w:pPr>
      <w:r>
        <w:rPr>
          <w:rFonts w:ascii="Times New Roman" w:cs="Times New Roman" w:eastAsia="Times New Roman" w:hAnsi="Times New Roman"/>
          <w:b/>
          <w:bCs/>
          <w:color w:val="1B4F72"/>
          <w:sz w:val="26"/>
          <w:szCs w:val="26"/>
        </w:rPr>
        <w:t xml:space="preserve">8.5  Cross-model integrity rules</w:t>
      </w:r>
    </w:p>
    <w:p>
      <w:pPr>
        <w:pStyle w:val="ListParagraph"/>
        <w:numPr>
          <w:ilvl w:val="0"/>
          <w:numId w:val="6"/>
        </w:numPr>
        <w:spacing w:after="80" w:line="276"/>
      </w:pPr>
      <w:r>
        <w:rPr>
          <w:rFonts w:ascii="Times New Roman" w:cs="Times New Roman" w:eastAsia="Times New Roman" w:hAnsi="Times New Roman"/>
          <w:sz w:val="24"/>
          <w:szCs w:val="24"/>
        </w:rPr>
        <w:t xml:space="preserve">Every MongoDB _id has a Report node; every Report node has a document.</w:t>
      </w:r>
    </w:p>
    <w:p>
      <w:pPr>
        <w:pStyle w:val="ListParagraph"/>
        <w:numPr>
          <w:ilvl w:val="0"/>
          <w:numId w:val="6"/>
        </w:numPr>
        <w:spacing w:after="80" w:line="276"/>
      </w:pPr>
      <w:r>
        <w:rPr>
          <w:rFonts w:ascii="Times New Roman" w:cs="Times New Roman" w:eastAsia="Times New Roman" w:hAnsi="Times New Roman"/>
          <w:sz w:val="24"/>
          <w:szCs w:val="24"/>
        </w:rPr>
        <w:t xml:space="preserve">Every Redis key’s value is allowed to exist as an Indicator and/or as a string in some document’s iocs[].</w:t>
      </w:r>
    </w:p>
    <w:p>
      <w:pPr>
        <w:pStyle w:val="ListParagraph"/>
        <w:numPr>
          <w:ilvl w:val="0"/>
          <w:numId w:val="6"/>
        </w:numPr>
        <w:spacing w:after="80" w:line="276"/>
      </w:pPr>
      <w:r>
        <w:rPr>
          <w:rFonts w:ascii="Times New Roman" w:cs="Times New Roman" w:eastAsia="Times New Roman" w:hAnsi="Times New Roman"/>
          <w:sz w:val="24"/>
          <w:szCs w:val="24"/>
        </w:rPr>
        <w:t xml:space="preserve">Every Qdrant point.report_id exists in MongoDB.</w:t>
      </w:r>
    </w:p>
    <w:p>
      <w:pPr>
        <w:pStyle w:val="ListParagraph"/>
        <w:numPr>
          <w:ilvl w:val="0"/>
          <w:numId w:val="6"/>
        </w:numPr>
        <w:spacing w:after="80" w:line="276"/>
      </w:pPr>
      <w:r>
        <w:rPr>
          <w:rFonts w:ascii="Times New Roman" w:cs="Times New Roman" w:eastAsia="Times New Roman" w:hAnsi="Times New Roman"/>
          <w:sz w:val="24"/>
          <w:szCs w:val="24"/>
        </w:rPr>
        <w:t xml:space="preserve">Deleting a report in a later ingest version must delete its chunks and detach MENTIONED_IN edges (implementation Review–II).</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9.  Project Plan</w:t>
      </w:r>
    </w:p>
    <w:p>
      <w:pPr>
        <w:spacing w:after="200" w:line="360"/>
        <w:jc w:val="both"/>
      </w:pPr>
      <w:r>
        <w:rPr>
          <w:rFonts w:ascii="Times New Roman" w:cs="Times New Roman" w:eastAsia="Times New Roman" w:hAnsi="Times New Roman"/>
          <w:sz w:val="24"/>
          <w:szCs w:val="24"/>
        </w:rPr>
        <w:t xml:space="preserve">The plan runs from Review–I (this design) through a working workstation and evaluation. Weeks are for a major-project calendar. Implementation is of the real architecture in Sections 7–8, including ingest and TLP, not a reduced mock.</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38"/>
      </w:tblGrid>
      <w:tr>
        <w:tc>
          <w:tcPr>
            <w:tcW w:type="dxa" w:w="12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Week</w:t>
            </w:r>
          </w:p>
        </w:tc>
        <w:tc>
          <w:tcPr>
            <w:tcW w:type="dxa" w:w="22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Milestone</w:t>
            </w:r>
          </w:p>
        </w:tc>
        <w:tc>
          <w:tcPr>
            <w:tcW w:type="dxa" w:w="62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Work</w:t>
            </w:r>
          </w:p>
        </w:tc>
      </w:tr>
      <w:tr>
        <w:tc>
          <w:tcPr>
            <w:tcW w:type="dxa" w:w="1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1–2</w:t>
            </w:r>
          </w:p>
        </w:tc>
        <w:tc>
          <w:tcPr>
            <w:tcW w:type="dxa" w:w="2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Review–I</w:t>
            </w:r>
          </w:p>
        </w:tc>
        <w:tc>
          <w:tcPr>
            <w:tcW w:type="dxa" w:w="6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Problem, survey, gaps, requirements, store selection, architecture, schemas</w:t>
            </w:r>
          </w:p>
        </w:tc>
      </w:tr>
      <w:tr>
        <w:tc>
          <w:tcPr>
            <w:tcW w:type="dxa" w:w="1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3–4</w:t>
            </w:r>
          </w:p>
        </w:tc>
        <w:tc>
          <w:tcPr>
            <w:tcW w:type="dxa" w:w="2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Platform foundation</w:t>
            </w:r>
          </w:p>
        </w:tc>
        <w:tc>
          <w:tcPr>
            <w:tcW w:type="dxa" w:w="6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Four stores, health/SLO endpoints, ingest contract, auth stub</w:t>
            </w:r>
          </w:p>
        </w:tc>
      </w:tr>
      <w:tr>
        <w:tc>
          <w:tcPr>
            <w:tcW w:type="dxa" w:w="1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5–6</w:t>
            </w:r>
          </w:p>
        </w:tc>
        <w:tc>
          <w:tcPr>
            <w:tcW w:type="dxa" w:w="2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 + documents</w:t>
            </w:r>
          </w:p>
        </w:tc>
        <w:tc>
          <w:tcPr>
            <w:tcW w:type="dxa" w:w="6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Neo4j schema + Cypher library; MongoDB reports/STIX + TLP-aware API</w:t>
            </w:r>
          </w:p>
        </w:tc>
      </w:tr>
      <w:tr>
        <w:tc>
          <w:tcPr>
            <w:tcW w:type="dxa" w:w="1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7</w:t>
            </w:r>
          </w:p>
        </w:tc>
        <w:tc>
          <w:tcPr>
            <w:tcW w:type="dxa" w:w="2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Enforcement plane</w:t>
            </w:r>
          </w:p>
        </w:tc>
        <w:tc>
          <w:tcPr>
            <w:tcW w:type="dxa" w:w="6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Redis IOC keys, TTL publish/revoke, consumer GET path, console</w:t>
            </w:r>
          </w:p>
        </w:tc>
      </w:tr>
      <w:tr>
        <w:tc>
          <w:tcPr>
            <w:tcW w:type="dxa" w:w="1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8</w:t>
            </w:r>
          </w:p>
        </w:tc>
        <w:tc>
          <w:tcPr>
            <w:tcW w:type="dxa" w:w="2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Vectors</w:t>
            </w:r>
          </w:p>
        </w:tc>
        <w:tc>
          <w:tcPr>
            <w:tcW w:type="dxa" w:w="6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Chunking, embeddings, Qdrant upsert, filtered similarity search</w:t>
            </w:r>
          </w:p>
        </w:tc>
      </w:tr>
      <w:tr>
        <w:tc>
          <w:tcPr>
            <w:tcW w:type="dxa" w:w="1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9–10</w:t>
            </w:r>
          </w:p>
        </w:tc>
        <w:tc>
          <w:tcPr>
            <w:tcW w:type="dxa" w:w="2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GraphRAG + audit</w:t>
            </w:r>
          </w:p>
        </w:tc>
        <w:tc>
          <w:tcPr>
            <w:tcW w:type="dxa" w:w="6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Orchestrator, local LLM, citations, replay log</w:t>
            </w:r>
          </w:p>
        </w:tc>
      </w:tr>
      <w:tr>
        <w:tc>
          <w:tcPr>
            <w:tcW w:type="dxa" w:w="1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11</w:t>
            </w:r>
          </w:p>
        </w:tc>
        <w:tc>
          <w:tcPr>
            <w:tcW w:type="dxa" w:w="2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Analyst console</w:t>
            </w:r>
          </w:p>
        </w:tc>
        <w:tc>
          <w:tcPr>
            <w:tcW w:type="dxa" w:w="6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Five surfaces; UC1–UC4; ingest UI for new reports</w:t>
            </w:r>
          </w:p>
        </w:tc>
      </w:tr>
      <w:tr>
        <w:tc>
          <w:tcPr>
            <w:tcW w:type="dxa" w:w="1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12</w:t>
            </w:r>
          </w:p>
        </w:tc>
        <w:tc>
          <w:tcPr>
            <w:tcW w:type="dxa" w:w="2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Review–II</w:t>
            </w:r>
          </w:p>
        </w:tc>
        <w:tc>
          <w:tcPr>
            <w:tcW w:type="dxa" w:w="6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Working workstation; implementation report</w:t>
            </w:r>
          </w:p>
        </w:tc>
      </w:tr>
      <w:tr>
        <w:tc>
          <w:tcPr>
            <w:tcW w:type="dxa" w:w="1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13–14</w:t>
            </w:r>
          </w:p>
        </w:tc>
        <w:tc>
          <w:tcPr>
            <w:tcW w:type="dxa" w:w="2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Evaluation</w:t>
            </w:r>
          </w:p>
        </w:tc>
        <w:tc>
          <w:tcPr>
            <w:tcW w:type="dxa" w:w="62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Gold-path correctness; latency SLOs; citation coverage; ingest consistency tests</w:t>
            </w:r>
          </w:p>
        </w:tc>
      </w:tr>
      <w:tr>
        <w:tc>
          <w:tcPr>
            <w:tcW w:type="dxa" w:w="1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15–16</w:t>
            </w:r>
          </w:p>
        </w:tc>
        <w:tc>
          <w:tcPr>
            <w:tcW w:type="dxa" w:w="2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Review–III</w:t>
            </w:r>
          </w:p>
        </w:tc>
        <w:tc>
          <w:tcPr>
            <w:tcW w:type="dxa" w:w="62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Write-up, limitations, operational runbook</w:t>
            </w:r>
          </w:p>
        </w:tc>
      </w:tr>
    </w:tbl>
    <w:p>
      <w:pPr>
        <w:spacing w:after="280" w:before="80"/>
        <w:jc w:val="center"/>
      </w:pPr>
      <w:r>
        <w:rPr>
          <w:rFonts w:ascii="Times New Roman" w:cs="Times New Roman" w:eastAsia="Times New Roman" w:hAnsi="Times New Roman"/>
          <w:i/>
          <w:iCs/>
          <w:sz w:val="20"/>
          <w:szCs w:val="20"/>
        </w:rPr>
        <w:t xml:space="preserve">Table 8.  Project plan mapped to reviews.</w:t>
      </w:r>
    </w:p>
    <w:p>
      <w:pPr>
        <w:pStyle w:val="Heading2"/>
        <w:spacing w:after="140" w:before="280"/>
      </w:pPr>
      <w:r>
        <w:rPr>
          <w:rFonts w:ascii="Times New Roman" w:cs="Times New Roman" w:eastAsia="Times New Roman" w:hAnsi="Times New Roman"/>
          <w:b/>
          <w:bCs/>
          <w:color w:val="1B4F72"/>
          <w:sz w:val="26"/>
          <w:szCs w:val="26"/>
        </w:rPr>
        <w:t xml:space="preserve">9.1  Risks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Risk</w:t>
            </w:r>
          </w:p>
        </w:tc>
        <w:tc>
          <w:tcPr>
            <w:tcW w:type="dxa" w:w="6438"/>
            <w:tcBorders>
              <w:top w:val="single" w:color="A0A7B0" w:sz="4"/>
              <w:left w:val="single" w:color="A0A7B0" w:sz="4"/>
              <w:bottom w:val="single" w:color="A0A7B0" w:sz="4"/>
              <w:right w:val="single" w:color="A0A7B0" w:sz="4"/>
            </w:tcBorders>
            <w:shd w:fill="E8EEF4" w:val="clear"/>
            <w:tcMar>
              <w:top w:type="dxa" w:w="60"/>
              <w:left w:type="dxa" w:w="80"/>
              <w:bottom w:type="dxa" w:w="60"/>
              <w:right w:type="dxa" w:w="80"/>
            </w:tcMar>
            <w:vAlign w:val="center"/>
          </w:tcPr>
          <w:p>
            <w:pPr>
              <w:spacing w:after="0" w:line="276"/>
              <w:jc w:val="center"/>
            </w:pPr>
            <w:r>
              <w:rPr>
                <w:rFonts w:ascii="Times New Roman" w:cs="Times New Roman" w:eastAsia="Times New Roman" w:hAnsi="Times New Roman"/>
                <w:b/>
                <w:bCs/>
                <w:sz w:val="20"/>
                <w:szCs w:val="20"/>
              </w:rPr>
              <w:t xml:space="preserve">Mitigation</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Local LLM too slow / unavailable</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Retrieve-only mode still returns graph, chunks, documents, IOCs; LLM optional for prose</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Ingest fan-out partial failure</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Job log + idempotent retry; GraphRAG refuses docs without a Report node</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Corpus growth / hub nodes</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Query budgets (max hops, max neighbours on Mimikatz/Beacon); payload filters in Qdrant</w:t>
            </w:r>
          </w:p>
        </w:tc>
      </w:tr>
      <w:tr>
        <w:tc>
          <w:tcPr>
            <w:tcW w:type="dxa" w:w="3200"/>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Hallucinated GraphRAG answers</w:t>
            </w:r>
          </w:p>
        </w:tc>
        <w:tc>
          <w:tcPr>
            <w:tcW w:type="dxa" w:w="6438"/>
            <w:tcBorders>
              <w:top w:val="single" w:color="A0A7B0" w:sz="4"/>
              <w:left w:val="single" w:color="A0A7B0" w:sz="4"/>
              <w:bottom w:val="single" w:color="A0A7B0" w:sz="4"/>
              <w:right w:val="single" w:color="A0A7B0" w:sz="4"/>
            </w:tcBorders>
            <w:shd w:fill="F7F5F1"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Refuse-if-missing prompt; evidence panel mandatory; citation-coverage metric</w:t>
            </w:r>
          </w:p>
        </w:tc>
      </w:tr>
      <w:tr>
        <w:tc>
          <w:tcPr>
            <w:tcW w:type="dxa" w:w="3200"/>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Scope creep (clone all of OpenCTI)</w:t>
            </w:r>
          </w:p>
        </w:tc>
        <w:tc>
          <w:tcPr>
            <w:tcW w:type="dxa" w:w="6438"/>
            <w:tcBorders>
              <w:top w:val="single" w:color="A0A7B0" w:sz="4"/>
              <w:left w:val="single" w:color="A0A7B0" w:sz="4"/>
              <w:bottom w:val="single" w:color="A0A7B0" w:sz="4"/>
              <w:right w:val="single" w:color="A0A7B0" w:sz="4"/>
            </w:tcBorders>
            <w:shd w:fill="FFFFFF" w:val="clear"/>
            <w:tcMar>
              <w:top w:type="dxa" w:w="60"/>
              <w:left w:type="dxa" w:w="80"/>
              <w:bottom w:type="dxa" w:w="60"/>
              <w:right w:type="dxa" w:w="80"/>
            </w:tcMar>
            <w:vAlign w:val="center"/>
          </w:tcPr>
          <w:p>
            <w:pPr>
              <w:spacing w:after="0" w:line="276"/>
              <w:jc w:val="left"/>
            </w:pPr>
            <w:r>
              <w:rPr>
                <w:rFonts w:ascii="Times New Roman" w:cs="Times New Roman" w:eastAsia="Times New Roman" w:hAnsi="Times New Roman"/>
                <w:b w:val="false"/>
                <w:bCs w:val="false"/>
                <w:sz w:val="20"/>
                <w:szCs w:val="20"/>
              </w:rPr>
              <w:t xml:space="preserve">Freeze FR1–FR12; TAXII pull is ingest, not a full sharing community</w:t>
            </w:r>
          </w:p>
        </w:tc>
      </w:tr>
    </w:tbl>
    <w:p>
      <w:pPr>
        <w:spacing w:after="280" w:before="80"/>
        <w:jc w:val="center"/>
      </w:pPr>
      <w:r>
        <w:rPr>
          <w:rFonts w:ascii="Times New Roman" w:cs="Times New Roman" w:eastAsia="Times New Roman" w:hAnsi="Times New Roman"/>
          <w:i/>
          <w:iCs/>
          <w:sz w:val="20"/>
          <w:szCs w:val="20"/>
        </w:rPr>
        <w:t xml:space="preserve">Table 9.  Risks and mitigations.</w:t>
      </w:r>
    </w:p>
    <w:p>
      <w:pPr>
        <w:pStyle w:val="Heading2"/>
        <w:spacing w:after="140" w:before="280"/>
      </w:pPr>
      <w:r>
        <w:rPr>
          <w:rFonts w:ascii="Times New Roman" w:cs="Times New Roman" w:eastAsia="Times New Roman" w:hAnsi="Times New Roman"/>
          <w:b/>
          <w:bCs/>
          <w:color w:val="1B4F72"/>
          <w:sz w:val="26"/>
          <w:szCs w:val="26"/>
        </w:rPr>
        <w:t xml:space="preserve">9.2  Review mapping</w:t>
      </w:r>
    </w:p>
    <w:p>
      <w:pPr>
        <w:spacing w:after="200" w:line="360"/>
        <w:jc w:val="both"/>
      </w:pPr>
      <w:r>
        <w:rPr>
          <w:rFonts w:ascii="Times New Roman" w:cs="Times New Roman" w:eastAsia="Times New Roman" w:hAnsi="Times New Roman"/>
          <w:sz w:val="24"/>
          <w:szCs w:val="24"/>
        </w:rPr>
        <w:t xml:space="preserve">Review–I (this document): problem identification and design of the operational platform. Review–II: implement ingest, four stores, GraphRAG, TLP API, and analyst console against FR1–FR12. Review–III: evaluate NFR2–NFR4 and NFR8, document limitations, and show that gaps G1–G5 are closed in the running system.</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10.  Conclusion of Review–I</w:t>
      </w:r>
    </w:p>
    <w:p>
      <w:pPr>
        <w:spacing w:after="200" w:line="360"/>
        <w:jc w:val="both"/>
      </w:pPr>
      <w:r>
        <w:rPr>
          <w:rFonts w:ascii="Times New Roman" w:cs="Times New Roman" w:eastAsia="Times New Roman" w:hAnsi="Times New Roman"/>
          <w:sz w:val="24"/>
          <w:szCs w:val="24"/>
        </w:rPr>
        <w:t xml:space="preserve">CTI is a polyglot data problem. Relationships belong on a graph; reports belong in documents; live indicators belong in TTL keys; similar prose belongs in a vector index; analyst questions belong to GraphRAG rather than ungrounded generation. The literature supports each of those sentences separately [1], [8], [9], [12], [21], [23]. What it does not yet offer is an operational workstation that holds all of them, with ingest, TLP, and auditable answers. That is the platform this project will implement. The architecture, store selection, and schemas in this report are the Review–I baseline for that build.</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References</w:t>
      </w:r>
    </w:p>
    <w:p>
      <w:pPr>
        <w:spacing w:after="140" w:line="276"/>
        <w:jc w:val="both"/>
      </w:pPr>
      <w:r>
        <w:rPr>
          <w:rFonts w:ascii="Times New Roman" w:cs="Times New Roman" w:eastAsia="Times New Roman" w:hAnsi="Times New Roman"/>
          <w:sz w:val="22"/>
          <w:szCs w:val="22"/>
        </w:rPr>
        <w:t xml:space="preserve">[1]  W. Tounsi and H. Rais, “A survey on technical threat intelligence in the age of information sharing,” Computers &amp; Security, vol. 72, pp. 212–233, 2018.</w:t>
      </w:r>
    </w:p>
    <w:p>
      <w:pPr>
        <w:spacing w:after="140" w:line="276"/>
        <w:jc w:val="both"/>
      </w:pPr>
      <w:r>
        <w:rPr>
          <w:rFonts w:ascii="Times New Roman" w:cs="Times New Roman" w:eastAsia="Times New Roman" w:hAnsi="Times New Roman"/>
          <w:sz w:val="22"/>
          <w:szCs w:val="22"/>
        </w:rPr>
        <w:t xml:space="preserve">[2]  F. Skopik, G. Settanni, and R. Fiedler, “A problem shared is a problem halved: A survey on the dimensions of collective cyber defense through security information sharing,” Computers &amp; Security, vol. 60, pp. 154–176, 2016.</w:t>
      </w:r>
    </w:p>
    <w:p>
      <w:pPr>
        <w:spacing w:after="140" w:line="276"/>
        <w:jc w:val="both"/>
      </w:pPr>
      <w:r>
        <w:rPr>
          <w:rFonts w:ascii="Times New Roman" w:cs="Times New Roman" w:eastAsia="Times New Roman" w:hAnsi="Times New Roman"/>
          <w:sz w:val="22"/>
          <w:szCs w:val="22"/>
        </w:rPr>
        <w:t xml:space="preserve">[3]  OASIS Open, “STIX Version 2.1,” OASIS Standard, June 2021. [Online]. Available: https://docs.oasis-open.org/cti/stix/v2.1/</w:t>
      </w:r>
    </w:p>
    <w:p>
      <w:pPr>
        <w:spacing w:after="140" w:line="276"/>
        <w:jc w:val="both"/>
      </w:pPr>
      <w:r>
        <w:rPr>
          <w:rFonts w:ascii="Times New Roman" w:cs="Times New Roman" w:eastAsia="Times New Roman" w:hAnsi="Times New Roman"/>
          <w:sz w:val="22"/>
          <w:szCs w:val="22"/>
        </w:rPr>
        <w:t xml:space="preserve">[4]  B. E. Strom et al., “MITRE ATT&amp;CK: Design and Philosophy,” The MITRE Corporation, 2020.</w:t>
      </w:r>
    </w:p>
    <w:p>
      <w:pPr>
        <w:spacing w:after="140" w:line="276"/>
        <w:jc w:val="both"/>
      </w:pPr>
      <w:r>
        <w:rPr>
          <w:rFonts w:ascii="Times New Roman" w:cs="Times New Roman" w:eastAsia="Times New Roman" w:hAnsi="Times New Roman"/>
          <w:sz w:val="22"/>
          <w:szCs w:val="22"/>
        </w:rPr>
        <w:t xml:space="preserve">[5]  C. Wagner, A. Dulaunoy, G. Wagener, and A. Iklody, “MISP: The design and implementation of a collaborative threat intelligence sharing platform,” in Proc. ACM Workshop on Information Sharing and Collaborative Security (WISCS), 2016, pp. 49–56.</w:t>
      </w:r>
    </w:p>
    <w:p>
      <w:pPr>
        <w:spacing w:after="140" w:line="276"/>
        <w:jc w:val="both"/>
      </w:pPr>
      <w:r>
        <w:rPr>
          <w:rFonts w:ascii="Times New Roman" w:cs="Times New Roman" w:eastAsia="Times New Roman" w:hAnsi="Times New Roman"/>
          <w:sz w:val="22"/>
          <w:szCs w:val="22"/>
        </w:rPr>
        <w:t xml:space="preserve">[6]  X. Liao et al., “Acing the IOC game: Toward automatic discovery and analysis of open-source cyber threat intelligence,” in Proc. ACM CCS, 2016, pp. 755–766.</w:t>
      </w:r>
    </w:p>
    <w:p>
      <w:pPr>
        <w:spacing w:after="140" w:line="276"/>
        <w:jc w:val="both"/>
      </w:pPr>
      <w:r>
        <w:rPr>
          <w:rFonts w:ascii="Times New Roman" w:cs="Times New Roman" w:eastAsia="Times New Roman" w:hAnsi="Times New Roman"/>
          <w:sz w:val="22"/>
          <w:szCs w:val="22"/>
        </w:rPr>
        <w:t xml:space="preserve">[7]  G. Husari, E. Al-Shaer, M. Ahmed, B. Chu, and X. Niu, “TTPDrill: Automatic and accurate extraction of threat actions from unstructured text of CTI sources,” in Proc. ACSAC, 2017, pp. 103–115.</w:t>
      </w:r>
    </w:p>
    <w:p>
      <w:pPr>
        <w:spacing w:after="140" w:line="276"/>
        <w:jc w:val="both"/>
      </w:pPr>
      <w:r>
        <w:rPr>
          <w:rFonts w:ascii="Times New Roman" w:cs="Times New Roman" w:eastAsia="Times New Roman" w:hAnsi="Times New Roman"/>
          <w:sz w:val="22"/>
          <w:szCs w:val="22"/>
        </w:rPr>
        <w:t xml:space="preserve">[8]  M. Stonebraker and U. Çetintemel, “‘One size fits all’: An idea whose time has come and gone,” in Proc. ICDE, 2005, pp. 2–11.</w:t>
      </w:r>
    </w:p>
    <w:p>
      <w:pPr>
        <w:spacing w:after="140" w:line="276"/>
        <w:jc w:val="both"/>
      </w:pPr>
      <w:r>
        <w:rPr>
          <w:rFonts w:ascii="Times New Roman" w:cs="Times New Roman" w:eastAsia="Times New Roman" w:hAnsi="Times New Roman"/>
          <w:sz w:val="22"/>
          <w:szCs w:val="22"/>
        </w:rPr>
        <w:t xml:space="preserve">[9]  P. J. Sadalage and M. Fowler, NoSQL Distilled: A Brief Guide to the Emerging World of Polyglot Persistence. Addison-Wesley, 2012.</w:t>
      </w:r>
    </w:p>
    <w:p>
      <w:pPr>
        <w:spacing w:after="140" w:line="276"/>
        <w:jc w:val="both"/>
      </w:pPr>
      <w:r>
        <w:rPr>
          <w:rFonts w:ascii="Times New Roman" w:cs="Times New Roman" w:eastAsia="Times New Roman" w:hAnsi="Times New Roman"/>
          <w:sz w:val="22"/>
          <w:szCs w:val="22"/>
        </w:rPr>
        <w:t xml:space="preserve">[10]  R. Cattell, “Scalable SQL and NoSQL data stores,” ACM SIGMOD Record, vol. 39, no. 4, pp. 12–27, 2011.</w:t>
      </w:r>
    </w:p>
    <w:p>
      <w:pPr>
        <w:spacing w:after="140" w:line="276"/>
        <w:jc w:val="both"/>
      </w:pPr>
      <w:r>
        <w:rPr>
          <w:rFonts w:ascii="Times New Roman" w:cs="Times New Roman" w:eastAsia="Times New Roman" w:hAnsi="Times New Roman"/>
          <w:sz w:val="22"/>
          <w:szCs w:val="22"/>
        </w:rPr>
        <w:t xml:space="preserve">[11]  E. Brewer, “CAP twelve years later: How the ‘rules’ have changed,” Computer, vol. 45, no. 2, pp. 23–29, 2012.</w:t>
      </w:r>
    </w:p>
    <w:p>
      <w:pPr>
        <w:spacing w:after="140" w:line="276"/>
        <w:jc w:val="both"/>
      </w:pPr>
      <w:r>
        <w:rPr>
          <w:rFonts w:ascii="Times New Roman" w:cs="Times New Roman" w:eastAsia="Times New Roman" w:hAnsi="Times New Roman"/>
          <w:sz w:val="22"/>
          <w:szCs w:val="22"/>
        </w:rPr>
        <w:t xml:space="preserve">[12]  I. Robinson, J. Webber, and E. Eifrem, Graph Databases, 2nd ed. O’Reilly Media, 2015.</w:t>
      </w:r>
    </w:p>
    <w:p>
      <w:pPr>
        <w:spacing w:after="140" w:line="276"/>
        <w:jc w:val="both"/>
      </w:pPr>
      <w:r>
        <w:rPr>
          <w:rFonts w:ascii="Times New Roman" w:cs="Times New Roman" w:eastAsia="Times New Roman" w:hAnsi="Times New Roman"/>
          <w:sz w:val="22"/>
          <w:szCs w:val="22"/>
        </w:rPr>
        <w:t xml:space="preserve">[13]  S. Noel et al., “CyGraph: Graph-based analytics and visualization for cybersecurity,” in Handbook of Statistics, vol. 35. Elsevier, 2016, pp. 117–167.</w:t>
      </w:r>
    </w:p>
    <w:p>
      <w:pPr>
        <w:spacing w:after="140" w:line="276"/>
        <w:jc w:val="both"/>
      </w:pPr>
      <w:r>
        <w:rPr>
          <w:rFonts w:ascii="Times New Roman" w:cs="Times New Roman" w:eastAsia="Times New Roman" w:hAnsi="Times New Roman"/>
          <w:sz w:val="22"/>
          <w:szCs w:val="22"/>
        </w:rPr>
        <w:t xml:space="preserve">[14]  A. Piplai, S. Mittal, A. Joshi, T. Finin, J. Holt, and R. Zak, “Creating cybersecurity knowledge graphs from malware after action reports,” IEEE Access, vol. 8, pp. 211691–211703, 2020.</w:t>
      </w:r>
    </w:p>
    <w:p>
      <w:pPr>
        <w:spacing w:after="140" w:line="276"/>
        <w:jc w:val="both"/>
      </w:pPr>
      <w:r>
        <w:rPr>
          <w:rFonts w:ascii="Times New Roman" w:cs="Times New Roman" w:eastAsia="Times New Roman" w:hAnsi="Times New Roman"/>
          <w:sz w:val="22"/>
          <w:szCs w:val="22"/>
        </w:rPr>
        <w:t xml:space="preserve">[15]  I. Sarhan and M. Spruit, “Open-CyKG: An open cyber threat intelligence knowledge graph,” Knowledge-Based Systems, vol. 227, 2021.</w:t>
      </w:r>
    </w:p>
    <w:p>
      <w:pPr>
        <w:spacing w:after="140" w:line="276"/>
        <w:jc w:val="both"/>
      </w:pPr>
      <w:r>
        <w:rPr>
          <w:rFonts w:ascii="Times New Roman" w:cs="Times New Roman" w:eastAsia="Times New Roman" w:hAnsi="Times New Roman"/>
          <w:sz w:val="22"/>
          <w:szCs w:val="22"/>
        </w:rPr>
        <w:t xml:space="preserve">[16]  Filigran, “OpenCTI documentation,” 2024. [Online]. Available: https://docs.opencti.io/</w:t>
      </w:r>
    </w:p>
    <w:p>
      <w:pPr>
        <w:spacing w:after="140" w:line="276"/>
        <w:jc w:val="both"/>
      </w:pPr>
      <w:r>
        <w:rPr>
          <w:rFonts w:ascii="Times New Roman" w:cs="Times New Roman" w:eastAsia="Times New Roman" w:hAnsi="Times New Roman"/>
          <w:sz w:val="22"/>
          <w:szCs w:val="22"/>
        </w:rPr>
        <w:t xml:space="preserve">[17]  MongoDB, Inc., “MongoDB manual (document model),” 2024.</w:t>
      </w:r>
    </w:p>
    <w:p>
      <w:pPr>
        <w:spacing w:after="140" w:line="276"/>
        <w:jc w:val="both"/>
      </w:pPr>
      <w:r>
        <w:rPr>
          <w:rFonts w:ascii="Times New Roman" w:cs="Times New Roman" w:eastAsia="Times New Roman" w:hAnsi="Times New Roman"/>
          <w:sz w:val="22"/>
          <w:szCs w:val="22"/>
        </w:rPr>
        <w:t xml:space="preserve">[18]  Redis Ltd., “Redis documentation: EXPIRE, eviction, and key–value operations,” 2024.</w:t>
      </w:r>
    </w:p>
    <w:p>
      <w:pPr>
        <w:spacing w:after="140" w:line="276"/>
        <w:jc w:val="both"/>
      </w:pPr>
      <w:r>
        <w:rPr>
          <w:rFonts w:ascii="Times New Roman" w:cs="Times New Roman" w:eastAsia="Times New Roman" w:hAnsi="Times New Roman"/>
          <w:sz w:val="22"/>
          <w:szCs w:val="22"/>
        </w:rPr>
        <w:t xml:space="preserve">[19]  Y. A. Malkov and D. A. Yashunin, “Efficient and robust approximate nearest neighbor search using hierarchical navigable small world graphs,” IEEE Trans. Pattern Anal. Mach. Intell., vol. 42, no. 4, pp. 824–836, 2020.</w:t>
      </w:r>
    </w:p>
    <w:p>
      <w:pPr>
        <w:spacing w:after="140" w:line="276"/>
        <w:jc w:val="both"/>
      </w:pPr>
      <w:r>
        <w:rPr>
          <w:rFonts w:ascii="Times New Roman" w:cs="Times New Roman" w:eastAsia="Times New Roman" w:hAnsi="Times New Roman"/>
          <w:sz w:val="22"/>
          <w:szCs w:val="22"/>
        </w:rPr>
        <w:t xml:space="preserve">[20]  Qdrant, “Qdrant documentation: collections, HNSW, and payload filtering,” 2024.</w:t>
      </w:r>
    </w:p>
    <w:p>
      <w:pPr>
        <w:spacing w:after="140" w:line="276"/>
        <w:jc w:val="both"/>
      </w:pPr>
      <w:r>
        <w:rPr>
          <w:rFonts w:ascii="Times New Roman" w:cs="Times New Roman" w:eastAsia="Times New Roman" w:hAnsi="Times New Roman"/>
          <w:sz w:val="22"/>
          <w:szCs w:val="22"/>
        </w:rPr>
        <w:t xml:space="preserve">[21]  P. Lewis et al., “Retrieval-augmented generation for knowledge-intensive NLP tasks,” in Proc. NeurIPS, 2020.</w:t>
      </w:r>
    </w:p>
    <w:p>
      <w:pPr>
        <w:spacing w:after="140" w:line="276"/>
        <w:jc w:val="both"/>
      </w:pPr>
      <w:r>
        <w:rPr>
          <w:rFonts w:ascii="Times New Roman" w:cs="Times New Roman" w:eastAsia="Times New Roman" w:hAnsi="Times New Roman"/>
          <w:sz w:val="22"/>
          <w:szCs w:val="22"/>
        </w:rPr>
        <w:t xml:space="preserve">[22]  V. Karpukhin et al., “Dense passage retrieval for open-domain question answering,” in Proc. EMNLP, 2020, pp. 6769–6781.</w:t>
      </w:r>
    </w:p>
    <w:p>
      <w:pPr>
        <w:spacing w:after="140" w:line="276"/>
        <w:jc w:val="both"/>
      </w:pPr>
      <w:r>
        <w:rPr>
          <w:rFonts w:ascii="Times New Roman" w:cs="Times New Roman" w:eastAsia="Times New Roman" w:hAnsi="Times New Roman"/>
          <w:sz w:val="22"/>
          <w:szCs w:val="22"/>
        </w:rPr>
        <w:t xml:space="preserve">[23]  D. Edge et al., “From local to global: A graph RAG approach to query-focused summarization,” arXiv:2404.16130, 2024.</w:t>
      </w:r>
    </w:p>
    <w:p>
      <w:pPr>
        <w:spacing w:after="140" w:line="276"/>
        <w:jc w:val="both"/>
      </w:pPr>
      <w:r>
        <w:rPr>
          <w:rFonts w:ascii="Times New Roman" w:cs="Times New Roman" w:eastAsia="Times New Roman" w:hAnsi="Times New Roman"/>
          <w:sz w:val="22"/>
          <w:szCs w:val="22"/>
        </w:rPr>
        <w:t xml:space="preserve">[24]  B. Peng et al., “Graph retrieval-augmented generation: A survey,” arXiv:2408.08921, 2024.</w:t>
      </w:r>
    </w:p>
    <w:p>
      <w:pPr>
        <w:spacing w:after="140" w:line="276"/>
        <w:jc w:val="both"/>
      </w:pPr>
      <w:r>
        <w:rPr>
          <w:rFonts w:ascii="Times New Roman" w:cs="Times New Roman" w:eastAsia="Times New Roman" w:hAnsi="Times New Roman"/>
          <w:sz w:val="22"/>
          <w:szCs w:val="22"/>
        </w:rPr>
        <w:t xml:space="preserve">[25]  M. Yasunaga, H. Ren, A. Bosselut, P. Liang, and J. Leskovec, “QA-GNN: Reasoning with language models and knowledge graphs for question answering,” in Proc. NAACL, 2021.</w:t>
      </w:r>
    </w:p>
    <w:p>
      <w:pPr>
        <w:spacing w:after="140" w:line="276"/>
        <w:jc w:val="both"/>
      </w:pPr>
      <w:r>
        <w:rPr>
          <w:rFonts w:ascii="Times New Roman" w:cs="Times New Roman" w:eastAsia="Times New Roman" w:hAnsi="Times New Roman"/>
          <w:sz w:val="22"/>
          <w:szCs w:val="22"/>
        </w:rPr>
        <w:t xml:space="preserve">[26]  Neo4j, Inc., “Neo4j Cypher manual,” 2024.</w:t>
      </w:r>
    </w:p>
    <w:p>
      <w:pPr>
        <w:spacing w:after="140" w:line="276"/>
        <w:jc w:val="both"/>
      </w:pPr>
      <w:r>
        <w:rPr>
          <w:rFonts w:ascii="Times New Roman" w:cs="Times New Roman" w:eastAsia="Times New Roman" w:hAnsi="Times New Roman"/>
          <w:sz w:val="22"/>
          <w:szCs w:val="22"/>
        </w:rPr>
        <w:t xml:space="preserve">[27]  ENISA, “ENISA threat landscape,” European Union Agency for Cybersecurity, 2024.</w:t>
      </w:r>
    </w:p>
    <w:p>
      <w:pPr>
        <w:spacing w:after="140" w:line="276"/>
        <w:jc w:val="both"/>
      </w:pPr>
      <w:r>
        <w:rPr>
          <w:rFonts w:ascii="Times New Roman" w:cs="Times New Roman" w:eastAsia="Times New Roman" w:hAnsi="Times New Roman"/>
          <w:sz w:val="22"/>
          <w:szCs w:val="22"/>
        </w:rPr>
        <w:t xml:space="preserve">[28]  Mandiant, “M-Trends,” Google Cloud, 2024.</w:t>
      </w:r>
    </w:p>
    <w:p>
      <w:pPr>
        <w:spacing w:after="140" w:line="276"/>
        <w:jc w:val="both"/>
      </w:pPr>
      <w:r>
        <w:rPr>
          <w:rFonts w:ascii="Times New Roman" w:cs="Times New Roman" w:eastAsia="Times New Roman" w:hAnsi="Times New Roman"/>
          <w:sz w:val="22"/>
          <w:szCs w:val="22"/>
        </w:rPr>
        <w:t xml:space="preserve">[29]  CIRCL / MISP Project, “MISP data models and objects,” 2024. [Online]. Available: https://www.misp-project.org/</w:t>
      </w:r>
    </w:p>
    <w:p>
      <w:pPr>
        <w:spacing w:after="140" w:line="276"/>
        <w:jc w:val="both"/>
      </w:pPr>
      <w:r>
        <w:rPr>
          <w:rFonts w:ascii="Times New Roman" w:cs="Times New Roman" w:eastAsia="Times New Roman" w:hAnsi="Times New Roman"/>
          <w:sz w:val="22"/>
          <w:szCs w:val="22"/>
        </w:rPr>
        <w:t xml:space="preserve">[30]  J. Johnson, M. Douze, and H. Jégou, “Billion-scale similarity search with GPUs,” IEEE Trans. Big Data, vol. 7, no. 3, pp. 535–547, 2021.</w:t>
      </w:r>
    </w:p>
    <w:p>
      <w:pPr>
        <w:pStyle w:val="Heading1"/>
        <w:pBdr>
          <w:bottom w:val="single" w:color="0F2A47" w:sz="12" w:space="4"/>
        </w:pBdr>
        <w:spacing w:after="200" w:before="360"/>
      </w:pPr>
      <w:r>
        <w:rPr>
          <w:rFonts w:ascii="Times New Roman" w:cs="Times New Roman" w:eastAsia="Times New Roman" w:hAnsi="Times New Roman"/>
          <w:b/>
          <w:bCs/>
          <w:color w:val="0F2A47"/>
          <w:sz w:val="32"/>
          <w:szCs w:val="32"/>
        </w:rPr>
        <w:t xml:space="preserve">Appendix A.  Representative analyst questions</w:t>
      </w:r>
    </w:p>
    <w:p>
      <w:pPr>
        <w:pStyle w:val="ListParagraph"/>
        <w:numPr>
          <w:ilvl w:val="0"/>
          <w:numId w:val="7"/>
        </w:numPr>
        <w:spacing w:after="80" w:line="276"/>
      </w:pPr>
      <w:r>
        <w:rPr>
          <w:rFonts w:ascii="Times New Roman" w:cs="Times New Roman" w:eastAsia="Times New Roman" w:hAnsi="Times New Roman"/>
          <w:sz w:val="24"/>
          <w:szCs w:val="24"/>
        </w:rPr>
        <w:t xml:space="preserve">Which threat actors share command-and-control infrastructure, and what malware was hosted there?</w:t>
      </w:r>
    </w:p>
    <w:p>
      <w:pPr>
        <w:pStyle w:val="ListParagraph"/>
        <w:numPr>
          <w:ilvl w:val="0"/>
          <w:numId w:val="7"/>
        </w:numPr>
        <w:spacing w:after="80" w:line="276"/>
      </w:pPr>
      <w:r>
        <w:rPr>
          <w:rFonts w:ascii="Times New Roman" w:cs="Times New Roman" w:eastAsia="Times New Roman" w:hAnsi="Times New Roman"/>
          <w:sz w:val="24"/>
          <w:szCs w:val="24"/>
        </w:rPr>
        <w:t xml:space="preserve">How is APT29 connected to supply-chain compromises, and which reports describe SUNBURST?</w:t>
      </w:r>
    </w:p>
    <w:p>
      <w:pPr>
        <w:pStyle w:val="ListParagraph"/>
        <w:numPr>
          <w:ilvl w:val="0"/>
          <w:numId w:val="7"/>
        </w:numPr>
        <w:spacing w:after="80" w:line="276"/>
      </w:pPr>
      <w:r>
        <w:rPr>
          <w:rFonts w:ascii="Times New Roman" w:cs="Times New Roman" w:eastAsia="Times New Roman" w:hAnsi="Times New Roman"/>
          <w:sz w:val="24"/>
          <w:szCs w:val="24"/>
        </w:rPr>
        <w:t xml:space="preserve">Who else uses Cobalt Strike besides FIN7, and do they share any domains?</w:t>
      </w:r>
    </w:p>
    <w:p>
      <w:pPr>
        <w:pStyle w:val="ListParagraph"/>
        <w:numPr>
          <w:ilvl w:val="0"/>
          <w:numId w:val="7"/>
        </w:numPr>
        <w:spacing w:after="80" w:line="276"/>
      </w:pPr>
      <w:r>
        <w:rPr>
          <w:rFonts w:ascii="Times New Roman" w:cs="Times New Roman" w:eastAsia="Times New Roman" w:hAnsi="Times New Roman"/>
          <w:sz w:val="24"/>
          <w:szCs w:val="24"/>
        </w:rPr>
        <w:t xml:space="preserve">What destructive campaigns is Sandworm responsible for, and does it share infrastructure with APT28?</w:t>
      </w:r>
    </w:p>
    <w:p>
      <w:pPr>
        <w:pStyle w:val="ListParagraph"/>
        <w:numPr>
          <w:ilvl w:val="0"/>
          <w:numId w:val="7"/>
        </w:numPr>
        <w:spacing w:after="80" w:line="276"/>
      </w:pPr>
      <w:r>
        <w:rPr>
          <w:rFonts w:ascii="Times New Roman" w:cs="Times New Roman" w:eastAsia="Times New Roman" w:hAnsi="Times New Roman"/>
          <w:sz w:val="24"/>
          <w:szCs w:val="24"/>
        </w:rPr>
        <w:t xml:space="preserve">Find activity similar to spearphishing against government and political organisations.</w:t>
      </w:r>
    </w:p>
    <w:p>
      <w:pPr>
        <w:pStyle w:val="ListParagraph"/>
        <w:numPr>
          <w:ilvl w:val="0"/>
          <w:numId w:val="7"/>
        </w:numPr>
        <w:spacing w:after="80" w:line="276"/>
      </w:pPr>
      <w:r>
        <w:rPr>
          <w:rFonts w:ascii="Times New Roman" w:cs="Times New Roman" w:eastAsia="Times New Roman" w:hAnsi="Times New Roman"/>
          <w:sz w:val="24"/>
          <w:szCs w:val="24"/>
        </w:rPr>
        <w:t xml:space="preserve">Why is Mimikatz a weak attribution signal, and which actors still use it?</w:t>
      </w:r>
    </w:p>
    <w:p>
      <w:pPr>
        <w:spacing w:after="200" w:line="360"/>
        <w:jc w:val="both"/>
      </w:pPr>
      <w:r>
        <w:rPr>
          <w:rFonts w:ascii="Times New Roman" w:cs="Times New Roman" w:eastAsia="Times New Roman" w:hAnsi="Times New Roman"/>
          <w:sz w:val="24"/>
          <w:szCs w:val="24"/>
        </w:rPr>
        <w:t xml:space="preserve">These questions are acceptance tests for the workstation: each requires Neo4j paths, MongoDB citations, Qdrant similarity, and Redis IOC state. None is answerable from a single store without loss of operational meaning.</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2A47" w:sz="6" w:space="6"/>
      </w:pBdr>
      <w:tabs>
        <w:tab w:val="right" w:pos="9638"/>
      </w:tabs>
      <w:spacing w:before="80"/>
    </w:pPr>
    <w:r>
      <w:rPr>
        <w:rFonts w:ascii="Times New Roman" w:cs="Times New Roman" w:eastAsia="Times New Roman" w:hAnsi="Times New Roman"/>
        <w:color w:val="4A5560"/>
        <w:sz w:val="16"/>
        <w:szCs w:val="16"/>
      </w:rPr>
      <w:t xml:space="preserve">Problem Identification and Design</w:t>
    </w:r>
    <w:r>
      <w:rPr>
        <w:rFonts w:ascii="Times New Roman" w:cs="Times New Roman" w:eastAsia="Times New Roman" w:hAnsi="Times New Roman"/>
        <w:color w:val="4A5560"/>
        <w:sz w:val="16"/>
        <w:szCs w:val="16"/>
      </w:rPr>
      <w:t xml:space="preserve">	Page </w:t>
    </w:r>
    <w:r>
      <w:rPr>
        <w:rFonts w:ascii="Times New Roman" w:cs="Times New Roman" w:eastAsia="Times New Roman" w:hAnsi="Times New Roman"/>
        <w:color w:val="4A556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2A47" w:sz="6" w:space="4"/>
      </w:pBdr>
      <w:tabs>
        <w:tab w:val="right" w:pos="9638"/>
      </w:tabs>
      <w:spacing w:after="80"/>
    </w:pPr>
    <w:r>
      <w:rPr>
        <w:rFonts w:ascii="Times New Roman" w:cs="Times New Roman" w:eastAsia="Times New Roman" w:hAnsi="Times New Roman"/>
        <w:color w:val="4A5560"/>
        <w:sz w:val="16"/>
        <w:szCs w:val="16"/>
      </w:rPr>
      <w:t xml:space="preserve">Review–I  ·  GraphRAG CTI Platform</w:t>
    </w:r>
    <w:r>
      <w:rPr>
        <w:rFonts w:ascii="Times New Roman" w:cs="Times New Roman" w:eastAsia="Times New Roman" w:hAnsi="Times New Roman"/>
        <w:color w:val="4A5560"/>
        <w:sz w:val="16"/>
        <w:szCs w:val="16"/>
      </w:rPr>
      <w:t xml:space="preserve">	Multi-Model NoSQL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O%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0F2A47"/>
      <w:sz w:val="32"/>
      <w:szCs w:val="32"/>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color w:val="1B4F72"/>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1ab7f372cdb79faa0c129af02b05cb58b3de1f2.png"/><Relationship Id="rId12" Type="http://schemas.openxmlformats.org/officeDocument/2006/relationships/image" Target="media/b10e1ae84a747c76747b1fd9c16cb442b7340d44.png"/><Relationship Id="rId13" Type="http://schemas.openxmlformats.org/officeDocument/2006/relationships/image" Target="media/8f7e71e6c7511a801e57e277fa5ffdde0563d601.png"/><Relationship Id="rId14" Type="http://schemas.openxmlformats.org/officeDocument/2006/relationships/image" Target="media/d31c30e8b4d724f1a02fdb138ffac17a16d9e757.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2026-08-26T16:42:54.382Z</dcterms:created>
  <dcterms:modified xsi:type="dcterms:W3CDTF">2026-08-26T16:42:54.383Z</dcterms:modified>
</cp:coreProperties>
</file>

<file path=docProps/custom.xml><?xml version="1.0" encoding="utf-8"?>
<Properties xmlns="http://schemas.openxmlformats.org/officeDocument/2006/custom-properties" xmlns:vt="http://schemas.openxmlformats.org/officeDocument/2006/docPropsVTypes"/>
</file>