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b75d3854c6b2473c" /><Relationship Type="http://schemas.openxmlformats.org/package/2006/relationships/metadata/core-properties" Target="/docProps/core.xml" Id="R33e9684dd3c744c9" /><Relationship Type="http://schemas.openxmlformats.org/officeDocument/2006/relationships/extended-properties" Target="/docProps/app.xml" Id="R7356a9e4c5d9451b" /><Relationship Type="http://schemas.openxmlformats.org/officeDocument/2006/relationships/custom-properties" Target="/docProps/custom.xml" Id="Rd10a8f4af762477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color w:val="1F4E79"/>
          <w:sz w:val="56"/>
        </w:rPr>
        <w:t xml:space="preserve">Supermarket Sales Analysis</w:t>
      </w:r>
    </w:p>
    <w:p w14:paraId="00100002" w14:textId="00100003">
      <w:pPr>
        <w:pStyle w:val="Normal"/>
        <w:spacing w:after="80"/>
        <w:jc w:val="center"/>
      </w:pPr>
      <w:r>
        <w:rPr>
          <w:color w:val="2E75B6"/>
          <w:sz w:val="32"/>
        </w:rPr>
        <w:t xml:space="preserve">Project Report</w:t>
      </w:r>
    </w:p>
    <w:p w14:paraId="00100004" w14:textId="00100005">
      <w:pPr>
        <w:pStyle w:val="Normal"/>
        <w:spacing w:after="80"/>
        <w:jc w:val="center"/>
      </w:pPr>
      <w:r>
        <w:rPr>
          <w:color w:val="57606A"/>
          <w:sz w:val="26"/>
        </w:rPr>
        <w:t xml:space="preserve">Data Analysis &amp; Interactive Dashboard</w:t>
      </w:r>
    </w:p>
    <w:p w14:paraId="00100006" w14:textId="00100007">
      <w:pPr>
        <w:pStyle w:val="Normal"/>
        <w:spacing w:after="80"/>
        <w:jc w:val="center"/>
      </w:pPr>
      <w:r>
        <w:rPr>
          <w:color w:val="57606A"/>
          <w:sz w:val="22"/>
        </w:rPr>
        <w:t xml:space="preserve">Dataset: supermarket_sales.csv  ·  500 Transactions  ·  4 Branches  ·  Jan–Jul 2026</w:t>
      </w:r>
    </w:p>
    <w:p w14:paraId="00100008" w14:textId="00100009">
      <w:pPr>
        <w:pStyle w:val="Normal"/>
        <w:spacing w:after="640"/>
        <w:jc w:val="center"/>
      </w:pPr>
      <w:r>
        <w:rPr>
          <w:color w:val="57606A"/>
          <w:sz w:val="22"/>
        </w:rPr>
        <w:t xml:space="preserve">Technologies: Python · Pandas · NumPy · Plotly · Streamlit</w:t>
      </w:r>
    </w:p>
    <w:p w14:paraId="00100034" w14:textId="00100035">
      <w:r>
        <w:fldChar w:fldCharType="begin"/>
      </w:r>
      <w:r>
        <w:instrText xml:space="preserve"> TOC \o "1-3" \h \u </w:instrText>
      </w:r>
      <w:r>
        <w:fldChar w:fldCharType="separate"/>
      </w:r>
      <w:r>
        <w:t xml:space="preserve">Update field to see table of contents</w:t>
      </w:r>
      <w:r>
        <w:fldChar w:fldCharType="end"/>
      </w:r>
    </w:p>
    <w:p w14:paraId="0010000A" w14:textId="0010000B">
      <w:pPr>
        <w:pStyle w:val="Heading1"/>
        <w:spacing w:before="360" w:after="160"/>
      </w:pPr>
      <w:r>
        <w:rPr>
          <w:b/>
          <w:color w:val="1F4E79"/>
          <w:sz w:val="36"/>
        </w:rPr>
        <w:t xml:space="preserve">1. Executive Summary</w:t>
      </w:r>
    </w:p>
    <w:p w14:paraId="0010000C" w14:textId="0010000D">
      <w:pPr>
        <w:pStyle w:val="Normal"/>
        <w:spacing w:after="160"/>
      </w:pPr>
      <w:r>
        <w:rPr>
          <w:sz w:val="22"/>
        </w:rPr>
        <w:t xml:space="preserve">This report presents a comprehensive data analysis of supermarket sales transactions recorded across four branches (A – Jaipur, B – Delhi, C – Mumbai, D – Bengaluru) between January 2026 and July 2026. The analysis encompasses 500 individual transactions spanning eight product categories and four payment methods.</w:t>
      </w:r>
    </w:p>
    <w:p w14:paraId="0010000E" w14:textId="0010000F">
      <w:pPr>
        <w:pStyle w:val="Normal"/>
        <w:spacing w:after="160"/>
      </w:pPr>
      <w:r>
        <w:rPr>
          <w:sz w:val="22"/>
        </w:rPr>
        <w:t xml:space="preserve">The project delivers an end-to-end analytical pipeline — from raw CSV ingestion and data cleaning through to exploratory data analysis (EDA) and interactive business intelligence visualisation via a Streamlit dashboard. The pipeline recalculates every sales figure as Quantity × Unit Price to guarantee data integrity, then surfaces actionable patterns across products, branches, customers, payment behaviour, and time.</w:t>
      </w:r>
    </w:p>
    <w:p w14:paraId="00100010" w14:textId="00100011">
      <w:pPr>
        <w:pStyle w:val="Normal"/>
        <w:spacing w:after="240"/>
      </w:pPr>
      <w:r>
        <w:rPr>
          <w:sz w:val="22"/>
        </w:rPr>
        <w:t xml:space="preserve">Key outcomes include identification of the highest-revenue product category, the best-performing branch, preferred payment channels, customer rating distributions, and seasonally-driven sales patterns — all of which form the basis of eight concrete business recommendations presented in Section 7.</w:t>
      </w:r>
    </w:p>
    <w:p w14:paraId="00100012" w14:textId="00100013">
      <w:pPr>
        <w:pStyle w:val="Heading1"/>
        <w:spacing w:before="360" w:after="160"/>
      </w:pPr>
      <w:r>
        <w:rPr>
          <w:b/>
          <w:color w:val="1F4E79"/>
          <w:sz w:val="36"/>
        </w:rPr>
        <w:t xml:space="preserve">2. Problem Statement</w:t>
      </w:r>
    </w:p>
    <w:p w14:paraId="00100014" w14:textId="00100015">
      <w:pPr>
        <w:pStyle w:val="Heading2"/>
        <w:spacing w:before="200" w:after="120"/>
      </w:pPr>
      <w:r>
        <w:rPr>
          <w:b/>
          <w:color w:val="2E75B6"/>
          <w:sz w:val="28"/>
        </w:rPr>
        <w:t xml:space="preserve">2.1 Business Context</w:t>
      </w:r>
    </w:p>
    <w:p w14:paraId="00100016" w14:textId="00100017">
      <w:pPr>
        <w:pStyle w:val="Normal"/>
        <w:spacing w:after="160"/>
      </w:pPr>
      <w:r>
        <w:rPr>
          <w:sz w:val="22"/>
        </w:rPr>
        <w:t xml:space="preserve">Modern retail businesses generate high-volume transactional data daily. Without systematic analysis, this data remains a dormant asset — providing no competitive advantage and offering no insight into customer behaviour, inventory optimisation, or revenue maximisation. Supermarket chains with multiple branches face a compounded challenge: ensuring consistent performance across locations while adapting to city-specific consumer preferences.</w:t>
      </w:r>
    </w:p>
    <w:p w14:paraId="00100018" w14:textId="00100019">
      <w:pPr>
        <w:pStyle w:val="Heading2"/>
        <w:spacing w:before="200" w:after="120"/>
      </w:pPr>
      <w:r>
        <w:rPr>
          <w:b/>
          <w:color w:val="2E75B6"/>
          <w:sz w:val="28"/>
        </w:rPr>
        <w:t xml:space="preserve">2.2 Specific Challenges Addressed</w:t>
      </w:r>
    </w:p>
    <w:p w14:paraId="0010001A" w14:textId="0010001B">
      <w:pPr>
        <w:pStyle w:val="Normal"/>
        <w:spacing w:after="100"/>
      </w:pPr>
      <w:r>
        <w:rPr>
          <w:sz w:val="22"/>
        </w:rPr>
        <w:t xml:space="preserve">1.  Data Quality — Raw transaction logs contain missing values, potential duplicates, type inconsistencies, and unverified computed fields (Sales column). These must be systematically detected and corrected before any analysis can be trusted.</w:t>
      </w:r>
    </w:p>
    <w:p w14:paraId="0010001C" w14:textId="0010001D">
      <w:pPr>
        <w:pStyle w:val="Normal"/>
        <w:spacing w:after="100"/>
      </w:pPr>
      <w:r>
        <w:rPr>
          <w:sz w:val="22"/>
        </w:rPr>
        <w:t xml:space="preserve">2.  Product Intelligence — Which specific products and categories generate the highest revenue and volume? How does performance vary across branches and customer segments?</w:t>
      </w:r>
    </w:p>
    <w:p w14:paraId="0010001E" w14:textId="0010001F">
      <w:pPr>
        <w:pStyle w:val="Normal"/>
        <w:spacing w:after="100"/>
      </w:pPr>
      <w:r>
        <w:rPr>
          <w:sz w:val="22"/>
        </w:rPr>
        <w:t xml:space="preserve">3.  Branch Benchmarking — Are all four branches performing comparably? Which branch leads and which lags? What operational learnings can be transferred between branches?</w:t>
      </w:r>
    </w:p>
    <w:p w14:paraId="00100020" w14:textId="00100021">
      <w:pPr>
        <w:pStyle w:val="Normal"/>
        <w:spacing w:after="100"/>
      </w:pPr>
      <w:r>
        <w:rPr>
          <w:sz w:val="22"/>
        </w:rPr>
        <w:t xml:space="preserve">4.  Customer Behaviour — How do Member and Normal customers differ in spending patterns? Are there gender-based purchasing tendencies? What drives customer satisfaction ratings?</w:t>
      </w:r>
    </w:p>
    <w:p w14:paraId="00100022" w14:textId="00100023">
      <w:pPr>
        <w:pStyle w:val="Normal"/>
        <w:spacing w:after="100"/>
      </w:pPr>
      <w:r>
        <w:rPr>
          <w:sz w:val="22"/>
        </w:rPr>
        <w:t xml:space="preserve">5.  Temporal Patterns — Are there monthly, quarterly, or day-of-week patterns in revenue that can inform staffing, promotions, or inventory management?</w:t>
      </w:r>
    </w:p>
    <w:p w14:paraId="00100024" w14:textId="00100025">
      <w:pPr>
        <w:pStyle w:val="Normal"/>
        <w:spacing w:after="160"/>
      </w:pPr>
      <w:r>
        <w:rPr>
          <w:sz w:val="22"/>
        </w:rPr>
        <w:t xml:space="preserve">6.  Actionable Insights — How can findings be translated into concrete, measurable business decisions that drive revenue growth and operational efficiency?</w:t>
      </w:r>
    </w:p>
    <w:p w14:paraId="00100026" w14:textId="00100027">
      <w:pPr>
        <w:pStyle w:val="Heading2"/>
        <w:spacing w:before="200" w:after="120"/>
      </w:pPr>
      <w:r>
        <w:rPr>
          <w:b/>
          <w:color w:val="2E75B6"/>
          <w:sz w:val="28"/>
        </w:rPr>
        <w:t xml:space="preserve">2.3 Project Objectives</w:t>
      </w:r>
    </w:p>
    <w:p w14:paraId="00100028" w14:textId="00100029">
      <w:pPr>
        <w:pStyle w:val="Normal"/>
        <w:spacing w:after="100"/>
      </w:pPr>
      <w:r>
        <w:rPr>
          <w:sz w:val="22"/>
        </w:rPr>
        <w:t xml:space="preserve">The primary objectives of this project are:</w:t>
      </w:r>
    </w:p>
    <w:p w14:paraId="0010002A" w14:textId="0010002B">
      <w:pPr>
        <w:pStyle w:val="Normal"/>
        <w:numPr>
          <w:ilvl w:val="0"/>
          <w:numId w:val="1"/>
        </w:numPr>
        <w:spacing w:after="60"/>
      </w:pPr>
      <w:r>
        <w:rPr>
          <w:sz w:val="22"/>
        </w:rPr>
        <w:t xml:space="preserve">•  Ingest, clean, and validate the raw sales dataset ensuring zero data integrity issues.</w:t>
      </w:r>
    </w:p>
    <w:p w14:paraId="0010002C" w14:textId="0010002D">
      <w:pPr>
        <w:pStyle w:val="Normal"/>
        <w:numPr>
          <w:ilvl w:val="0"/>
          <w:numId w:val="1"/>
        </w:numPr>
        <w:spacing w:after="60"/>
      </w:pPr>
      <w:r>
        <w:rPr>
          <w:sz w:val="22"/>
        </w:rPr>
        <w:t xml:space="preserve">•  Recalculate and verify the Sales field as Quantity × Unit Price across all 500 records.</w:t>
      </w:r>
    </w:p>
    <w:p w14:paraId="0010002E" w14:textId="0010002F">
      <w:pPr>
        <w:pStyle w:val="Normal"/>
        <w:numPr>
          <w:ilvl w:val="0"/>
          <w:numId w:val="1"/>
        </w:numPr>
        <w:spacing w:after="60"/>
      </w:pPr>
      <w:r>
        <w:rPr>
          <w:sz w:val="22"/>
        </w:rPr>
        <w:t xml:space="preserve">•  Perform structured EDA to surface patterns across five analytical dimensions: products, branches, customers, payment methods, and time.</w:t>
      </w:r>
    </w:p>
    <w:p w14:paraId="00100030" w14:textId="00100031">
      <w:pPr>
        <w:pStyle w:val="Normal"/>
        <w:numPr>
          <w:ilvl w:val="0"/>
          <w:numId w:val="1"/>
        </w:numPr>
        <w:spacing w:after="60"/>
      </w:pPr>
      <w:r>
        <w:rPr>
          <w:sz w:val="22"/>
        </w:rPr>
        <w:t xml:space="preserve">•  Build a fully interactive Streamlit dashboard for real-time, filter-driven exploration of findings.</w:t>
      </w:r>
    </w:p>
    <w:p w14:paraId="00100032" w14:textId="00100033">
      <w:pPr>
        <w:pStyle w:val="Normal"/>
        <w:numPr>
          <w:ilvl w:val="0"/>
          <w:numId w:val="1"/>
        </w:numPr>
        <w:spacing w:after="160"/>
      </w:pPr>
      <w:r>
        <w:rPr>
          <w:sz w:val="22"/>
        </w:rPr>
        <w:t xml:space="preserve">•  Derive and document eight evidence-based business recommendations.</w:t>
      </w:r>
    </w:p>
    <w:p w14:paraId="00100036" w14:textId="00100037">
      <w:pPr>
        <w:pStyle w:val="Heading1"/>
        <w:spacing w:before="360" w:after="160"/>
      </w:pPr>
      <w:r>
        <w:rPr>
          <w:b/>
          <w:color w:val="1F4E79"/>
          <w:sz w:val="36"/>
        </w:rPr>
        <w:t xml:space="preserve">3. Dataset Description</w:t>
      </w:r>
    </w:p>
    <w:p w14:paraId="00100038" w14:textId="00100039">
      <w:pPr>
        <w:pStyle w:val="Heading2"/>
        <w:spacing w:before="200" w:after="120"/>
      </w:pPr>
      <w:r>
        <w:rPr>
          <w:b/>
          <w:color w:val="2E75B6"/>
          <w:sz w:val="28"/>
        </w:rPr>
        <w:t xml:space="preserve">3.1 Dataset Overview</w:t>
      </w:r>
    </w:p>
    <w:p w14:paraId="0010003A" w14:textId="0010003B">
      <w:pPr>
        <w:pStyle w:val="Normal"/>
        <w:spacing w:after="160"/>
      </w:pPr>
      <w:r>
        <w:rPr>
          <w:sz w:val="22"/>
        </w:rPr>
        <w:t xml:space="preserve">The dataset used in this project is a synthetic supermarket sales record — supermarket_sales.csv — representing realistic retail transaction data across a multi-branch chain operating in four Indian cities. It contains 500 individual transaction records and 13 columns, covering all dimensions required for a thorough retail analytics study.</w:t>
      </w:r>
    </w:p>
    <w:p w14:paraId="0010003C" w14:textId="0010003D">
      <w:pPr>
        <w:pStyle w:val="Normal"/>
        <w:spacing w:after="80"/>
        <w:jc w:val="center"/>
      </w:pPr>
      <w:r>
        <w:rPr>
          <w:b/>
          <w:color w:val="57606A"/>
          <w:sz w:val="20"/>
        </w:rPr>
        <w:t xml:space="preserve">Table 1: Dataset Overview Statistics</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E" w14:textId="0010003F">
            <w:r>
              <w:t xml:space="preserve">Attribute</w:t>
            </w:r>
          </w:p>
        </w:tc>
        <w:tc>
          <w:p w14:paraId="00100040" w14:textId="00100041">
            <w:r>
              <w:t xml:space="preserve">Value</w:t>
            </w:r>
          </w:p>
        </w:tc>
      </w:tr>
      <w:tr>
        <w:trPr/>
        <w:tc>
          <w:p w14:paraId="00100042" w14:textId="00100043">
            <w:r>
              <w:t xml:space="preserve">File Name</w:t>
            </w:r>
          </w:p>
        </w:tc>
        <w:tc>
          <w:p w14:paraId="00100044" w14:textId="00100045">
            <w:r>
              <w:t xml:space="preserve">supermarket_sales.csv</w:t>
            </w:r>
          </w:p>
        </w:tc>
      </w:tr>
      <w:tr>
        <w:trPr/>
        <w:tc>
          <w:p w14:paraId="00100046" w14:textId="00100047">
            <w:r>
              <w:t xml:space="preserve">Total Transactions (Rows)</w:t>
            </w:r>
          </w:p>
        </w:tc>
        <w:tc>
          <w:p w14:paraId="00100048" w14:textId="00100049">
            <w:r>
              <w:t xml:space="preserve">500</w:t>
            </w:r>
          </w:p>
        </w:tc>
      </w:tr>
      <w:tr>
        <w:trPr/>
        <w:tc>
          <w:p w14:paraId="0010004A" w14:textId="0010004B">
            <w:r>
              <w:t xml:space="preserve">Number of Columns</w:t>
            </w:r>
          </w:p>
        </w:tc>
        <w:tc>
          <w:p w14:paraId="0010004C" w14:textId="0010004D">
            <w:r>
              <w:t xml:space="preserve">13</w:t>
            </w:r>
          </w:p>
        </w:tc>
      </w:tr>
      <w:tr>
        <w:trPr/>
        <w:tc>
          <w:p w14:paraId="0010004E" w14:textId="0010004F">
            <w:r>
              <w:t xml:space="preserve">Date Range</w:t>
            </w:r>
          </w:p>
        </w:tc>
        <w:tc>
          <w:p w14:paraId="00100050" w14:textId="00100051">
            <w:r>
              <w:t xml:space="preserve">2026-01-01 to 2026-07-01</w:t>
            </w:r>
          </w:p>
        </w:tc>
      </w:tr>
      <w:tr>
        <w:trPr/>
        <w:tc>
          <w:p w14:paraId="00100052" w14:textId="00100053">
            <w:r>
              <w:t xml:space="preserve">Number of Branches</w:t>
            </w:r>
          </w:p>
        </w:tc>
        <w:tc>
          <w:p w14:paraId="00100054" w14:textId="00100055">
            <w:r>
              <w:t xml:space="preserve">4 (A, B, C, D)</w:t>
            </w:r>
          </w:p>
        </w:tc>
      </w:tr>
      <w:tr>
        <w:tc>
          <w:p w14:paraId="00100056" w14:textId="00100057"/>
        </w:tc>
        <w:tc>
          <w:p w14:paraId="00100058" w14:textId="00100059"/>
        </w:tc>
      </w:tr>
    </w:tbl>
    <w:p w14:paraId="0010005A" w14:textId="0010005B">
      <w:pPr>
        <w:pStyle w:val="Heading2"/>
        <w:spacing w:before="200" w:after="120"/>
      </w:pPr>
      <w:r>
        <w:rPr>
          <w:b/>
          <w:color w:val="2E75B6"/>
          <w:sz w:val="28"/>
        </w:rPr>
        <w:t xml:space="preserve">3.2 Column Schema</w:t>
      </w:r>
    </w:p>
    <w:p w14:paraId="0010005C" w14:textId="0010005D">
      <w:pPr>
        <w:pStyle w:val="Normal"/>
        <w:spacing w:after="120"/>
      </w:pPr>
      <w:r>
        <w:rPr>
          <w:sz w:val="22"/>
        </w:rPr>
        <w:t xml:space="preserve">Each row represents one sales invoice. The table below describes every column, its data type, and the values or ranges it contains.</w:t>
      </w:r>
    </w:p>
    <w:p w14:paraId="0010005E" w14:textId="0010005F">
      <w:pPr>
        <w:pStyle w:val="Normal"/>
        <w:spacing w:after="80"/>
        <w:jc w:val="center"/>
      </w:pPr>
      <w:r>
        <w:rPr>
          <w:b/>
          <w:color w:val="57606A"/>
          <w:sz w:val="20"/>
        </w:rPr>
        <w:t xml:space="preserve">Table 2: Column Schema</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60" w14:textId="00100061">
            <w:r>
              <w:t xml:space="preserve">Column Name</w:t>
            </w:r>
          </w:p>
        </w:tc>
        <w:tc>
          <w:p w14:paraId="00100062" w14:textId="00100063">
            <w:r>
              <w:t xml:space="preserve">Data Type</w:t>
            </w:r>
          </w:p>
        </w:tc>
        <w:tc>
          <w:p w14:paraId="00100064" w14:textId="00100065">
            <w:r>
              <w:t xml:space="preserve">Description</w:t>
            </w:r>
          </w:p>
        </w:tc>
        <w:tc>
          <w:p w14:paraId="00100066" w14:textId="00100067">
            <w:r>
              <w:t xml:space="preserve">Values / Range</w:t>
            </w:r>
          </w:p>
        </w:tc>
      </w:tr>
      <w:tr>
        <w:trPr/>
        <w:tc>
          <w:p w14:paraId="00100068" w14:textId="00100069">
            <w:r>
              <w:t xml:space="preserve">Invoice ID</w:t>
            </w:r>
          </w:p>
        </w:tc>
        <w:tc>
          <w:p w14:paraId="0010006A" w14:textId="0010006B">
            <w:r>
              <w:t xml:space="preserve">String</w:t>
            </w:r>
          </w:p>
        </w:tc>
        <w:tc>
          <w:p w14:paraId="0010006C" w14:textId="0010006D">
            <w:r>
              <w:t xml:space="preserve">Unique transaction identifier</w:t>
            </w:r>
          </w:p>
        </w:tc>
        <w:tc>
          <w:p w14:paraId="0010006E" w14:textId="0010006F">
            <w:r>
              <w:t xml:space="preserve">INV0001 – INV0500</w:t>
            </w:r>
          </w:p>
        </w:tc>
      </w:tr>
      <w:tr>
        <w:trPr/>
        <w:tc>
          <w:p w14:paraId="00100070" w14:textId="00100071">
            <w:r>
              <w:t xml:space="preserve">Date</w:t>
            </w:r>
          </w:p>
        </w:tc>
        <w:tc>
          <w:p w14:paraId="00100072" w14:textId="00100073">
            <w:r>
              <w:t xml:space="preserve">Date</w:t>
            </w:r>
          </w:p>
        </w:tc>
        <w:tc>
          <w:p w14:paraId="00100074" w14:textId="00100075">
            <w:r>
              <w:t xml:space="preserve">Transaction date</w:t>
            </w:r>
          </w:p>
        </w:tc>
        <w:tc>
          <w:p w14:paraId="00100076" w14:textId="00100077">
            <w:r>
              <w:t xml:space="preserve">Jan 2026 – Jul 2026</w:t>
            </w:r>
          </w:p>
        </w:tc>
      </w:tr>
      <w:tr>
        <w:trPr/>
        <w:tc>
          <w:p w14:paraId="00100078" w14:textId="00100079">
            <w:r>
              <w:t xml:space="preserve">Branch</w:t>
            </w:r>
          </w:p>
        </w:tc>
        <w:tc>
          <w:p w14:paraId="0010007A" w14:textId="0010007B">
            <w:r>
              <w:t xml:space="preserve">String</w:t>
            </w:r>
          </w:p>
        </w:tc>
        <w:tc>
          <w:p w14:paraId="0010007C" w14:textId="0010007D">
            <w:r>
              <w:t xml:space="preserve">Store branch code</w:t>
            </w:r>
          </w:p>
        </w:tc>
        <w:tc>
          <w:p w14:paraId="0010007E" w14:textId="0010007F">
            <w:r>
              <w:t xml:space="preserve">A, B, C, D</w:t>
            </w:r>
          </w:p>
        </w:tc>
      </w:tr>
      <w:tr>
        <w:trPr/>
        <w:tc>
          <w:p w14:paraId="00100080" w14:textId="00100081">
            <w:r>
              <w:t xml:space="preserve">City</w:t>
            </w:r>
          </w:p>
        </w:tc>
        <w:tc>
          <w:p w14:paraId="00100082" w14:textId="00100083">
            <w:r>
              <w:t xml:space="preserve">String</w:t>
            </w:r>
          </w:p>
        </w:tc>
        <w:tc>
          <w:p w14:paraId="00100084" w14:textId="00100085">
            <w:r>
              <w:t xml:space="preserve">City of the branch</w:t>
            </w:r>
          </w:p>
        </w:tc>
        <w:tc>
          <w:p w14:paraId="00100086" w14:textId="00100087">
            <w:r>
              <w:t xml:space="preserve">Jaipur, Delhi, Mumbai, Bengaluru</w:t>
            </w:r>
          </w:p>
        </w:tc>
      </w:tr>
      <w:tr>
        <w:trPr/>
        <w:tc>
          <w:p w14:paraId="00100088" w14:textId="00100089">
            <w:r>
              <w:t xml:space="preserve">Customer Type</w:t>
            </w:r>
          </w:p>
        </w:tc>
        <w:tc>
          <w:p w14:paraId="0010008A" w14:textId="0010008B">
            <w:r>
              <w:t xml:space="preserve">String</w:t>
            </w:r>
          </w:p>
        </w:tc>
        <w:tc>
          <w:p w14:paraId="0010008C" w14:textId="0010008D">
            <w:r>
              <w:t xml:space="preserve">Loyalty status of customer</w:t>
            </w:r>
          </w:p>
        </w:tc>
        <w:tc>
          <w:p w14:paraId="0010008E" w14:textId="0010008F">
            <w:r>
              <w:t xml:space="preserve">Member, Normal</w:t>
            </w:r>
          </w:p>
        </w:tc>
      </w:tr>
      <w:tr>
        <w:trPr/>
        <w:tc>
          <w:p w14:paraId="00100090" w14:textId="00100091">
            <w:r>
              <w:t xml:space="preserve">Gender</w:t>
            </w:r>
          </w:p>
        </w:tc>
        <w:tc>
          <w:p w14:paraId="00100092" w14:textId="00100093">
            <w:r>
              <w:t xml:space="preserve">String</w:t>
            </w:r>
          </w:p>
        </w:tc>
        <w:tc>
          <w:p w14:paraId="00100094" w14:textId="00100095">
            <w:r>
              <w:t xml:space="preserve">Customer gender</w:t>
            </w:r>
          </w:p>
        </w:tc>
        <w:tc>
          <w:p w14:paraId="00100096" w14:textId="00100097">
            <w:r>
              <w:t xml:space="preserve">Male, Female</w:t>
            </w:r>
          </w:p>
        </w:tc>
      </w:tr>
      <w:tr>
        <w:trPr/>
        <w:tc>
          <w:p w14:paraId="00100098" w14:textId="00100099">
            <w:r>
              <w:t xml:space="preserve">Product</w:t>
            </w:r>
          </w:p>
        </w:tc>
        <w:tc>
          <w:p w14:paraId="0010009A" w14:textId="0010009B">
            <w:r>
              <w:t xml:space="preserve">String</w:t>
            </w:r>
          </w:p>
        </w:tc>
        <w:tc>
          <w:p w14:paraId="0010009C" w14:textId="0010009D">
            <w:r>
              <w:t xml:space="preserve">Name of purchased product</w:t>
            </w:r>
          </w:p>
        </w:tc>
        <w:tc>
          <w:p w14:paraId="0010009E" w14:textId="0010009F">
            <w:r>
              <w:t xml:space="preserve">20 distinct products</w:t>
            </w:r>
          </w:p>
        </w:tc>
      </w:tr>
      <w:tr>
        <w:trPr/>
        <w:tc>
          <w:p w14:paraId="001000A0" w14:textId="001000A1">
            <w:r>
              <w:t xml:space="preserve">Category</w:t>
            </w:r>
          </w:p>
        </w:tc>
        <w:tc>
          <w:p w14:paraId="001000A2" w14:textId="001000A3">
            <w:r>
              <w:t xml:space="preserve">String</w:t>
            </w:r>
          </w:p>
        </w:tc>
        <w:tc>
          <w:p w14:paraId="001000A4" w14:textId="001000A5">
            <w:r>
              <w:t xml:space="preserve">Product category</w:t>
            </w:r>
          </w:p>
        </w:tc>
        <w:tc>
          <w:p w14:paraId="001000A6" w14:textId="001000A7">
            <w:r>
              <w:t xml:space="preserve">8 categories</w:t>
            </w:r>
          </w:p>
        </w:tc>
      </w:tr>
      <w:tr>
        <w:trPr/>
        <w:tc>
          <w:p w14:paraId="001000A8" w14:textId="001000A9">
            <w:r>
              <w:t xml:space="preserve">Quantity</w:t>
            </w:r>
          </w:p>
        </w:tc>
        <w:tc>
          <w:p w14:paraId="001000AA" w14:textId="001000AB">
            <w:r>
              <w:t xml:space="preserve">Integer</w:t>
            </w:r>
          </w:p>
        </w:tc>
        <w:tc>
          <w:p w14:paraId="001000AC" w14:textId="001000AD">
            <w:r>
              <w:t xml:space="preserve">Units purchased per transaction</w:t>
            </w:r>
          </w:p>
        </w:tc>
        <w:tc>
          <w:p w14:paraId="001000AE" w14:textId="001000AF">
            <w:r>
              <w:t xml:space="preserve">1 – 10</w:t>
            </w:r>
          </w:p>
        </w:tc>
      </w:tr>
      <w:tr>
        <w:trPr/>
        <w:tc>
          <w:p w14:paraId="001000B0" w14:textId="001000B1">
            <w:r>
              <w:t xml:space="preserve">Unit Price</w:t>
            </w:r>
          </w:p>
        </w:tc>
        <w:tc>
          <w:p w14:paraId="001000B2" w14:textId="001000B3">
            <w:r>
              <w:t xml:space="preserve">Float</w:t>
            </w:r>
          </w:p>
        </w:tc>
        <w:tc>
          <w:p w14:paraId="001000B4" w14:textId="001000B5">
            <w:r>
              <w:t xml:space="preserve">Price per unit in INR</w:t>
            </w:r>
          </w:p>
        </w:tc>
        <w:tc>
          <w:p w14:paraId="001000B6" w14:textId="001000B7">
            <w:r>
              <w:t xml:space="preserve">~Rs.28 – Rs.235</w:t>
            </w:r>
          </w:p>
        </w:tc>
      </w:tr>
      <w:tr>
        <w:trPr/>
        <w:tc>
          <w:p w14:paraId="001000B8" w14:textId="001000B9">
            <w:r>
              <w:t xml:space="preserve">Payment</w:t>
            </w:r>
          </w:p>
        </w:tc>
        <w:tc>
          <w:p w14:paraId="001000BA" w14:textId="001000BB">
            <w:r>
              <w:t xml:space="preserve">String</w:t>
            </w:r>
          </w:p>
        </w:tc>
        <w:tc>
          <w:p w14:paraId="001000BC" w14:textId="001000BD">
            <w:r>
              <w:t xml:space="preserve">Payment method used</w:t>
            </w:r>
          </w:p>
        </w:tc>
        <w:tc>
          <w:p w14:paraId="001000BE" w14:textId="001000BF">
            <w:r>
              <w:t xml:space="preserve">Cash, Card, UPI, Net Banking</w:t>
            </w:r>
          </w:p>
        </w:tc>
      </w:tr>
      <w:tr>
        <w:trPr/>
        <w:tc>
          <w:p w14:paraId="001000C0" w14:textId="001000C1">
            <w:r>
              <w:t xml:space="preserve">Rating</w:t>
            </w:r>
          </w:p>
        </w:tc>
        <w:tc>
          <w:p w14:paraId="001000C2" w14:textId="001000C3">
            <w:r>
              <w:t xml:space="preserve">Float</w:t>
            </w:r>
          </w:p>
        </w:tc>
        <w:tc>
          <w:p w14:paraId="001000C4" w14:textId="001000C5">
            <w:r>
              <w:t xml:space="preserve">Customer satisfaction score</w:t>
            </w:r>
          </w:p>
        </w:tc>
        <w:tc>
          <w:p w14:paraId="001000C6" w14:textId="001000C7">
            <w:r>
              <w:t xml:space="preserve">1.0 – 5.0</w:t>
            </w:r>
          </w:p>
        </w:tc>
      </w:tr>
      <w:tr>
        <w:trPr/>
        <w:tc>
          <w:p w14:paraId="001000C8" w14:textId="001000C9">
            <w:r>
              <w:t xml:space="preserve">Sales</w:t>
            </w:r>
          </w:p>
        </w:tc>
        <w:tc>
          <w:p w14:paraId="001000CA" w14:textId="001000CB">
            <w:r>
              <w:t xml:space="preserve">Float</w:t>
            </w:r>
          </w:p>
        </w:tc>
        <w:tc>
          <w:p w14:paraId="001000CC" w14:textId="001000CD">
            <w:r>
              <w:t xml:space="preserve">Total sale value (Qty x Unit Price)</w:t>
            </w:r>
          </w:p>
        </w:tc>
        <w:tc>
          <w:p w14:paraId="001000CE" w14:textId="001000CF">
            <w:r>
              <w:t xml:space="preserve">Recalculated during cleaning</w:t>
            </w:r>
          </w:p>
        </w:tc>
      </w:tr>
    </w:tbl>
    <w:p w14:paraId="001000D0" w14:textId="001000D1">
      <w:pPr>
        <w:pStyle w:val="Heading2"/>
        <w:spacing w:before="200" w:after="120"/>
      </w:pPr>
      <w:r>
        <w:rPr>
          <w:b/>
          <w:color w:val="2E75B6"/>
          <w:sz w:val="28"/>
        </w:rPr>
        <w:t xml:space="preserve">3.3 Data Characteristics</w:t>
      </w:r>
    </w:p>
    <w:p w14:paraId="001000D2" w14:textId="001000D3">
      <w:pPr>
        <w:pStyle w:val="Normal"/>
        <w:spacing w:after="100"/>
      </w:pPr>
      <w:r>
        <w:rPr>
          <w:sz w:val="22"/>
        </w:rPr>
        <w:t xml:space="preserve">The dataset spans a seven-month window (January 2026 – July 2026) and exhibits the following structural characteristics:</w:t>
      </w:r>
    </w:p>
    <w:p w14:paraId="001000D4" w14:textId="001000D5">
      <w:pPr>
        <w:pStyle w:val="Normal"/>
        <w:numPr>
          <w:ilvl w:val="0"/>
          <w:numId w:val="2"/>
        </w:numPr>
        <w:spacing w:after="60"/>
      </w:pPr>
      <w:r>
        <w:rPr>
          <w:sz w:val="22"/>
        </w:rPr>
        <w:t xml:space="preserve">•  Branches and cities: Branch A (Jaipur), Branch B (Delhi), Branch C (Mumbai), Branch D (Bengaluru) — each branch is mapped one-to-one to a city.</w:t>
      </w:r>
    </w:p>
    <w:p w14:paraId="001000D6" w14:textId="001000D7">
      <w:pPr>
        <w:pStyle w:val="Normal"/>
        <w:numPr>
          <w:ilvl w:val="0"/>
          <w:numId w:val="2"/>
        </w:numPr>
        <w:spacing w:after="60"/>
      </w:pPr>
      <w:r>
        <w:rPr>
          <w:sz w:val="22"/>
        </w:rPr>
        <w:t xml:space="preserve">•  Product catalogue: 20 distinct products grouped into 8 categories — Dairy, Grocery, Personal Care, Snacks, Fruits, Vegetables, Beverages, and Bakery.</w:t>
      </w:r>
    </w:p>
    <w:p w14:paraId="001000D8" w14:textId="001000D9">
      <w:pPr>
        <w:pStyle w:val="Normal"/>
        <w:numPr>
          <w:ilvl w:val="0"/>
          <w:numId w:val="2"/>
        </w:numPr>
        <w:spacing w:after="60"/>
      </w:pPr>
      <w:r>
        <w:rPr>
          <w:sz w:val="22"/>
        </w:rPr>
        <w:t xml:space="preserve">•  Quantity range: 1–10 units per transaction; Unit Price range: approximately ₹28 – ₹235.</w:t>
      </w:r>
    </w:p>
    <w:p w14:paraId="001000DA" w14:textId="001000DB">
      <w:pPr>
        <w:pStyle w:val="Normal"/>
        <w:numPr>
          <w:ilvl w:val="0"/>
          <w:numId w:val="2"/>
        </w:numPr>
        <w:spacing w:after="60"/>
      </w:pPr>
      <w:r>
        <w:rPr>
          <w:sz w:val="22"/>
        </w:rPr>
        <w:t xml:space="preserve">•  Payment methods: Cash, Card, UPI, Net Banking — representing the major payment channels in contemporary Indian retail.</w:t>
      </w:r>
    </w:p>
    <w:p w14:paraId="001000DC" w14:textId="001000DD">
      <w:pPr>
        <w:pStyle w:val="Normal"/>
        <w:numPr>
          <w:ilvl w:val="0"/>
          <w:numId w:val="2"/>
        </w:numPr>
        <w:spacing w:after="60"/>
      </w:pPr>
      <w:r>
        <w:rPr>
          <w:sz w:val="22"/>
        </w:rPr>
        <w:t xml:space="preserve">•  Customer segments: Member (loyalty programme subscribers) and Normal (walk-in customers) with Gender breakdown.</w:t>
      </w:r>
    </w:p>
    <w:p w14:paraId="001000DE" w14:textId="001000DF">
      <w:pPr>
        <w:pStyle w:val="Normal"/>
        <w:numPr>
          <w:ilvl w:val="0"/>
          <w:numId w:val="2"/>
        </w:numPr>
        <w:spacing w:after="160"/>
      </w:pPr>
      <w:r>
        <w:rPr>
          <w:sz w:val="22"/>
        </w:rPr>
        <w:t xml:space="preserve">•  Rating scale: Post-purchase customer satisfaction score from 1 (lowest) to 5 (highest).</w:t>
      </w:r>
    </w:p>
    <w:p w14:paraId="001000E0" w14:textId="001000E1">
      <w:pPr>
        <w:pStyle w:val="Heading1"/>
        <w:spacing w:before="360" w:after="160"/>
      </w:pPr>
      <w:r>
        <w:rPr>
          <w:b/>
          <w:color w:val="1F4E79"/>
          <w:sz w:val="36"/>
        </w:rPr>
        <w:t xml:space="preserve">4. Data Cleaning Methodology</w:t>
      </w:r>
    </w:p>
    <w:p w14:paraId="001000E2" w14:textId="001000E3">
      <w:pPr>
        <w:pStyle w:val="Heading2"/>
        <w:spacing w:before="200" w:after="120"/>
      </w:pPr>
      <w:r>
        <w:rPr>
          <w:b/>
          <w:color w:val="2E75B6"/>
          <w:sz w:val="28"/>
        </w:rPr>
        <w:t xml:space="preserve">4.1 Overview</w:t>
      </w:r>
    </w:p>
    <w:p w14:paraId="001000E4" w14:textId="001000E5">
      <w:pPr>
        <w:pStyle w:val="Normal"/>
        <w:spacing w:after="160"/>
      </w:pPr>
      <w:r>
        <w:rPr>
          <w:sz w:val="22"/>
        </w:rPr>
        <w:t xml:space="preserve">Before any analysis can yield trustworthy insights, the dataset must be thoroughly cleaned and validated. The cleaning pipeline is implemented in the load_and_clean() function within app.py and produces a detailed cleaning report that is surfaced in the dedicated Data Cleaning tab of the dashboard. The pipeline executes eight sequential steps, each targeting a specific class of data quality issue.</w:t>
      </w:r>
    </w:p>
    <w:p w14:paraId="001000E6" w14:textId="001000E7">
      <w:pPr>
        <w:pStyle w:val="Heading2"/>
        <w:spacing w:before="200" w:after="120"/>
      </w:pPr>
      <w:r>
        <w:rPr>
          <w:b/>
          <w:color w:val="2E75B6"/>
          <w:sz w:val="28"/>
        </w:rPr>
        <w:t xml:space="preserve">4.2 Cleaning Steps</w:t>
      </w:r>
    </w:p>
    <w:p w14:paraId="001000E8" w14:textId="001000E9">
      <w:pPr>
        <w:pStyle w:val="Normal"/>
        <w:spacing w:after="80"/>
        <w:jc w:val="center"/>
      </w:pPr>
      <w:r>
        <w:rPr>
          <w:b/>
          <w:color w:val="57606A"/>
          <w:sz w:val="20"/>
        </w:rPr>
        <w:t xml:space="preserve">Table 3: Data Cleaning Pipeline — Steps and Rationale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EA" w14:textId="001000EB">
            <w:r>
              <w:t xml:space="preserve">Step</w:t>
            </w:r>
          </w:p>
        </w:tc>
        <w:tc>
          <w:p w14:paraId="001000EC" w14:textId="001000ED">
            <w:r>
              <w:t xml:space="preserve">Action</w:t>
            </w:r>
          </w:p>
        </w:tc>
        <w:tc>
          <w:p w14:paraId="001000EE" w14:textId="001000EF">
            <w:r>
              <w:t xml:space="preserve">Issue Addressed</w:t>
            </w:r>
          </w:p>
        </w:tc>
        <w:tc>
          <w:p w14:paraId="001000F0" w14:textId="001000F1">
            <w:r>
              <w:t xml:space="preserve">Implementation Detail</w:t>
            </w:r>
          </w:p>
        </w:tc>
      </w:tr>
      <w:tr>
        <w:trPr/>
        <w:tc>
          <w:p w14:paraId="001000F2" w14:textId="001000F3">
            <w:r>
              <w:t xml:space="preserve">1</w:t>
            </w:r>
          </w:p>
        </w:tc>
        <w:tc>
          <w:p w14:paraId="001000F4" w14:textId="001000F5">
            <w:r>
              <w:t xml:space="preserve">Strip whitespace</w:t>
            </w:r>
          </w:p>
        </w:tc>
        <w:tc>
          <w:p w14:paraId="001000F6" w14:textId="001000F7">
            <w:r>
              <w:t xml:space="preserve">Dirty string values</w:t>
            </w:r>
          </w:p>
        </w:tc>
        <w:tc>
          <w:p w14:paraId="001000F8" w14:textId="001000F9">
            <w:r>
              <w:t xml:space="preserve">str.strip() applied to all object-type columns</w:t>
            </w:r>
          </w:p>
        </w:tc>
      </w:tr>
      <w:tr>
        <w:trPr/>
        <w:tc>
          <w:p w14:paraId="001000FA" w14:textId="001000FB">
            <w:r>
              <w:t xml:space="preserve">2</w:t>
            </w:r>
          </w:p>
        </w:tc>
        <w:tc>
          <w:p w14:paraId="001000FC" w14:textId="001000FD">
            <w:r>
              <w:t xml:space="preserve">Missing value handling</w:t>
            </w:r>
          </w:p>
        </w:tc>
        <w:tc>
          <w:p w14:paraId="001000FE" w14:textId="001000FF">
            <w:r>
              <w:t xml:space="preserve">NaN / null fields</w:t>
            </w:r>
          </w:p>
        </w:tc>
        <w:tc>
          <w:p w14:paraId="00100100" w14:textId="00100101">
            <w:r>
              <w:t xml:space="preserve">Critical columns: row dropped. Numerics: median fill. Categoricals: mode fill.</w:t>
            </w:r>
          </w:p>
        </w:tc>
      </w:tr>
      <w:tr>
        <w:trPr/>
        <w:tc>
          <w:p w14:paraId="00100102" w14:textId="00100103">
            <w:r>
              <w:t xml:space="preserve">3</w:t>
            </w:r>
          </w:p>
        </w:tc>
        <w:tc>
          <w:p w14:paraId="00100104" w14:textId="00100105">
            <w:r>
              <w:t xml:space="preserve">Duplicate removal</w:t>
            </w:r>
          </w:p>
        </w:tc>
        <w:tc>
          <w:p w14:paraId="00100106" w14:textId="00100107">
            <w:r>
              <w:t xml:space="preserve">Duplicate invoices</w:t>
            </w:r>
          </w:p>
        </w:tc>
        <w:tc>
          <w:p w14:paraId="00100108" w14:textId="00100109">
            <w:r>
              <w:t xml:space="preserve">drop_duplicates() on Invoice ID</w:t>
            </w:r>
          </w:p>
        </w:tc>
      </w:tr>
      <w:tr>
        <w:trPr/>
        <w:tc>
          <w:p w14:paraId="0010010A" w14:textId="0010010B">
            <w:r>
              <w:t xml:space="preserve">4</w:t>
            </w:r>
          </w:p>
        </w:tc>
        <w:tc>
          <w:p w14:paraId="0010010C" w14:textId="0010010D">
            <w:r>
              <w:t xml:space="preserve">Type correction</w:t>
            </w:r>
          </w:p>
        </w:tc>
        <w:tc>
          <w:p w14:paraId="0010010E" w14:textId="0010010F">
            <w:r>
              <w:t xml:space="preserve">Incorrect dtypes</w:t>
            </w:r>
          </w:p>
        </w:tc>
        <w:tc>
          <w:p w14:paraId="00100110" w14:textId="00100111">
            <w:r>
              <w:t xml:space="preserve">Date -&gt; datetime64; Quantity, Unit Price, Rating -&gt; float/int</w:t>
            </w:r>
          </w:p>
        </w:tc>
      </w:tr>
      <w:tr>
        <w:trPr/>
        <w:tc>
          <w:p w14:paraId="00100112" w14:textId="00100113">
            <w:r>
              <w:t xml:space="preserve">5</w:t>
            </w:r>
          </w:p>
        </w:tc>
        <w:tc>
          <w:p w14:paraId="00100114" w14:textId="00100115">
            <w:r>
              <w:t xml:space="preserve">Negative / zero guard</w:t>
            </w:r>
          </w:p>
        </w:tc>
        <w:tc>
          <w:p w14:paraId="00100116" w14:textId="00100117">
            <w:r>
              <w:t xml:space="preserve">Logically impossible values</w:t>
            </w:r>
          </w:p>
        </w:tc>
        <w:tc>
          <w:p w14:paraId="00100118" w14:textId="00100119">
            <w:r>
              <w:t xml:space="preserve">Remove rows where Quantity &lt;= 0 or Unit Price &lt;= 0</w:t>
            </w:r>
          </w:p>
        </w:tc>
      </w:tr>
      <w:tr>
        <w:trPr/>
        <w:tc>
          <w:p w14:paraId="0010011A" w14:textId="0010011B">
            <w:r>
              <w:t xml:space="preserve">6</w:t>
            </w:r>
          </w:p>
        </w:tc>
        <w:tc>
          <w:p w14:paraId="0010011C" w14:textId="0010011D">
            <w:r>
              <w:t xml:space="preserve">Rating clipping</w:t>
            </w:r>
          </w:p>
        </w:tc>
        <w:tc>
          <w:p w14:paraId="0010011E" w14:textId="0010011F">
            <w:r>
              <w:t xml:space="preserve">Out-of-range scores</w:t>
            </w:r>
          </w:p>
        </w:tc>
        <w:tc>
          <w:p w14:paraId="00100120" w14:textId="00100121">
            <w:r>
              <w:t xml:space="preserve">clip(1, 5) ensures Rating stays within valid bounds</w:t>
            </w:r>
          </w:p>
        </w:tc>
      </w:tr>
      <w:tr>
        <w:trPr/>
        <w:tc>
          <w:p w14:paraId="00100122" w14:textId="00100123">
            <w:r>
              <w:t xml:space="preserve">7</w:t>
            </w:r>
          </w:p>
        </w:tc>
        <w:tc>
          <w:p w14:paraId="00100124" w14:textId="00100125">
            <w:r>
              <w:t xml:space="preserve">Sales recalculation</w:t>
            </w:r>
          </w:p>
        </w:tc>
        <w:tc>
          <w:p w14:paraId="00100126" w14:textId="00100127">
            <w:r>
              <w:t xml:space="preserve">Incorrect computed fields</w:t>
            </w:r>
          </w:p>
        </w:tc>
        <w:tc>
          <w:p w14:paraId="00100128" w14:textId="00100129">
            <w:r>
              <w:t xml:space="preserve">Sales = Quantity x Unit Price; mismatches auto-corrected</w:t>
            </w:r>
          </w:p>
        </w:tc>
      </w:tr>
      <w:tr>
        <w:trPr/>
        <w:tc>
          <w:p w14:paraId="0010012A" w14:textId="0010012B">
            <w:r>
              <w:t xml:space="preserve">8</w:t>
            </w:r>
          </w:p>
        </w:tc>
        <w:tc>
          <w:p w14:paraId="0010012C" w14:textId="0010012D">
            <w:r>
              <w:t xml:space="preserve">Time feature engineering</w:t>
            </w:r>
          </w:p>
        </w:tc>
        <w:tc>
          <w:p w14:paraId="0010012E" w14:textId="0010012F">
            <w:r>
              <w:t xml:space="preserve">Missing temporal dimensions</w:t>
            </w:r>
          </w:p>
        </w:tc>
        <w:tc>
          <w:p w14:paraId="00100130" w14:textId="00100131">
            <w:r>
              <w:t xml:space="preserve">Month, Month_Name, Day_Name, Quarter derived from Date</w:t>
            </w:r>
          </w:p>
        </w:tc>
      </w:tr>
      <w:tr>
        <w:trPr/>
        <w:tc>
          <w:p w14:paraId="00100132" w14:textId="00100133">
            <w:r>
              <w:t xml:space="preserve">Output</w:t>
            </w:r>
          </w:p>
        </w:tc>
        <w:tc>
          <w:p w14:paraId="00100134" w14:textId="00100135">
            <w:r>
              <w:t xml:space="preserve">Clean DataFrame</w:t>
            </w:r>
          </w:p>
        </w:tc>
        <w:tc>
          <w:p w14:paraId="00100136" w14:textId="00100137">
            <w:r>
              <w:t xml:space="preserve">—</w:t>
            </w:r>
          </w:p>
        </w:tc>
        <w:tc>
          <w:p w14:paraId="00100138" w14:textId="00100139">
            <w:r>
              <w:t xml:space="preserve">Cleaning report dict with before/after metrics passed to dashboard</w:t>
            </w:r>
          </w:p>
        </w:tc>
      </w:tr>
    </w:tbl>
    <w:p w14:paraId="0010013A" w14:textId="0010013B">
      <w:pPr>
        <w:pStyle w:val="Heading2"/>
        <w:spacing w:before="200" w:after="120"/>
      </w:pPr>
      <w:r>
        <w:rPr>
          <w:b/>
          <w:color w:val="2E75B6"/>
          <w:sz w:val="28"/>
        </w:rPr>
        <w:t xml:space="preserve">4.3 Sales Column Recalculation</w:t>
      </w:r>
    </w:p>
    <w:p w14:paraId="0010013C" w14:textId="0010013D">
      <w:pPr>
        <w:pStyle w:val="Normal"/>
        <w:spacing w:after="120"/>
      </w:pPr>
      <w:r>
        <w:rPr>
          <w:sz w:val="22"/>
        </w:rPr>
        <w:t xml:space="preserve">A critical validation step unique to this project is the recalculation and verification of the Sales column. The authoritative formula is:</w:t>
      </w:r>
    </w:p>
    <w:p w14:paraId="0010013E" w14:textId="0010013F">
      <w:pPr>
        <w:pStyle w:val="Normal"/>
        <w:spacing w:after="120"/>
        <w:jc w:val="center"/>
      </w:pPr>
      <w:r>
        <w:rPr>
          <w:b/>
          <w:color w:val="1F4E79"/>
          <w:sz w:val="24"/>
        </w:rPr>
        <w:t xml:space="preserve">Sales = Quantity × Unit Price</w:t>
      </w:r>
    </w:p>
    <w:p w14:paraId="00100140" w14:textId="00100141">
      <w:pPr>
        <w:pStyle w:val="Normal"/>
        <w:spacing w:after="160"/>
      </w:pPr>
      <w:r>
        <w:rPr>
          <w:sz w:val="22"/>
        </w:rPr>
        <w:t xml:space="preserve">Every row's Sales value is recomputed from scratch using this formula. If the pre-existing Sales column contains a value that does not match the recalculated figure (after rounding to two decimal places), it is automatically overwritten with the correct value. The number of such corrections is recorded in the cleaning report (sales_mismatch counter) and displayed on the dashboard. This ensures that all downstream aggregations — total revenue, average basket size, branch comparisons — are based on verified arithmetic, not potentially corrupted source data.</w:t>
      </w:r>
    </w:p>
    <w:p w14:paraId="00100142" w14:textId="00100143">
      <w:pPr>
        <w:pStyle w:val="Heading2"/>
        <w:spacing w:before="200" w:after="120"/>
      </w:pPr>
      <w:r>
        <w:rPr>
          <w:b/>
          <w:color w:val="2E75B6"/>
          <w:sz w:val="28"/>
        </w:rPr>
        <w:t xml:space="preserve">4.4 Derived Feature Engineering</w:t>
      </w:r>
    </w:p>
    <w:p w14:paraId="00100144" w14:textId="00100145">
      <w:pPr>
        <w:pStyle w:val="Normal"/>
        <w:spacing w:after="100"/>
      </w:pPr>
      <w:r>
        <w:rPr>
          <w:sz w:val="22"/>
        </w:rPr>
        <w:t xml:space="preserve">After cleaning, four additional time-based features are derived from the Date column to enable temporal analysis:</w:t>
      </w:r>
    </w:p>
    <w:p w14:paraId="00100146" w14:textId="00100147">
      <w:pPr>
        <w:pStyle w:val="Normal"/>
        <w:numPr>
          <w:ilvl w:val="0"/>
          <w:numId w:val="3"/>
        </w:numPr>
        <w:spacing w:after="60"/>
      </w:pPr>
      <w:r>
        <w:rPr>
          <w:sz w:val="22"/>
        </w:rPr>
        <w:t xml:space="preserve">•  Month (integer 1–12) — enables monthly grouping and period-over-period comparison.</w:t>
      </w:r>
    </w:p>
    <w:p w14:paraId="00100148" w14:textId="00100149">
      <w:pPr>
        <w:pStyle w:val="Normal"/>
        <w:numPr>
          <w:ilvl w:val="0"/>
          <w:numId w:val="3"/>
        </w:numPr>
        <w:spacing w:after="60"/>
      </w:pPr>
      <w:r>
        <w:rPr>
          <w:sz w:val="22"/>
        </w:rPr>
        <w:t xml:space="preserve">•  Month_Name (e.g. Jan, Feb) — human-readable label for charts and x-axis display.</w:t>
      </w:r>
    </w:p>
    <w:p w14:paraId="0010014A" w14:textId="0010014B">
      <w:pPr>
        <w:pStyle w:val="Normal"/>
        <w:numPr>
          <w:ilvl w:val="0"/>
          <w:numId w:val="3"/>
        </w:numPr>
        <w:spacing w:after="60"/>
      </w:pPr>
      <w:r>
        <w:rPr>
          <w:sz w:val="22"/>
        </w:rPr>
        <w:t xml:space="preserve">•  Day_Name (e.g. Mon, Tue) — enables day-of-week analysis to identify peak and trough trading days.</w:t>
      </w:r>
    </w:p>
    <w:p w14:paraId="0010014C" w14:textId="0010014D">
      <w:pPr>
        <w:pStyle w:val="Normal"/>
        <w:numPr>
          <w:ilvl w:val="0"/>
          <w:numId w:val="3"/>
        </w:numPr>
        <w:spacing w:after="160"/>
      </w:pPr>
      <w:r>
        <w:rPr>
          <w:sz w:val="22"/>
        </w:rPr>
        <w:t xml:space="preserve">•  Quarter (integer 1–4) — enables quarterly revenue aggregation and Q-on-Q trend identification.</w:t>
      </w:r>
    </w:p>
    <w:p w14:paraId="0010014E" w14:textId="0010014F">
      <w:pPr>
        <w:pStyle w:val="Heading1"/>
        <w:spacing w:before="360" w:after="160"/>
      </w:pPr>
      <w:r>
        <w:rPr>
          <w:b/>
          <w:color w:val="1F4E79"/>
          <w:sz w:val="36"/>
        </w:rPr>
        <w:t xml:space="preserve">5. Analysis Methodology &amp; Exploratory Data Analysis</w:t>
      </w:r>
    </w:p>
    <w:p w14:paraId="00100150" w14:textId="00100151">
      <w:pPr>
        <w:pStyle w:val="Heading2"/>
        <w:spacing w:before="200" w:after="120"/>
      </w:pPr>
      <w:r>
        <w:rPr>
          <w:b/>
          <w:color w:val="2E75B6"/>
          <w:sz w:val="28"/>
        </w:rPr>
        <w:t xml:space="preserve">5.1 Analytical Framework</w:t>
      </w:r>
    </w:p>
    <w:p w14:paraId="00100152" w14:textId="00100153">
      <w:pPr>
        <w:pStyle w:val="Normal"/>
        <w:spacing w:after="160"/>
      </w:pPr>
      <w:r>
        <w:rPr>
          <w:sz w:val="22"/>
        </w:rPr>
        <w:t xml:space="preserve">The EDA is structured around five analytical dimensions, each corresponding to a dedicated tab in the Streamlit dashboard. This modular approach allows stakeholders to navigate directly to the insight area most relevant to their role — a category manager, a branch operations head, and a marketing analyst will each have a distinct entry point into the same underlying data.</w:t>
      </w:r>
    </w:p>
    <w:p w14:paraId="00100154" w14:textId="00100155">
      <w:pPr>
        <w:pStyle w:val="Heading2"/>
        <w:spacing w:before="200" w:after="120"/>
      </w:pPr>
      <w:r>
        <w:rPr>
          <w:b/>
          <w:color w:val="2E75B6"/>
          <w:sz w:val="28"/>
        </w:rPr>
        <w:t xml:space="preserve">5.2 Dimension 1 — Product &amp; Category Analysis</w:t>
      </w:r>
    </w:p>
    <w:p w14:paraId="00100156" w14:textId="00100157">
      <w:pPr>
        <w:pStyle w:val="Normal"/>
        <w:spacing w:after="100"/>
      </w:pPr>
      <w:r>
        <w:rPr>
          <w:sz w:val="22"/>
        </w:rPr>
        <w:t xml:space="preserve">This dimension answers the question: which products and categories are driving the most revenue, volume, and customer satisfaction?</w:t>
      </w:r>
    </w:p>
    <w:p w14:paraId="00100158" w14:textId="00100159">
      <w:pPr>
        <w:pStyle w:val="Normal"/>
        <w:numPr>
          <w:ilvl w:val="0"/>
          <w:numId w:val="4"/>
        </w:numPr>
        <w:spacing w:after="60"/>
      </w:pPr>
      <w:r>
        <w:rPr>
          <w:sz w:val="22"/>
        </w:rPr>
        <w:t xml:space="preserve">•  Revenue ranking: Products are ranked by aggregated Sales (sum). The top-10 chart identifies absolute revenue champions.</w:t>
      </w:r>
    </w:p>
    <w:p w14:paraId="0010015A" w14:textId="0010015B">
      <w:pPr>
        <w:pStyle w:val="Normal"/>
        <w:numPr>
          <w:ilvl w:val="0"/>
          <w:numId w:val="4"/>
        </w:numPr>
        <w:spacing w:after="60"/>
      </w:pPr>
      <w:r>
        <w:rPr>
          <w:sz w:val="22"/>
        </w:rPr>
        <w:t xml:space="preserve">•  Volume ranking: Quantity sold per product reveals high-throughput items that may require heavier inventory investment regardless of unit price.</w:t>
      </w:r>
    </w:p>
    <w:p w14:paraId="0010015C" w14:textId="0010015D">
      <w:pPr>
        <w:pStyle w:val="Normal"/>
        <w:numPr>
          <w:ilvl w:val="0"/>
          <w:numId w:val="4"/>
        </w:numPr>
        <w:spacing w:after="60"/>
      </w:pPr>
      <w:r>
        <w:rPr>
          <w:sz w:val="22"/>
        </w:rPr>
        <w:t xml:space="preserve">•  Rating ranking: Average customer rating per product flags quality issues and satisfaction champions.</w:t>
      </w:r>
    </w:p>
    <w:p w14:paraId="0010015E" w14:textId="0010015F">
      <w:pPr>
        <w:pStyle w:val="Normal"/>
        <w:numPr>
          <w:ilvl w:val="0"/>
          <w:numId w:val="4"/>
        </w:numPr>
        <w:spacing w:after="160"/>
      </w:pPr>
      <w:r>
        <w:rPr>
          <w:sz w:val="22"/>
        </w:rPr>
        <w:t xml:space="preserve">•  Category bubble chart: Each category is plotted with Orders (x-axis), Total Sales (y-axis), and Average Basket Size (bubble diameter) — a three-dimensional view that reveals whether a category's revenue comes from volume or from high-value transactions.</w:t>
      </w:r>
    </w:p>
    <w:p w14:paraId="00100160" w14:textId="00100161">
      <w:pPr>
        <w:pStyle w:val="Heading2"/>
        <w:spacing w:before="200" w:after="120"/>
      </w:pPr>
      <w:r>
        <w:rPr>
          <w:b/>
          <w:color w:val="2E75B6"/>
          <w:sz w:val="28"/>
        </w:rPr>
        <w:t xml:space="preserve">5.3 Dimension 2 — Branch Performance Analysis</w:t>
      </w:r>
    </w:p>
    <w:p w14:paraId="00100162" w14:textId="00100163">
      <w:pPr>
        <w:pStyle w:val="Normal"/>
        <w:spacing w:after="100"/>
      </w:pPr>
      <w:r>
        <w:rPr>
          <w:sz w:val="22"/>
        </w:rPr>
        <w:t xml:space="preserve">This dimension benchmarks the four branches against each other on revenue, ratings, category mix, and payment preferences.</w:t>
      </w:r>
    </w:p>
    <w:p w14:paraId="00100164" w14:textId="00100165">
      <w:pPr>
        <w:pStyle w:val="Normal"/>
        <w:numPr>
          <w:ilvl w:val="0"/>
          <w:numId w:val="5"/>
        </w:numPr>
        <w:spacing w:after="60"/>
      </w:pPr>
      <w:r>
        <w:rPr>
          <w:sz w:val="22"/>
        </w:rPr>
        <w:t xml:space="preserve">•  Grouped bar chart: Branches compared side-by-side on total sales with city label for geographic context.</w:t>
      </w:r>
    </w:p>
    <w:p w14:paraId="00100166" w14:textId="00100167">
      <w:pPr>
        <w:pStyle w:val="Normal"/>
        <w:numPr>
          <w:ilvl w:val="0"/>
          <w:numId w:val="5"/>
        </w:numPr>
        <w:spacing w:after="60"/>
      </w:pPr>
      <w:r>
        <w:rPr>
          <w:sz w:val="22"/>
        </w:rPr>
        <w:t xml:space="preserve">•  Sunburst chart: A two-level hierarchical breakdown (Branch &gt; Category) that reveals each branch's category mix within a single interactive chart.</w:t>
      </w:r>
    </w:p>
    <w:p w14:paraId="00100168" w14:textId="00100169">
      <w:pPr>
        <w:pStyle w:val="Normal"/>
        <w:numPr>
          <w:ilvl w:val="0"/>
          <w:numId w:val="5"/>
        </w:numPr>
        <w:spacing w:after="160"/>
      </w:pPr>
      <w:r>
        <w:rPr>
          <w:sz w:val="22"/>
        </w:rPr>
        <w:t xml:space="preserve">•  Stacked payment bar: Shows which payment methods are most popular in each branch — useful for infrastructure investment decisions.</w:t>
      </w:r>
    </w:p>
    <w:p w14:paraId="0010016A" w14:textId="0010016B">
      <w:pPr>
        <w:pStyle w:val="Heading2"/>
        <w:spacing w:before="200" w:after="120"/>
      </w:pPr>
      <w:r>
        <w:rPr>
          <w:b/>
          <w:color w:val="2E75B6"/>
          <w:sz w:val="28"/>
        </w:rPr>
        <w:t xml:space="preserve">5.4 Dimension 3 — Customer Behaviour Analysis</w:t>
      </w:r>
    </w:p>
    <w:p w14:paraId="0010016C" w14:textId="0010016D">
      <w:pPr>
        <w:pStyle w:val="Normal"/>
        <w:spacing w:after="100"/>
      </w:pPr>
      <w:r>
        <w:rPr>
          <w:sz w:val="22"/>
        </w:rPr>
        <w:t xml:space="preserve">This dimension explores how customer type, gender, and satisfaction ratings interact with purchasing patterns.</w:t>
      </w:r>
    </w:p>
    <w:p w14:paraId="0010016E" w14:textId="0010016F">
      <w:pPr>
        <w:pStyle w:val="Normal"/>
        <w:numPr>
          <w:ilvl w:val="0"/>
          <w:numId w:val="6"/>
        </w:numPr>
        <w:spacing w:after="60"/>
      </w:pPr>
      <w:r>
        <w:rPr>
          <w:sz w:val="22"/>
        </w:rPr>
        <w:t xml:space="preserve">•  Member vs Normal: Revenue share pie and category spend breakdown reveal whether loyalty programme members exhibit higher basket sizes or different category preferences.</w:t>
      </w:r>
    </w:p>
    <w:p w14:paraId="00100170" w14:textId="00100171">
      <w:pPr>
        <w:pStyle w:val="Normal"/>
        <w:numPr>
          <w:ilvl w:val="0"/>
          <w:numId w:val="6"/>
        </w:numPr>
        <w:spacing w:after="60"/>
      </w:pPr>
      <w:r>
        <w:rPr>
          <w:sz w:val="22"/>
        </w:rPr>
        <w:t xml:space="preserve">•  Gender analysis: Comparable breakdown by gender across both revenue share and category spending.</w:t>
      </w:r>
    </w:p>
    <w:p w14:paraId="00100172" w14:textId="00100173">
      <w:pPr>
        <w:pStyle w:val="Normal"/>
        <w:numPr>
          <w:ilvl w:val="0"/>
          <w:numId w:val="6"/>
        </w:numPr>
        <w:spacing w:after="160"/>
      </w:pPr>
      <w:r>
        <w:rPr>
          <w:sz w:val="22"/>
        </w:rPr>
        <w:t xml:space="preserve">•  Rating distribution: A histogram of all ratings combined with box plots per branch and per category surfaces outliers and systematic satisfaction differences.</w:t>
      </w:r>
    </w:p>
    <w:p w14:paraId="00100174" w14:textId="00100175">
      <w:pPr>
        <w:pStyle w:val="Heading2"/>
        <w:spacing w:before="200" w:after="120"/>
      </w:pPr>
      <w:r>
        <w:rPr>
          <w:b/>
          <w:color w:val="2E75B6"/>
          <w:sz w:val="28"/>
        </w:rPr>
        <w:t xml:space="preserve">5.5 Dimension 4 — Payment Method Analysis</w:t>
      </w:r>
    </w:p>
    <w:p w14:paraId="00100176" w14:textId="00100177">
      <w:pPr>
        <w:pStyle w:val="Normal"/>
        <w:spacing w:after="160"/>
      </w:pPr>
      <w:r>
        <w:rPr>
          <w:sz w:val="22"/>
        </w:rPr>
        <w:t xml:space="preserve">Payment data is analysed at two levels: frequency (transaction count) and value (total sales). A donut pie chart on the Overview tab shows the global payment split. Branch-level payment breakdowns on the Branches tab reveal geographic preferences — for example, UPI dominance in Jaipur vs Card preference in Mumbai — guiding decisions on payment terminal investment.</w:t>
      </w:r>
    </w:p>
    <w:p w14:paraId="00100178" w14:textId="00100179">
      <w:pPr>
        <w:pStyle w:val="Heading2"/>
        <w:spacing w:before="200" w:after="120"/>
      </w:pPr>
      <w:r>
        <w:rPr>
          <w:b/>
          <w:color w:val="2E75B6"/>
          <w:sz w:val="28"/>
        </w:rPr>
        <w:t xml:space="preserve">5.6 Dimension 5 — Time Series &amp; Temporal Analysis</w:t>
      </w:r>
    </w:p>
    <w:p w14:paraId="0010017A" w14:textId="0010017B">
      <w:pPr>
        <w:pStyle w:val="Normal"/>
        <w:spacing w:after="100"/>
      </w:pPr>
      <w:r>
        <w:rPr>
          <w:sz w:val="22"/>
        </w:rPr>
        <w:t xml:space="preserve">Temporal analysis operates across four granularities:</w:t>
      </w:r>
    </w:p>
    <w:p w14:paraId="0010017C" w14:textId="0010017D">
      <w:pPr>
        <w:pStyle w:val="Normal"/>
        <w:numPr>
          <w:ilvl w:val="0"/>
          <w:numId w:val="7"/>
        </w:numPr>
        <w:spacing w:after="60"/>
      </w:pPr>
      <w:r>
        <w:rPr>
          <w:sz w:val="22"/>
        </w:rPr>
        <w:t xml:space="preserve">•  Monthly trend line: Identifies seasonality, growth or decline trajectories, and demand peaks.</w:t>
      </w:r>
    </w:p>
    <w:p w14:paraId="0010017E" w14:textId="0010017F">
      <w:pPr>
        <w:pStyle w:val="Normal"/>
        <w:numPr>
          <w:ilvl w:val="0"/>
          <w:numId w:val="7"/>
        </w:numPr>
        <w:spacing w:after="60"/>
      </w:pPr>
      <w:r>
        <w:rPr>
          <w:sz w:val="22"/>
        </w:rPr>
        <w:t xml:space="preserve">•  Day-of-week bar: Pinpoints the highest- and lowest-traffic trading days for staffing and promotional decisions.</w:t>
      </w:r>
    </w:p>
    <w:p w14:paraId="00100180" w14:textId="00100181">
      <w:pPr>
        <w:pStyle w:val="Normal"/>
        <w:numPr>
          <w:ilvl w:val="0"/>
          <w:numId w:val="7"/>
        </w:numPr>
        <w:spacing w:after="60"/>
      </w:pPr>
      <w:r>
        <w:rPr>
          <w:sz w:val="22"/>
        </w:rPr>
        <w:t xml:space="preserve">•  Quarterly aggregation: Condenses the monthly view into Q1–Q4 comparisons for executive-level reporting.</w:t>
      </w:r>
    </w:p>
    <w:p w14:paraId="00100182" w14:textId="00100183">
      <w:pPr>
        <w:pStyle w:val="Normal"/>
        <w:numPr>
          <w:ilvl w:val="0"/>
          <w:numId w:val="7"/>
        </w:numPr>
        <w:spacing w:after="160"/>
      </w:pPr>
      <w:r>
        <w:rPr>
          <w:sz w:val="22"/>
        </w:rPr>
        <w:t xml:space="preserve">•  Branch and category breakdown over time: Multi-line charts show whether branches and categories follow the same seasonal curve or diverge — enabling targeted interventions.</w:t>
      </w:r>
    </w:p>
    <w:p w14:paraId="00100184" w14:textId="00100185">
      <w:pPr>
        <w:pStyle w:val="Heading2"/>
        <w:spacing w:before="200" w:after="120"/>
      </w:pPr>
      <w:r>
        <w:rPr>
          <w:b/>
          <w:color w:val="2E75B6"/>
          <w:sz w:val="28"/>
        </w:rPr>
        <w:t xml:space="preserve">5.7 Statistical Measures Used</w:t>
      </w:r>
    </w:p>
    <w:p w14:paraId="00100186" w14:textId="00100187">
      <w:pPr>
        <w:pStyle w:val="Normal"/>
        <w:spacing w:after="100"/>
      </w:pPr>
      <w:r>
        <w:rPr>
          <w:sz w:val="22"/>
        </w:rPr>
        <w:t xml:space="preserve">The EDA employs the following statistical techniques:</w:t>
      </w:r>
    </w:p>
    <w:p w14:paraId="00100188" w14:textId="00100189">
      <w:pPr>
        <w:pStyle w:val="Normal"/>
        <w:numPr>
          <w:ilvl w:val="0"/>
          <w:numId w:val="8"/>
        </w:numPr>
        <w:spacing w:after="60"/>
      </w:pPr>
      <w:r>
        <w:rPr>
          <w:sz w:val="22"/>
        </w:rPr>
        <w:t xml:space="preserve">•  Descriptive statistics: mean, median, standard deviation, min, max, and quartiles for all numeric columns (Quantity, Unit Price, Sales, Rating).</w:t>
      </w:r>
    </w:p>
    <w:p w14:paraId="0010018A" w14:textId="0010018B">
      <w:pPr>
        <w:pStyle w:val="Normal"/>
        <w:numPr>
          <w:ilvl w:val="0"/>
          <w:numId w:val="8"/>
        </w:numPr>
        <w:spacing w:after="60"/>
      </w:pPr>
      <w:r>
        <w:rPr>
          <w:sz w:val="22"/>
        </w:rPr>
        <w:t xml:space="preserve">•  Aggregation: sum, count, and mean grouped by Branch, Category, Product, Customer Type, Gender, Payment, and time dimensions.</w:t>
      </w:r>
    </w:p>
    <w:p w14:paraId="0010018C" w14:textId="0010018D">
      <w:pPr>
        <w:pStyle w:val="Normal"/>
        <w:numPr>
          <w:ilvl w:val="0"/>
          <w:numId w:val="8"/>
        </w:numPr>
        <w:spacing w:after="60"/>
      </w:pPr>
      <w:r>
        <w:rPr>
          <w:sz w:val="22"/>
        </w:rPr>
        <w:t xml:space="preserve">•  Correlation analysis: Pearson correlation matrix across Quantity, Unit Price, Sales, and Rating, visualised as a heatmap to identify linear relationships.</w:t>
      </w:r>
    </w:p>
    <w:p w14:paraId="0010018E" w14:textId="0010018F">
      <w:pPr>
        <w:pStyle w:val="Normal"/>
        <w:numPr>
          <w:ilvl w:val="0"/>
          <w:numId w:val="8"/>
        </w:numPr>
        <w:spacing w:after="160"/>
      </w:pPr>
      <w:r>
        <w:rPr>
          <w:sz w:val="22"/>
        </w:rPr>
        <w:t xml:space="preserve">•  Distribution analysis: Histograms for Rating and all numeric columns post-cleaning to verify normality assumptions and spot remaining outliers.</w:t>
      </w:r>
    </w:p>
    <w:p w14:paraId="00100190" w14:textId="00100191">
      <w:pPr>
        <w:pStyle w:val="Heading1"/>
        <w:spacing w:before="360" w:after="160"/>
      </w:pPr>
      <w:r>
        <w:rPr>
          <w:b/>
          <w:color w:val="1F4E79"/>
          <w:sz w:val="36"/>
        </w:rPr>
        <w:t xml:space="preserve">6. Key Findings &amp; Business Decisions</w:t>
      </w:r>
    </w:p>
    <w:p w14:paraId="00100192" w14:textId="00100193">
      <w:pPr>
        <w:pStyle w:val="Heading2"/>
        <w:spacing w:before="200" w:after="120"/>
      </w:pPr>
      <w:r>
        <w:rPr>
          <w:b/>
          <w:color w:val="2E75B6"/>
          <w:sz w:val="28"/>
        </w:rPr>
        <w:t xml:space="preserve">6.1 Product Performance Findings</w:t>
      </w:r>
    </w:p>
    <w:p w14:paraId="00100194" w14:textId="00100195">
      <w:pPr>
        <w:pStyle w:val="Normal"/>
        <w:spacing w:after="120"/>
      </w:pPr>
      <w:r>
        <w:rPr>
          <w:sz w:val="22"/>
        </w:rPr>
        <w:t xml:space="preserve">Finding 1 — Revenue concentration in high-ticket items: Products such as Cheese (avg. unit price ~Rs.219), Coffee (~Rs.183), and Shampoo (~Rs.175) generate disproportionately high revenue despite moderate transaction volumes. Their high unit prices create substantial Sales even at lower quantities.</w:t>
      </w:r>
    </w:p>
    <w:p w14:paraId="00100196" w14:textId="00100197">
      <w:pPr>
        <w:pStyle w:val="Normal"/>
        <w:spacing w:after="120"/>
      </w:pPr>
      <w:r>
        <w:rPr>
          <w:sz w:val="22"/>
        </w:rPr>
        <w:t xml:space="preserve">Finding 2 — Volume leaders vs value leaders diverge: Staple items such as Rice, Noodles, and Biscuits top the quantity charts but rank lower on absolute revenue due to low unit prices. This dual-track view is essential for inventory planning — over-relying on revenue rankings alone would underfund high-volume essentials.</w:t>
      </w:r>
    </w:p>
    <w:p w14:paraId="00100198" w14:textId="00100199">
      <w:pPr>
        <w:pStyle w:val="Normal"/>
        <w:spacing w:after="160"/>
      </w:pPr>
      <w:r>
        <w:rPr>
          <w:sz w:val="22"/>
        </w:rPr>
        <w:t xml:space="preserve">Finding 3 — Highest-rated products: Customer satisfaction is generally high (most ratings cluster between 3.5 and 4.8). However, certain products exhibit consistently lower ratings, indicating specific quality or value-for-money concerns that require attention.</w:t>
      </w:r>
    </w:p>
    <w:p w14:paraId="0010019A" w14:textId="0010019B">
      <w:pPr>
        <w:pStyle w:val="Heading2"/>
        <w:spacing w:before="200" w:after="120"/>
      </w:pPr>
      <w:r>
        <w:rPr>
          <w:b/>
          <w:color w:val="2E75B6"/>
          <w:sz w:val="28"/>
        </w:rPr>
        <w:t xml:space="preserve">6.2 Category Performance Findings</w:t>
      </w:r>
    </w:p>
    <w:p w14:paraId="0010019C" w14:textId="0010019D">
      <w:pPr>
        <w:pStyle w:val="Normal"/>
        <w:spacing w:after="120"/>
      </w:pPr>
      <w:r>
        <w:rPr>
          <w:sz w:val="22"/>
        </w:rPr>
        <w:t xml:space="preserve">Finding 4 — Personal Care leads revenue: Despite fewer SKUs, Personal Care (Shampoo, Soap, Face Wash) consistently ranks at or near the top in total category revenue, driven by high unit prices and repeat purchasing behaviour.</w:t>
      </w:r>
    </w:p>
    <w:p w14:paraId="0010019E" w14:textId="0010019F">
      <w:pPr>
        <w:pStyle w:val="Normal"/>
        <w:spacing w:after="120"/>
      </w:pPr>
      <w:r>
        <w:rPr>
          <w:sz w:val="22"/>
        </w:rPr>
        <w:t xml:space="preserve">Finding 5 — Grocery provides volume stability: Grocery (Rice, Noodles, Cooking Oil, Biscuits) accounts for a high proportion of total transactions, providing revenue stability through frequency even when individual basket sizes are smaller.</w:t>
      </w:r>
    </w:p>
    <w:p w14:paraId="001001A0" w14:textId="001001A1">
      <w:pPr>
        <w:pStyle w:val="Normal"/>
        <w:spacing w:after="160"/>
      </w:pPr>
      <w:r>
        <w:rPr>
          <w:sz w:val="22"/>
        </w:rPr>
        <w:t xml:space="preserve">Finding 6 — Beverages represent a high-margin opportunity: Coffee and Tea carry unit prices in the Rs.115–Rs.194 range. Focused promotion of premium beverages could yield outsized revenue gains with relatively modest quantity increases.</w:t>
      </w:r>
    </w:p>
    <w:p w14:paraId="001001A2" w14:textId="001001A3">
      <w:pPr>
        <w:pStyle w:val="Heading2"/>
        <w:spacing w:before="200" w:after="120"/>
      </w:pPr>
      <w:r>
        <w:rPr>
          <w:b/>
          <w:color w:val="2E75B6"/>
          <w:sz w:val="28"/>
        </w:rPr>
        <w:t xml:space="preserve">6.3 Branch Performance Findings</w:t>
      </w:r>
    </w:p>
    <w:p w14:paraId="001001A4" w14:textId="001001A5">
      <w:pPr>
        <w:pStyle w:val="Normal"/>
        <w:spacing w:after="120"/>
      </w:pPr>
      <w:r>
        <w:rPr>
          <w:sz w:val="22"/>
        </w:rPr>
        <w:t xml:space="preserve">Finding 7 — Branch performance is not uniform: The four branches exhibit measurable revenue differences. The leading branch's best practices — whether in merchandising layout, promotional execution, staff training, or local assortment — are not fully replicated across all locations.</w:t>
      </w:r>
    </w:p>
    <w:p w14:paraId="001001A6" w14:textId="001001A7">
      <w:pPr>
        <w:pStyle w:val="Normal"/>
        <w:spacing w:after="120"/>
      </w:pPr>
      <w:r>
        <w:rPr>
          <w:sz w:val="22"/>
        </w:rPr>
        <w:t xml:space="preserve">Finding 8 — Category mix varies by branch: The sunburst visualisation reveals that category revenue contributions differ significantly across branches. Some branches over-index on Grocery while others see stronger Personal Care or Beverage performance, reflecting local demographic and cultural preferences.</w:t>
      </w:r>
    </w:p>
    <w:p w14:paraId="001001A8" w14:textId="001001A9">
      <w:pPr>
        <w:pStyle w:val="Normal"/>
        <w:spacing w:after="160"/>
      </w:pPr>
      <w:r>
        <w:rPr>
          <w:sz w:val="22"/>
        </w:rPr>
        <w:t xml:space="preserve">Finding 9 — Average basket size varies across branches: Branches serving higher-income urban demographics tend to show larger average basket values, suggesting scope for premium product introduction in those locations.</w:t>
      </w:r>
    </w:p>
    <w:p w14:paraId="001001AA" w14:textId="001001AB">
      <w:pPr>
        <w:pStyle w:val="Heading2"/>
        <w:spacing w:before="200" w:after="120"/>
      </w:pPr>
      <w:r>
        <w:rPr>
          <w:b/>
          <w:color w:val="2E75B6"/>
          <w:sz w:val="28"/>
        </w:rPr>
        <w:t xml:space="preserve">6.4 Customer Behaviour Findings</w:t>
      </w:r>
    </w:p>
    <w:p w14:paraId="001001AC" w14:textId="001001AD">
      <w:pPr>
        <w:pStyle w:val="Normal"/>
        <w:spacing w:after="120"/>
      </w:pPr>
      <w:r>
        <w:rPr>
          <w:sz w:val="22"/>
        </w:rPr>
        <w:t xml:space="preserve">Finding 10 — Members and Normal customers are near-equal in transaction volume: The dataset shows a roughly balanced split, suggesting the loyalty programme has achieved meaningful penetration. However, Member basket sizes tend to be slightly higher, confirming that the programme does influence purchase behaviour.</w:t>
      </w:r>
    </w:p>
    <w:p w14:paraId="001001AE" w14:textId="001001AF">
      <w:pPr>
        <w:pStyle w:val="Normal"/>
        <w:spacing w:after="120"/>
      </w:pPr>
      <w:r>
        <w:rPr>
          <w:sz w:val="22"/>
        </w:rPr>
        <w:t xml:space="preserve">Finding 11 — Gender preferences exist in specific categories: Female customers show stronger purchase patterns in Personal Care and Dairy, while Male customers show relatively higher spending in Beverages and Grocery. These preferences — while not absolute — support targeted marketing segmentation.</w:t>
      </w:r>
    </w:p>
    <w:p w14:paraId="001001B0" w14:textId="001001B1">
      <w:pPr>
        <w:pStyle w:val="Normal"/>
        <w:spacing w:after="160"/>
      </w:pPr>
      <w:r>
        <w:rPr>
          <w:sz w:val="22"/>
        </w:rPr>
        <w:t xml:space="preserve">Finding 12 — Customer ratings are generally positive but polarised for certain products: The rating distribution is skewed slightly positive (mean ~3.9–4.0 across most branches), but individual products receive a wide spread. Low-rated products are strong candidates for quality review or delisting.</w:t>
      </w:r>
    </w:p>
    <w:p w14:paraId="001001B2" w14:textId="001001B3">
      <w:pPr>
        <w:pStyle w:val="Heading2"/>
        <w:spacing w:before="200" w:after="120"/>
      </w:pPr>
      <w:r>
        <w:rPr>
          <w:b/>
          <w:color w:val="2E75B6"/>
          <w:sz w:val="28"/>
        </w:rPr>
        <w:t xml:space="preserve">6.5 Payment Method Findings</w:t>
      </w:r>
    </w:p>
    <w:p w14:paraId="001001B4" w14:textId="001001B5">
      <w:pPr>
        <w:pStyle w:val="Normal"/>
        <w:spacing w:after="120"/>
      </w:pPr>
      <w:r>
        <w:rPr>
          <w:sz w:val="22"/>
        </w:rPr>
        <w:t xml:space="preserve">Finding 13 — Digital payment dominates: UPI, Card, and Net Banking together account for the majority of transactions, reflecting India's ongoing shift toward cashless retail. Cash remains significant but is declining relative to digital alternatives.</w:t>
      </w:r>
    </w:p>
    <w:p w14:paraId="001001B6" w14:textId="001001B7">
      <w:pPr>
        <w:pStyle w:val="Normal"/>
        <w:spacing w:after="160"/>
      </w:pPr>
      <w:r>
        <w:rPr>
          <w:sz w:val="22"/>
        </w:rPr>
        <w:t xml:space="preserve">Finding 14 — Payment preferences are city-specific: UPI is particularly strong in Jaipur (Branch A), consistent with high UPI adoption in Tier-2 cities. Card transactions are more prevalent in Metro branches (Mumbai, Delhi), reflecting higher banking penetration and POS infrastructure.</w:t>
      </w:r>
    </w:p>
    <w:p w14:paraId="001001B8" w14:textId="001001B9">
      <w:pPr>
        <w:pStyle w:val="Heading2"/>
        <w:spacing w:before="200" w:after="120"/>
      </w:pPr>
      <w:r>
        <w:rPr>
          <w:b/>
          <w:color w:val="2E75B6"/>
          <w:sz w:val="28"/>
        </w:rPr>
        <w:t xml:space="preserve">6.6 Temporal Pattern Findings</w:t>
      </w:r>
    </w:p>
    <w:p w14:paraId="001001BA" w14:textId="001001BB">
      <w:pPr>
        <w:pStyle w:val="Normal"/>
        <w:spacing w:after="120"/>
      </w:pPr>
      <w:r>
        <w:rPr>
          <w:sz w:val="22"/>
        </w:rPr>
        <w:t xml:space="preserve">Finding 15 — Revenue exhibits monthly seasonality: Certain months show significantly higher transaction volumes and revenue, likely coinciding with salary cycles, festive periods, or local events. These peaks are consistent across most branches, suggesting a demand-driven rather than supply-driven pattern.</w:t>
      </w:r>
    </w:p>
    <w:p w14:paraId="001001BC" w14:textId="001001BD">
      <w:pPr>
        <w:pStyle w:val="Normal"/>
        <w:spacing w:after="120"/>
      </w:pPr>
      <w:r>
        <w:rPr>
          <w:sz w:val="22"/>
        </w:rPr>
        <w:t xml:space="preserve">Finding 16 — Week-day vs weekend patterns are meaningful: Day-of-week analysis reveals that mid-week or weekend days consistently attract higher footfall and spending. The lowest-revenue day represents a structural promotional opportunity — targeted flash deals or loyalty-point multipliers on that day could smooth revenue variance and improve asset utilisation.</w:t>
      </w:r>
    </w:p>
    <w:p w14:paraId="001001BE" w14:textId="001001BF">
      <w:pPr>
        <w:pStyle w:val="Normal"/>
        <w:spacing w:after="160"/>
      </w:pPr>
      <w:r>
        <w:rPr>
          <w:sz w:val="22"/>
        </w:rPr>
        <w:t xml:space="preserve">Finding 17 — Q1 and Q2 show strong performance: The January–June window (Q1 and Q2) captures the majority of the dataset's revenue, partly because data collection ends in July. Within this window, Q1 shows a strong January spike consistent with post-holiday restocking behaviour.</w:t>
      </w:r>
    </w:p>
    <w:p w14:paraId="001001C0" w14:textId="001001C1">
      <w:pPr>
        <w:pStyle w:val="Heading1"/>
        <w:spacing w:before="360" w:after="160"/>
      </w:pPr>
      <w:r>
        <w:rPr>
          <w:b/>
          <w:color w:val="1F4E79"/>
          <w:sz w:val="36"/>
        </w:rPr>
        <w:t xml:space="preserve">7. Dashboard Visual Layout Description</w:t>
      </w:r>
    </w:p>
    <w:p w14:paraId="001001C2" w14:textId="001001C3">
      <w:pPr>
        <w:pStyle w:val="Heading2"/>
        <w:spacing w:before="200" w:after="120"/>
      </w:pPr>
      <w:r>
        <w:rPr>
          <w:b/>
          <w:color w:val="2E75B6"/>
          <w:sz w:val="28"/>
        </w:rPr>
        <w:t xml:space="preserve">7.1 Application Architecture</w:t>
      </w:r>
    </w:p>
    <w:p w14:paraId="001001C4" w14:textId="001001C5">
      <w:pPr>
        <w:pStyle w:val="Normal"/>
        <w:spacing w:after="100"/>
      </w:pPr>
      <w:r>
        <w:rPr>
          <w:sz w:val="22"/>
        </w:rPr>
        <w:t xml:space="preserve">The dashboard is implemented as a single Python file (app.py) using the Streamlit framework. The back-end logic (data loading, cleaning, EDA aggregations) is co-located with the front-end rendering code, enabling a self-contained application that requires no separate server or API layer. The layout architecture consists of three zones:</w:t>
      </w:r>
    </w:p>
    <w:p w14:paraId="001001C6" w14:textId="001001C7">
      <w:pPr>
        <w:pStyle w:val="Normal"/>
        <w:numPr>
          <w:ilvl w:val="0"/>
          <w:numId w:val="9"/>
        </w:numPr>
        <w:spacing w:after="60"/>
      </w:pPr>
      <w:r>
        <w:rPr>
          <w:sz w:val="22"/>
        </w:rPr>
        <w:t xml:space="preserve">•  Sidebar (left panel): Global filter controls — Branch, Category, Payment, Customer Type, and Date Range selectors. All visualisations respond dynamically to sidebar filter changes via Streamlit's reactive data flow.</w:t>
      </w:r>
    </w:p>
    <w:p w14:paraId="001001C8" w14:textId="001001C9">
      <w:pPr>
        <w:pStyle w:val="Normal"/>
        <w:numPr>
          <w:ilvl w:val="0"/>
          <w:numId w:val="9"/>
        </w:numPr>
        <w:spacing w:after="60"/>
      </w:pPr>
      <w:r>
        <w:rPr>
          <w:sz w:val="22"/>
        </w:rPr>
        <w:t xml:space="preserve">•  Tab bar (top of main area): Seven labelled tabs organising the content into logical analytical domains.</w:t>
      </w:r>
    </w:p>
    <w:p w14:paraId="001001CA" w14:textId="001001CB">
      <w:pPr>
        <w:pStyle w:val="Normal"/>
        <w:numPr>
          <w:ilvl w:val="0"/>
          <w:numId w:val="9"/>
        </w:numPr>
        <w:spacing w:after="160"/>
      </w:pPr>
      <w:r>
        <w:rPr>
          <w:sz w:val="22"/>
        </w:rPr>
        <w:t xml:space="preserve">•  Expandable bottom panel: Business Recommendations section, collapsed by default to keep the primary analytical view clean.</w:t>
      </w:r>
    </w:p>
    <w:p w14:paraId="001001CC" w14:textId="001001CD">
      <w:pPr>
        <w:pStyle w:val="Heading2"/>
        <w:spacing w:before="200" w:after="120"/>
      </w:pPr>
      <w:r>
        <w:rPr>
          <w:b/>
          <w:color w:val="2E75B6"/>
          <w:sz w:val="28"/>
        </w:rPr>
        <w:t xml:space="preserve">7.2 Tab-by-Tab Visual Layout</w:t>
      </w:r>
    </w:p>
    <w:p w14:paraId="001001CE" w14:textId="001001CF">
      <w:pPr>
        <w:pStyle w:val="Normal"/>
        <w:spacing w:after="80"/>
        <w:jc w:val="center"/>
      </w:pPr>
      <w:r>
        <w:rPr>
          <w:b/>
          <w:color w:val="57606A"/>
          <w:sz w:val="20"/>
        </w:rPr>
        <w:t xml:space="preserve">Table 4: Dashboard Tabs — Visual Components and Layout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D0" w14:textId="001001D1">
            <w:r>
              <w:t xml:space="preserve">Tab</w:t>
            </w:r>
          </w:p>
        </w:tc>
        <w:tc>
          <w:p w14:paraId="001001D2" w14:textId="001001D3">
            <w:r>
              <w:t xml:space="preserve">Layout Structure</w:t>
            </w:r>
          </w:p>
        </w:tc>
        <w:tc>
          <w:p w14:paraId="001001D4" w14:textId="001001D5">
            <w:r>
              <w:t xml:space="preserve">Charts / Components</w:t>
            </w:r>
          </w:p>
        </w:tc>
        <w:tc>
          <w:p w14:paraId="001001D6" w14:textId="001001D7">
            <w:r>
              <w:t xml:space="preserve">Key Metrics Shown</w:t>
            </w:r>
          </w:p>
        </w:tc>
      </w:tr>
      <w:tr>
        <w:trPr/>
        <w:tc>
          <w:p w14:paraId="001001D8" w14:textId="001001D9">
            <w:r>
              <w:t xml:space="preserve">Overview</w:t>
            </w:r>
          </w:p>
        </w:tc>
        <w:tc>
          <w:p w14:paraId="001001DA" w14:textId="001001DB">
            <w:r>
              <w:t xml:space="preserve">2 rows of 4 KPI cards; 2-column row (bar + pie); full-width horizontal bar; insights panel</w:t>
            </w:r>
          </w:p>
        </w:tc>
        <w:tc>
          <w:p w14:paraId="001001DC" w14:textId="001001DD">
            <w:r>
              <w:t xml:space="preserve">KPI cards, Branch sales bar, Payment pie donut, Category horizontal bar, Auto-insights</w:t>
            </w:r>
          </w:p>
        </w:tc>
        <w:tc>
          <w:p w14:paraId="001001DE" w14:textId="001001DF">
            <w:r>
              <w:t xml:space="preserve">Total Sales, Orders, Avg Basket, Rating, Top Product/Branch/Category/Payment</w:t>
            </w:r>
          </w:p>
        </w:tc>
      </w:tr>
      <w:tr>
        <w:trPr/>
        <w:tc>
          <w:p w14:paraId="001001E0" w14:textId="001001E1">
            <w:r>
              <w:t xml:space="preserve">Products &amp; Categories</w:t>
            </w:r>
          </w:p>
        </w:tc>
        <w:tc>
          <w:p w14:paraId="001001E2" w14:textId="001001E3">
            <w:r>
              <w:t xml:space="preserve">Full-width top chart; 2-column mid row; full-width scatter; summary data table</w:t>
            </w:r>
          </w:p>
        </w:tc>
        <w:tc>
          <w:p w14:paraId="001001E4" w14:textId="001001E5">
            <w:r>
              <w:t xml:space="preserve">Top-10 sales bar, Rating bar (col A), Quantity bar (col B), Bubble scatter, Category table</w:t>
            </w:r>
          </w:p>
        </w:tc>
        <w:tc>
          <w:p w14:paraId="001001E6" w14:textId="001001E7">
            <w:r>
              <w:t xml:space="preserve">Sales rank, Qty rank, Avg rating, Orders vs Sales vs Avg Basket</w:t>
            </w:r>
          </w:p>
        </w:tc>
      </w:tr>
      <w:tr>
        <w:trPr/>
        <w:tc>
          <w:p w14:paraId="001001E8" w14:textId="001001E9">
            <w:r>
              <w:t xml:space="preserve">Branches</w:t>
            </w:r>
          </w:p>
        </w:tc>
        <w:tc>
          <w:p w14:paraId="001001EA" w14:textId="001001EB">
            <w:r>
              <w:t xml:space="preserve">2-column row; full-width sunburst; full-width stacked bar; data table</w:t>
            </w:r>
          </w:p>
        </w:tc>
        <w:tc>
          <w:p w14:paraId="001001EC" w14:textId="001001ED">
            <w:r>
              <w:t xml:space="preserve">Grouped bar (sales), Grouped bar (rating), Sunburst drilldown, Stacked payment bar, Branch table</w:t>
            </w:r>
          </w:p>
        </w:tc>
        <w:tc>
          <w:p w14:paraId="001001EE" w14:textId="001001EF">
            <w:r>
              <w:t xml:space="preserve">Branch revenue, Avg rating, Category mix, Payment preference</w:t>
            </w:r>
          </w:p>
        </w:tc>
      </w:tr>
      <w:tr>
        <w:trPr/>
        <w:tc>
          <w:p w14:paraId="001001F0" w14:textId="001001F1">
            <w:r>
              <w:t xml:space="preserve">Customers</w:t>
            </w:r>
          </w:p>
        </w:tc>
        <w:tc>
          <w:p w14:paraId="001001F2" w14:textId="001001F3">
            <w:r>
              <w:t xml:space="preserve">2-column row x2; full-width histogram; 2-column box plot row</w:t>
            </w:r>
          </w:p>
        </w:tc>
        <w:tc>
          <w:p w14:paraId="001001F4" w14:textId="001001F5">
            <w:r>
              <w:t xml:space="preserve">Member pie, Category by cust-type bar, Gender pie, Category by gender bar, Rating histogram, Branch+Category box plots</w:t>
            </w:r>
          </w:p>
        </w:tc>
        <w:tc>
          <w:p w14:paraId="001001F6" w14:textId="001001F7">
            <w:r>
              <w:t xml:space="preserve">Revenue split by segment, Category preferences, Rating distribution</w:t>
            </w:r>
          </w:p>
        </w:tc>
      </w:tr>
      <w:tr>
        <w:trPr/>
        <w:tc>
          <w:p w14:paraId="001001F8" w14:textId="001001F9">
            <w:r>
              <w:t xml:space="preserve">Time Trends</w:t>
            </w:r>
          </w:p>
        </w:tc>
        <w:tc>
          <w:p w14:paraId="001001FA" w14:textId="001001FB">
            <w:r>
              <w:t xml:space="preserve">Full-width line; 2-column row; two full-width multi-line charts</w:t>
            </w:r>
          </w:p>
        </w:tc>
        <w:tc>
          <w:p w14:paraId="001001FC" w14:textId="001001FD">
            <w:r>
              <w:t xml:space="preserve">Monthly trend line, Day-of-week bar (col A), Quarterly bar (col B), Monthly by branch, Monthly by category</w:t>
            </w:r>
          </w:p>
        </w:tc>
        <w:tc>
          <w:p w14:paraId="001001FE" w14:textId="001001FF">
            <w:r>
              <w:t xml:space="preserve">Month-on-month revenue, Best/worst day, Q1-Q4 comparison, Branch/category seasonality</w:t>
            </w:r>
          </w:p>
        </w:tc>
      </w:tr>
      <w:tr>
        <w:trPr/>
        <w:tc>
          <w:p w14:paraId="00100200" w14:textId="00100201">
            <w:r>
              <w:t xml:space="preserve">Raw Data</w:t>
            </w:r>
          </w:p>
        </w:tc>
        <w:tc>
          <w:p w14:paraId="00100202" w14:textId="00100203">
            <w:r>
              <w:t xml:space="preserve">Full-width table; full-width stats; full-width heatmap; download button</w:t>
            </w:r>
          </w:p>
        </w:tc>
        <w:tc>
          <w:p w14:paraId="00100204" w14:textId="00100205">
            <w:r>
              <w:t xml:space="preserve">Filtered DataFrame, Descriptive statistics table, Correlation heatmap, CSV download button</w:t>
            </w:r>
          </w:p>
        </w:tc>
        <w:tc>
          <w:p w14:paraId="00100206" w14:textId="00100207">
            <w:r>
              <w:t xml:space="preserve">All 13 columns, mean/std/min/max, Pearson correlations</w:t>
            </w:r>
          </w:p>
        </w:tc>
      </w:tr>
      <w:tr>
        <w:trPr/>
        <w:tc>
          <w:p w14:paraId="00100208" w14:textId="00100209">
            <w:r>
              <w:t xml:space="preserve">Data Cleaning</w:t>
            </w:r>
          </w:p>
        </w:tc>
        <w:tc>
          <w:p w14:paraId="0010020A" w14:textId="0010020B">
            <w:r>
              <w:t xml:space="preserve">2 rows of 3 metric cards; 2-column metric row; steps log; distribution panel</w:t>
            </w:r>
          </w:p>
        </w:tc>
        <w:tc>
          <w:p w14:paraId="0010020C" w14:textId="0010020D">
            <w:r>
              <w:t xml:space="preserve">Cleaning report cards (6 metrics), Step descriptions, Numeric distribution histograms (4 cols)</w:t>
            </w:r>
          </w:p>
        </w:tc>
        <w:tc>
          <w:p w14:paraId="0010020E" w14:textId="0010020F">
            <w:r>
              <w:t xml:space="preserve">Rows removed, missing values, duplicates, mismatch corrections</w:t>
            </w:r>
          </w:p>
        </w:tc>
      </w:tr>
      <w:tr>
        <w:trPr/>
        <w:tc>
          <w:p w14:paraId="00100210" w14:textId="00100211">
            <w:r>
              <w:t xml:space="preserve">Recommendations</w:t>
            </w:r>
          </w:p>
        </w:tc>
        <w:tc>
          <w:p w14:paraId="00100212" w14:textId="00100213">
            <w:r>
              <w:t xml:space="preserve">Expandable bottom panel (collapsed by default); full-width content</w:t>
            </w:r>
          </w:p>
        </w:tc>
        <w:tc>
          <w:p w14:paraId="00100214" w14:textId="00100215">
            <w:r>
              <w:t xml:space="preserve">8 recommendation cards with green background and tick icon</w:t>
            </w:r>
          </w:p>
        </w:tc>
        <w:tc>
          <w:p w14:paraId="00100216" w14:textId="00100217">
            <w:r>
              <w:t xml:space="preserve">Auto-generated from live filtered data</w:t>
            </w:r>
          </w:p>
        </w:tc>
      </w:tr>
    </w:tbl>
    <w:p w14:paraId="00100218" w14:textId="00100219">
      <w:pPr>
        <w:pStyle w:val="Heading2"/>
        <w:spacing w:before="200" w:after="120"/>
      </w:pPr>
      <w:r>
        <w:rPr>
          <w:b/>
          <w:color w:val="2E75B6"/>
          <w:sz w:val="28"/>
        </w:rPr>
        <w:t xml:space="preserve">7.3 Chart Types and Their Purpose</w:t>
      </w:r>
    </w:p>
    <w:p w14:paraId="0010021A" w14:textId="0010021B">
      <w:pPr>
        <w:pStyle w:val="Normal"/>
        <w:spacing w:after="80"/>
        <w:jc w:val="center"/>
      </w:pPr>
      <w:r>
        <w:rPr>
          <w:b/>
          <w:color w:val="57606A"/>
          <w:sz w:val="20"/>
        </w:rPr>
        <w:t xml:space="preserve">Table 5: Chart Types Used in the Dashboard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1C" w14:textId="0010021D">
            <w:r>
              <w:t xml:space="preserve">Chart Type</w:t>
            </w:r>
          </w:p>
        </w:tc>
        <w:tc>
          <w:p w14:paraId="0010021E" w14:textId="0010021F">
            <w:r>
              <w:t xml:space="preserve">Library</w:t>
            </w:r>
          </w:p>
        </w:tc>
        <w:tc>
          <w:p w14:paraId="00100220" w14:textId="00100221">
            <w:r>
              <w:t xml:space="preserve">Purpose in Dashboard</w:t>
            </w:r>
          </w:p>
        </w:tc>
      </w:tr>
      <w:tr>
        <w:trPr/>
        <w:tc>
          <w:p w14:paraId="00100222" w14:textId="00100223">
            <w:r>
              <w:t xml:space="preserve">Vertical Bar Chart</w:t>
            </w:r>
          </w:p>
        </w:tc>
        <w:tc>
          <w:p w14:paraId="00100224" w14:textId="00100225">
            <w:r>
              <w:t xml:space="preserve">Plotly Express</w:t>
            </w:r>
          </w:p>
        </w:tc>
        <w:tc>
          <w:p w14:paraId="00100226" w14:textId="00100227">
            <w:r>
              <w:t xml:space="preserve">Branch sales, Day-of-week, Quarterly, Category by cust-type and gender</w:t>
            </w:r>
          </w:p>
        </w:tc>
      </w:tr>
      <w:tr>
        <w:trPr/>
        <w:tc>
          <w:p w14:paraId="00100228" w14:textId="00100229">
            <w:r>
              <w:t xml:space="preserve">Horizontal Bar Chart</w:t>
            </w:r>
          </w:p>
        </w:tc>
        <w:tc>
          <w:p w14:paraId="0010022A" w14:textId="0010022B">
            <w:r>
              <w:t xml:space="preserve">Plotly Express</w:t>
            </w:r>
          </w:p>
        </w:tc>
        <w:tc>
          <w:p w14:paraId="0010022C" w14:textId="0010022D">
            <w:r>
              <w:t xml:space="preserve">Category sales ranking, Top-10 products by sales/qty/rating</w:t>
            </w:r>
          </w:p>
        </w:tc>
      </w:tr>
      <w:tr>
        <w:trPr/>
        <w:tc>
          <w:p w14:paraId="0010022E" w14:textId="0010022F">
            <w:r>
              <w:t xml:space="preserve">Donut Pie Chart</w:t>
            </w:r>
          </w:p>
        </w:tc>
        <w:tc>
          <w:p w14:paraId="00100230" w14:textId="00100231">
            <w:r>
              <w:t xml:space="preserve">Plotly Express</w:t>
            </w:r>
          </w:p>
        </w:tc>
        <w:tc>
          <w:p w14:paraId="00100232" w14:textId="00100233">
            <w:r>
              <w:t xml:space="preserve">Payment method distribution, Customer Type split, Gender split</w:t>
            </w:r>
          </w:p>
        </w:tc>
      </w:tr>
      <w:tr>
        <w:trPr/>
        <w:tc>
          <w:p w14:paraId="00100234" w14:textId="00100235">
            <w:r>
              <w:t xml:space="preserve">Line Chart</w:t>
            </w:r>
          </w:p>
        </w:tc>
        <w:tc>
          <w:p w14:paraId="00100236" w14:textId="00100237">
            <w:r>
              <w:t xml:space="preserve">Plotly Express</w:t>
            </w:r>
          </w:p>
        </w:tc>
        <w:tc>
          <w:p w14:paraId="00100238" w14:textId="00100239">
            <w:r>
              <w:t xml:space="preserve">Monthly revenue trend (overall, by branch, by category)</w:t>
            </w:r>
          </w:p>
        </w:tc>
      </w:tr>
      <w:tr>
        <w:trPr/>
        <w:tc>
          <w:p w14:paraId="0010023A" w14:textId="0010023B">
            <w:r>
              <w:t xml:space="preserve">Sunburst Chart</w:t>
            </w:r>
          </w:p>
        </w:tc>
        <w:tc>
          <w:p w14:paraId="0010023C" w14:textId="0010023D">
            <w:r>
              <w:t xml:space="preserve">Plotly Express</w:t>
            </w:r>
          </w:p>
        </w:tc>
        <w:tc>
          <w:p w14:paraId="0010023E" w14:textId="0010023F">
            <w:r>
              <w:t xml:space="preserve">Branch -&gt; Category hierarchical sales drilldown</w:t>
            </w:r>
          </w:p>
        </w:tc>
      </w:tr>
      <w:tr>
        <w:trPr/>
        <w:tc>
          <w:p w14:paraId="00100240" w14:textId="00100241">
            <w:r>
              <w:t xml:space="preserve">Bubble Scatter Chart</w:t>
            </w:r>
          </w:p>
        </w:tc>
        <w:tc>
          <w:p w14:paraId="00100242" w14:textId="00100243">
            <w:r>
              <w:t xml:space="preserve">Plotly Express</w:t>
            </w:r>
          </w:p>
        </w:tc>
        <w:tc>
          <w:p w14:paraId="00100244" w14:textId="00100245">
            <w:r>
              <w:t xml:space="preserve">Category: Orders vs Sales vs Avg Basket (3 dimensions)</w:t>
            </w:r>
          </w:p>
        </w:tc>
      </w:tr>
      <w:tr>
        <w:trPr/>
        <w:tc>
          <w:p w14:paraId="00100246" w14:textId="00100247">
            <w:r>
              <w:t xml:space="preserve">Box Plot</w:t>
            </w:r>
          </w:p>
        </w:tc>
        <w:tc>
          <w:p w14:paraId="00100248" w14:textId="00100249">
            <w:r>
              <w:t xml:space="preserve">Plotly Express</w:t>
            </w:r>
          </w:p>
        </w:tc>
        <w:tc>
          <w:p w14:paraId="0010024A" w14:textId="0010024B">
            <w:r>
              <w:t xml:space="preserve">Rating distribution by Branch and by Category (with individual points)</w:t>
            </w:r>
          </w:p>
        </w:tc>
      </w:tr>
      <w:tr>
        <w:trPr/>
        <w:tc>
          <w:p w14:paraId="0010024C" w14:textId="0010024D">
            <w:r>
              <w:t xml:space="preserve">Heatmap</w:t>
            </w:r>
          </w:p>
        </w:tc>
        <w:tc>
          <w:p w14:paraId="0010024E" w14:textId="0010024F">
            <w:r>
              <w:t xml:space="preserve">Plotly Graph Objects</w:t>
            </w:r>
          </w:p>
        </w:tc>
        <w:tc>
          <w:p w14:paraId="00100250" w14:textId="00100251">
            <w:r>
              <w:t xml:space="preserve">Pearson correlation matrix across numeric columns</w:t>
            </w:r>
          </w:p>
        </w:tc>
      </w:tr>
    </w:tbl>
    <w:p w14:paraId="00100252" w14:textId="00100253">
      <w:pPr>
        <w:pStyle w:val="Heading2"/>
        <w:spacing w:before="200" w:after="120"/>
      </w:pPr>
      <w:r>
        <w:rPr>
          <w:b/>
          <w:color w:val="2E75B6"/>
          <w:sz w:val="28"/>
        </w:rPr>
        <w:t xml:space="preserve">7.4 KPI Cards Layout</w:t>
      </w:r>
    </w:p>
    <w:p w14:paraId="00100254" w14:textId="00100255">
      <w:pPr>
        <w:pStyle w:val="Normal"/>
        <w:spacing w:after="100"/>
      </w:pPr>
      <w:r>
        <w:rPr>
          <w:sz w:val="22"/>
        </w:rPr>
        <w:t xml:space="preserve">The Overview tab opens with two rows of four KPI cards each (eight total), rendered as custom HTML/CSS tiles within the Streamlit layout grid. The first row covers financial and operational KPIs; the second row surfaces the top performers across each analytical dimension:</w:t>
      </w:r>
    </w:p>
    <w:p w14:paraId="00100256" w14:textId="00100257">
      <w:pPr>
        <w:pStyle w:val="Normal"/>
        <w:spacing w:after="80"/>
        <w:jc w:val="center"/>
      </w:pPr>
      <w:r>
        <w:rPr>
          <w:b/>
          <w:color w:val="1F4E79"/>
          <w:sz w:val="22"/>
        </w:rPr>
        <w:t xml:space="preserve">Row 1: Total Sales (Rs.) | Total Orders | Avg Basket Size (Rs.) | Avg Customer Rating</w:t>
      </w:r>
    </w:p>
    <w:p w14:paraId="00100258" w14:textId="00100259">
      <w:pPr>
        <w:pStyle w:val="Normal"/>
        <w:spacing w:after="160"/>
        <w:jc w:val="center"/>
      </w:pPr>
      <w:r>
        <w:rPr>
          <w:b/>
          <w:color w:val="2E75B6"/>
          <w:sz w:val="22"/>
        </w:rPr>
        <w:t xml:space="preserve">Row 2: Top Product | Best Branch | Top Category | Popular Payment</w:t>
      </w:r>
    </w:p>
    <w:p w14:paraId="0010025A" w14:textId="0010025B">
      <w:pPr>
        <w:pStyle w:val="Heading2"/>
        <w:spacing w:before="200" w:after="120"/>
      </w:pPr>
      <w:r>
        <w:rPr>
          <w:b/>
          <w:color w:val="2E75B6"/>
          <w:sz w:val="28"/>
        </w:rPr>
        <w:t xml:space="preserve">7.5 Sidebar Filter Behaviour</w:t>
      </w:r>
    </w:p>
    <w:p w14:paraId="0010025C" w14:textId="0010025D">
      <w:pPr>
        <w:pStyle w:val="Normal"/>
        <w:spacing w:after="160"/>
      </w:pPr>
      <w:r>
        <w:rPr>
          <w:sz w:val="22"/>
        </w:rPr>
        <w:t xml:space="preserve">All sidebar controls use Streamlit multiselect and date_input widgets. When filters are changed, Streamlit's reactive session state automatically re-runs the relevant computation blocks, and all charts, KPI cards, and tables update instantly without a page reload. The filtered DataFrame (fdf) is passed to every chart-rendering function, ensuring complete consistency between all visible elements. An empty-state guard displays a warning message if the applied filters yield zero matching rows.</w:t>
      </w:r>
    </w:p>
    <w:p w14:paraId="0010025E" w14:textId="0010025F">
      <w:pPr>
        <w:pStyle w:val="Heading2"/>
        <w:spacing w:before="200" w:after="120"/>
      </w:pPr>
      <w:r>
        <w:rPr>
          <w:b/>
          <w:color w:val="2E75B6"/>
          <w:sz w:val="28"/>
        </w:rPr>
        <w:t xml:space="preserve">7.6 Data Table and Download</w:t>
      </w:r>
    </w:p>
    <w:p w14:paraId="00100260" w14:textId="00100261">
      <w:pPr>
        <w:pStyle w:val="Normal"/>
        <w:spacing w:after="160"/>
      </w:pPr>
      <w:r>
        <w:rPr>
          <w:sz w:val="22"/>
        </w:rPr>
        <w:t xml:space="preserve">The Raw Data tab renders the filtered dataset as an interactive Streamlit DataFrame widget with formatted currency columns. Below the table, a Descriptive Statistics panel (mean, std, min, Q1, median, Q3, max) and a Correlation Heatmap provide statistical context. A Download button allows users to export the current filtered view as a CSV file for offline analysis.</w:t>
      </w:r>
    </w:p>
    <w:p w14:paraId="00100262" w14:textId="00100263">
      <w:pPr>
        <w:pStyle w:val="Heading1"/>
        <w:spacing w:before="360" w:after="160"/>
      </w:pPr>
      <w:r>
        <w:rPr>
          <w:b/>
          <w:color w:val="1F4E79"/>
          <w:sz w:val="36"/>
        </w:rPr>
        <w:t xml:space="preserve">8. Business Recommendations</w:t>
      </w:r>
    </w:p>
    <w:p w14:paraId="00100264" w14:textId="00100265">
      <w:pPr>
        <w:pStyle w:val="Normal"/>
        <w:spacing w:after="160"/>
      </w:pPr>
      <w:r>
        <w:rPr>
          <w:sz w:val="22"/>
        </w:rPr>
        <w:t xml:space="preserve">Based on the findings across all five analytical dimensions, eight evidence-based business recommendations are presented below. Each recommendation includes its supporting evidence, the target stakeholder, and the expected business impact.</w:t>
      </w:r>
    </w:p>
    <w:p w14:paraId="00100266" w14:textId="00100267">
      <w:pPr>
        <w:pStyle w:val="Normal"/>
        <w:spacing w:after="80"/>
        <w:jc w:val="center"/>
      </w:pPr>
      <w:r>
        <w:rPr>
          <w:b/>
          <w:color w:val="57606A"/>
          <w:sz w:val="20"/>
        </w:rPr>
        <w:t xml:space="preserve">Table 6: Business Recommendations Summary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68" w14:textId="00100269">
            <w:r>
              <w:t xml:space="preserve">#</w:t>
            </w:r>
          </w:p>
        </w:tc>
        <w:tc>
          <w:p w14:paraId="0010026A" w14:textId="0010026B">
            <w:r>
              <w:t xml:space="preserve">Recommendation</w:t>
            </w:r>
          </w:p>
        </w:tc>
        <w:tc>
          <w:p w14:paraId="0010026C" w14:textId="0010026D">
            <w:r>
              <w:t xml:space="preserve">Supporting Evidence</w:t>
            </w:r>
          </w:p>
        </w:tc>
        <w:tc>
          <w:p w14:paraId="0010026E" w14:textId="0010026F">
            <w:r>
              <w:t xml:space="preserve">Expected Impact</w:t>
            </w:r>
          </w:p>
        </w:tc>
      </w:tr>
      <w:tr>
        <w:trPr/>
        <w:tc>
          <w:p w14:paraId="00100270" w14:textId="00100271">
            <w:r>
              <w:t xml:space="preserve">1</w:t>
            </w:r>
          </w:p>
        </w:tc>
        <w:tc>
          <w:p w14:paraId="00100272" w14:textId="00100273">
            <w:r>
              <w:t xml:space="preserve">Expand top category inventory with wider SKU variety and bundle deals</w:t>
            </w:r>
          </w:p>
        </w:tc>
        <w:tc>
          <w:p w14:paraId="00100274" w14:textId="00100275">
            <w:r>
              <w:t xml:space="preserve">Highest revenue category in EDA</w:t>
            </w:r>
          </w:p>
        </w:tc>
        <w:tc>
          <w:p w14:paraId="00100276" w14:textId="00100277">
            <w:r>
              <w:t xml:space="preserve">Revenue uplift 10–15% in category</w:t>
            </w:r>
          </w:p>
        </w:tc>
      </w:tr>
      <w:tr>
        <w:trPr/>
        <w:tc>
          <w:p w14:paraId="00100278" w14:textId="00100279">
            <w:r>
              <w:t xml:space="preserve">2</w:t>
            </w:r>
          </w:p>
        </w:tc>
        <w:tc>
          <w:p w14:paraId="0010027A" w14:textId="0010027B">
            <w:r>
              <w:t xml:space="preserve">Champion best-selling product with dedicated campaigns and cross-sells</w:t>
            </w:r>
          </w:p>
        </w:tc>
        <w:tc>
          <w:p w14:paraId="0010027C" w14:textId="0010027D">
            <w:r>
              <w:t xml:space="preserve">Top product by aggregated Sales</w:t>
            </w:r>
          </w:p>
        </w:tc>
        <w:tc>
          <w:p w14:paraId="0010027E" w14:textId="0010027F">
            <w:r>
              <w:t xml:space="preserve">Sustain sales momentum; increase basket size</w:t>
            </w:r>
          </w:p>
        </w:tc>
      </w:tr>
      <w:tr>
        <w:trPr/>
        <w:tc>
          <w:p w14:paraId="00100280" w14:textId="00100281">
            <w:r>
              <w:t xml:space="preserve">3</w:t>
            </w:r>
          </w:p>
        </w:tc>
        <w:tc>
          <w:p w14:paraId="00100282" w14:textId="00100283">
            <w:r>
              <w:t xml:space="preserve">Audit top branch and replicate practices to underperforming branches</w:t>
            </w:r>
          </w:p>
        </w:tc>
        <w:tc>
          <w:p w14:paraId="00100284" w14:textId="00100285">
            <w:r>
              <w:t xml:space="preserve">Revenue gap identified in branch analysis</w:t>
            </w:r>
          </w:p>
        </w:tc>
        <w:tc>
          <w:p w14:paraId="00100286" w14:textId="00100287">
            <w:r>
              <w:t xml:space="preserve">Close performance gap within 2–3 quarters</w:t>
            </w:r>
          </w:p>
        </w:tc>
      </w:tr>
      <w:tr>
        <w:trPr/>
        <w:tc>
          <w:p w14:paraId="00100288" w14:textId="00100289">
            <w:r>
              <w:t xml:space="preserve">4</w:t>
            </w:r>
          </w:p>
        </w:tc>
        <w:tc>
          <w:p w14:paraId="0010028A" w14:textId="0010028B">
            <w:r>
              <w:t xml:space="preserve">Negotiate MDR reduction and offer cashback on leading payment method</w:t>
            </w:r>
          </w:p>
        </w:tc>
        <w:tc>
          <w:p w14:paraId="0010028C" w14:textId="0010028D">
            <w:r>
              <w:t xml:space="preserve">Payment method frequency analysis</w:t>
            </w:r>
          </w:p>
        </w:tc>
        <w:tc>
          <w:p w14:paraId="0010028E" w14:textId="0010028F">
            <w:r>
              <w:t xml:space="preserve">Margin improvement + customer loyalty</w:t>
            </w:r>
          </w:p>
        </w:tc>
      </w:tr>
      <w:tr>
        <w:trPr/>
        <w:tc>
          <w:p w14:paraId="00100290" w14:textId="00100291">
            <w:r>
              <w:t xml:space="preserve">5</w:t>
            </w:r>
          </w:p>
        </w:tc>
        <w:tc>
          <w:p w14:paraId="00100292" w14:textId="00100293">
            <w:r>
              <w:t xml:space="preserve">Launch flash sales / double loyalty points on lowest-revenue day</w:t>
            </w:r>
          </w:p>
        </w:tc>
        <w:tc>
          <w:p w14:paraId="00100294" w14:textId="00100295">
            <w:r>
              <w:t xml:space="preserve">Day-of-week revenue trough identified</w:t>
            </w:r>
          </w:p>
        </w:tc>
        <w:tc>
          <w:p w14:paraId="00100296" w14:textId="00100297">
            <w:r>
              <w:t xml:space="preserve">Smooth weekly revenue variance; reduce peak crowding</w:t>
            </w:r>
          </w:p>
        </w:tc>
      </w:tr>
      <w:tr>
        <w:trPr/>
        <w:tc>
          <w:p w14:paraId="00100298" w14:textId="00100299">
            <w:r>
              <w:t xml:space="preserve">6</w:t>
            </w:r>
          </w:p>
        </w:tc>
        <w:tc>
          <w:p w14:paraId="0010029A" w14:textId="0010029B">
            <w:r>
              <w:t xml:space="preserve">Investigate and remediate lowest-rated product (quality, pricing, delisting)</w:t>
            </w:r>
          </w:p>
        </w:tc>
        <w:tc>
          <w:p w14:paraId="0010029C" w14:textId="0010029D">
            <w:r>
              <w:t xml:space="preserve">Lowest avg rating in product analysis</w:t>
            </w:r>
          </w:p>
        </w:tc>
        <w:tc>
          <w:p w14:paraId="0010029E" w14:textId="0010029F">
            <w:r>
              <w:t xml:space="preserve">Improve NPS; reduce churn from dissatisfied customers</w:t>
            </w:r>
          </w:p>
        </w:tc>
      </w:tr>
      <w:tr>
        <w:trPr/>
        <w:tc>
          <w:p w14:paraId="001002A0" w14:textId="001002A1">
            <w:r>
              <w:t xml:space="preserve">7</w:t>
            </w:r>
          </w:p>
        </w:tc>
        <w:tc>
          <w:p w14:paraId="001002A2" w14:textId="001002A3">
            <w:r>
              <w:t xml:space="preserve">Implement tiered loyalty programme with personalised spend-tier benefits</w:t>
            </w:r>
          </w:p>
        </w:tc>
        <w:tc>
          <w:p w14:paraId="001002A4" w14:textId="001002A5">
            <w:r>
              <w:t xml:space="preserve">Member higher basket vs Normal (customer analysis)</w:t>
            </w:r>
          </w:p>
        </w:tc>
        <w:tc>
          <w:p w14:paraId="001002A6" w14:textId="001002A7">
            <w:r>
              <w:t xml:space="preserve">Increase member spend per visit by 15–20%</w:t>
            </w:r>
          </w:p>
        </w:tc>
      </w:tr>
      <w:tr>
        <w:trPr/>
        <w:tc>
          <w:p w14:paraId="001002A8" w14:textId="001002A9">
            <w:r>
              <w:t xml:space="preserve">8</w:t>
            </w:r>
          </w:p>
        </w:tc>
        <w:tc>
          <w:p w14:paraId="001002AA" w14:textId="001002AB">
            <w:r>
              <w:t xml:space="preserve">Build 3-month rolling demand forecast for seasonal stock positioning</w:t>
            </w:r>
          </w:p>
        </w:tc>
        <w:tc>
          <w:p w14:paraId="001002AC" w14:textId="001002AD">
            <w:r>
              <w:t xml:space="preserve">Monthly revenue seasonality patterns</w:t>
            </w:r>
          </w:p>
        </w:tc>
        <w:tc>
          <w:p w14:paraId="001002AE" w14:textId="001002AF">
            <w:r>
              <w:t xml:space="preserve">Reduce stockouts in peaks; cut waste in troughs</w:t>
            </w:r>
          </w:p>
        </w:tc>
      </w:tr>
      <w:tr>
        <w:trPr/>
        <w:tc>
          <w:p w14:paraId="001002B0" w14:textId="001002B1">
            <w:r>
              <w:t xml:space="preserve">—</w:t>
            </w:r>
          </w:p>
        </w:tc>
        <w:tc>
          <w:p w14:paraId="001002B2" w14:textId="001002B3">
            <w:r>
              <w:t xml:space="preserve">Priority: Recommendations 1, 3, and 7 offer the highest combined revenue impact</w:t>
            </w:r>
          </w:p>
        </w:tc>
        <w:tc>
          <w:p w14:paraId="001002B4" w14:textId="001002B5">
            <w:r>
              <w:t xml:space="preserve">Cross-dimension synthesis</w:t>
            </w:r>
          </w:p>
        </w:tc>
        <w:tc>
          <w:p w14:paraId="001002B6" w14:textId="001002B7">
            <w:r>
              <w:t xml:space="preserve">Combined Revenue / Margin / Retention uplift</w:t>
            </w:r>
          </w:p>
        </w:tc>
      </w:tr>
    </w:tbl>
    <w:p w14:paraId="001002B8" w14:textId="001002B9">
      <w:pPr>
        <w:pStyle w:val="Heading2"/>
        <w:spacing w:before="200" w:after="120"/>
      </w:pPr>
      <w:r>
        <w:rPr>
          <w:b/>
          <w:color w:val="2E75B6"/>
          <w:sz w:val="28"/>
        </w:rPr>
        <w:t xml:space="preserve">8.1 Detailed Recommendation Rationale</w:t>
      </w:r>
    </w:p>
    <w:p w14:paraId="001002BA" w14:textId="001002BB">
      <w:pPr>
        <w:pStyle w:val="Normal"/>
        <w:spacing w:after="120"/>
      </w:pPr>
      <w:r>
        <w:rPr>
          <w:sz w:val="22"/>
        </w:rPr>
        <w:t xml:space="preserve">Recommendation 1 — Expand Top Category Inventory: The highest-revenue category drives a disproportionate share of total sales. Increasing SKU depth (more variety within the category), negotiating better supplier terms for bulk purchasing, and ensuring prominent in-store placement can sustain and grow this advantage. Bundle deals pairing top-category items with complementary products can increase average basket size.</w:t>
      </w:r>
    </w:p>
    <w:p w14:paraId="001002BC" w14:textId="001002BD">
      <w:pPr>
        <w:pStyle w:val="Normal"/>
        <w:spacing w:after="120"/>
      </w:pPr>
      <w:r>
        <w:rPr>
          <w:sz w:val="22"/>
        </w:rPr>
        <w:t xml:space="preserve">Recommendation 2 — Champion the Highest-Selling Product: A dedicated promotional campaign — digital (push notifications to loyalty app members), in-store (end-cap display), and social (user-generated content) — for the single best-selling product can amplify existing demand. Cross-sell pairings (e.g., pairing a beverage with a snack item) should be designed based on co-purchase correlation analysis.</w:t>
      </w:r>
    </w:p>
    <w:p w14:paraId="001002BE" w14:textId="001002BF">
      <w:pPr>
        <w:pStyle w:val="Normal"/>
        <w:spacing w:after="120"/>
      </w:pPr>
      <w:r>
        <w:rPr>
          <w:sz w:val="22"/>
        </w:rPr>
        <w:t xml:space="preserve">Recommendation 3 — Branch Best-Practice Replication: A structured audit of the top-performing branch's operations — merchandising layout, staff-to-customer ratio, promotion calendar, and local assortment decisions — should be conducted and documented. A phased rollout of identified best practices to underperforming branches, with monthly revenue tracking, would close the performance gap within 2–3 quarters.</w:t>
      </w:r>
    </w:p>
    <w:p w14:paraId="001002C0" w14:textId="001002C1">
      <w:pPr>
        <w:pStyle w:val="Normal"/>
        <w:spacing w:after="120"/>
      </w:pPr>
      <w:r>
        <w:rPr>
          <w:sz w:val="22"/>
        </w:rPr>
        <w:t xml:space="preserve">Recommendation 4 — Optimise Payment Infrastructure: The dominant payment method should be the primary focus for partnership negotiations — lower merchant discount rates (MDR) improve margin on every transaction. Exclusive cashback offers (e.g., 2% back for UPI transactions above Rs.500) can further shift behaviour toward the most cost-efficient channel while improving customer loyalty.</w:t>
      </w:r>
    </w:p>
    <w:p w14:paraId="001002C2" w14:textId="001002C3">
      <w:pPr>
        <w:pStyle w:val="Normal"/>
        <w:spacing w:after="120"/>
      </w:pPr>
      <w:r>
        <w:rPr>
          <w:sz w:val="22"/>
        </w:rPr>
        <w:t xml:space="preserve">Recommendation 5 — Boost Low-Traffic Days: The day-of-week analysis identifies a consistent low-revenue day. A targeted intervention — flash sales (limited to 4 hours), double loyalty points, or a discounted 'Day Special' basket — can shift discretionary purchases from peak days and smooth the revenue curve. This has the secondary benefit of reducing checkout queues on peak days.</w:t>
      </w:r>
    </w:p>
    <w:p w14:paraId="001002C4" w14:textId="001002C5">
      <w:pPr>
        <w:pStyle w:val="Normal"/>
        <w:spacing w:after="120"/>
      </w:pPr>
      <w:r>
        <w:rPr>
          <w:sz w:val="22"/>
        </w:rPr>
        <w:t xml:space="preserve">Recommendation 6 — Product Quality Investigation: The lowest-rated product requires immediate attention. A structured feedback collection exercise (exit surveys, online reviews, mystery shopping) should identify whether the issue is product quality, pricing, shelf presentation, or staff knowledge. Based on findings, the remediation options are: reformulate/replace the product, reprice to match perceived value, or delist and reinvest shelf space in higher-rated alternatives.</w:t>
      </w:r>
    </w:p>
    <w:p w14:paraId="001002C6" w14:textId="001002C7">
      <w:pPr>
        <w:pStyle w:val="Normal"/>
        <w:spacing w:after="120"/>
      </w:pPr>
      <w:r>
        <w:rPr>
          <w:sz w:val="22"/>
        </w:rPr>
        <w:t xml:space="preserve">Recommendation 7 — Tiered Loyalty Programme: Member customers already show higher average basket values. A tiered structure (Silver, Gold, Platinum) based on quarterly spend thresholds — with escalating benefits (free delivery, early access to promotions, personalised offers) — would incentivise Members to increase spend to reach the next tier. Personalisation based on purchase history (category and brand preferences) is the most effective driver of loyalty programme ROI.</w:t>
      </w:r>
    </w:p>
    <w:p w14:paraId="001002C8" w14:textId="001002C9">
      <w:pPr>
        <w:pStyle w:val="Normal"/>
        <w:spacing w:after="160"/>
      </w:pPr>
      <w:r>
        <w:rPr>
          <w:sz w:val="22"/>
        </w:rPr>
        <w:t xml:space="preserve">Recommendation 8 — Seasonal Stock Planning: The monthly trend charts reveal demand peaks and troughs with sufficient lead time for proactive inventory positioning. A rolling 3-month demand forecast, calibrated against historical monthly patterns, should be built into the procurement cycle. Pre-positioning stock for peak months reduces stockout risk and lost sales; reducing orders ahead of trough months cuts storage costs and product waste — particularly important for perishable Dairy, Fruits, and Vegetables categories.</w:t>
      </w:r>
    </w:p>
    <w:p w14:paraId="001002CC" w14:textId="001002CD">
      <w:pPr>
        <w:pStyle w:val="Heading1"/>
        <w:spacing w:before="360" w:after="160"/>
      </w:pPr>
      <w:r>
        <w:rPr>
          <w:b/>
          <w:color w:val="1F4E79"/>
          <w:sz w:val="36"/>
        </w:rPr>
        <w:t xml:space="preserve">9. Conclusions</w:t>
      </w:r>
    </w:p>
    <w:p w14:paraId="001002CE" w14:textId="001002CF">
      <w:pPr>
        <w:pStyle w:val="Heading2"/>
        <w:spacing w:before="200" w:after="120"/>
      </w:pPr>
      <w:r>
        <w:rPr>
          <w:b/>
          <w:color w:val="2E75B6"/>
          <w:sz w:val="28"/>
        </w:rPr>
        <w:t xml:space="preserve">9.1 Project Summary</w:t>
      </w:r>
    </w:p>
    <w:p w14:paraId="001002D0" w14:textId="001002D1">
      <w:pPr>
        <w:pStyle w:val="Normal"/>
        <w:spacing w:after="100"/>
      </w:pPr>
      <w:r>
        <w:rPr>
          <w:sz w:val="22"/>
        </w:rPr>
        <w:t xml:space="preserve">This project demonstrates a complete, production-ready data analysis pipeline applied to supermarket sales data. Starting from a raw CSV file with 500 transactions, the project delivers:</w:t>
      </w:r>
    </w:p>
    <w:p w14:paraId="001002D2" w14:textId="001002D3">
      <w:pPr>
        <w:pStyle w:val="Normal"/>
        <w:numPr>
          <w:ilvl w:val="0"/>
          <w:numId w:val="10"/>
        </w:numPr>
        <w:spacing w:after="60"/>
      </w:pPr>
      <w:r>
        <w:rPr>
          <w:sz w:val="22"/>
        </w:rPr>
        <w:t xml:space="preserve">•  A rigorous data cleaning pipeline that guarantees data integrity, verifies every sales calculation, and engineers temporal features for time-series analysis.</w:t>
      </w:r>
    </w:p>
    <w:p w14:paraId="001002D4" w14:textId="001002D5">
      <w:pPr>
        <w:pStyle w:val="Normal"/>
        <w:numPr>
          <w:ilvl w:val="0"/>
          <w:numId w:val="10"/>
        </w:numPr>
        <w:spacing w:after="60"/>
      </w:pPr>
      <w:r>
        <w:rPr>
          <w:sz w:val="22"/>
        </w:rPr>
        <w:t xml:space="preserve">•  A structured EDA across five analytical dimensions — products, categories, branches, customers, and time — yielding 17 documented findings.</w:t>
      </w:r>
    </w:p>
    <w:p w14:paraId="001002D6" w14:textId="001002D7">
      <w:pPr>
        <w:pStyle w:val="Normal"/>
        <w:numPr>
          <w:ilvl w:val="0"/>
          <w:numId w:val="10"/>
        </w:numPr>
        <w:spacing w:after="60"/>
      </w:pPr>
      <w:r>
        <w:rPr>
          <w:sz w:val="22"/>
        </w:rPr>
        <w:t xml:space="preserve">•  An interactive Streamlit dashboard with 7 tabs, 20+ Plotly charts, global filter controls, and real-time auto-generated business recommendations.</w:t>
      </w:r>
    </w:p>
    <w:p w14:paraId="001002D8" w14:textId="001002D9">
      <w:pPr>
        <w:pStyle w:val="Normal"/>
        <w:numPr>
          <w:ilvl w:val="0"/>
          <w:numId w:val="10"/>
        </w:numPr>
        <w:spacing w:after="160"/>
      </w:pPr>
      <w:r>
        <w:rPr>
          <w:sz w:val="22"/>
        </w:rPr>
        <w:t xml:space="preserve">•  Eight concrete, evidence-based business recommendations spanning inventory, operations, customer engagement, payment strategy, and demand planning.</w:t>
      </w:r>
    </w:p>
    <w:p w14:paraId="001002DA" w14:textId="001002DB">
      <w:pPr>
        <w:pStyle w:val="Heading2"/>
        <w:spacing w:before="200" w:after="120"/>
      </w:pPr>
      <w:r>
        <w:rPr>
          <w:b/>
          <w:color w:val="2E75B6"/>
          <w:sz w:val="28"/>
        </w:rPr>
        <w:t xml:space="preserve">9.2 Limitations</w:t>
      </w:r>
    </w:p>
    <w:p w14:paraId="001002DC" w14:textId="001002DD">
      <w:pPr>
        <w:pStyle w:val="Normal"/>
        <w:numPr>
          <w:ilvl w:val="0"/>
          <w:numId w:val="11"/>
        </w:numPr>
        <w:spacing w:after="60"/>
      </w:pPr>
      <w:r>
        <w:rPr>
          <w:sz w:val="22"/>
        </w:rPr>
        <w:t xml:space="preserve">•  Synthetic dataset: The data is artificially generated and may not capture all real-world patterns such as promotional effects, competitor actions, or supply chain disruptions.</w:t>
      </w:r>
    </w:p>
    <w:p w14:paraId="001002DE" w14:textId="001002DF">
      <w:pPr>
        <w:pStyle w:val="Normal"/>
        <w:numPr>
          <w:ilvl w:val="0"/>
          <w:numId w:val="11"/>
        </w:numPr>
        <w:spacing w:after="60"/>
      </w:pPr>
      <w:r>
        <w:rPr>
          <w:sz w:val="22"/>
        </w:rPr>
        <w:t xml:space="preserve">•  Temporal window: Seven months (Jan–Jul 2026) is insufficient to reliably identify annual seasonality or year-on-year trends.</w:t>
      </w:r>
    </w:p>
    <w:p w14:paraId="001002E0" w14:textId="001002E1">
      <w:pPr>
        <w:pStyle w:val="Normal"/>
        <w:numPr>
          <w:ilvl w:val="0"/>
          <w:numId w:val="11"/>
        </w:numPr>
        <w:spacing w:after="60"/>
      </w:pPr>
      <w:r>
        <w:rPr>
          <w:sz w:val="22"/>
        </w:rPr>
        <w:t xml:space="preserve">•  No cost data: Without cost-of-goods-sold (COGS) information, gross margin analysis is not possible — recommendations are based on revenue, not profit.</w:t>
      </w:r>
    </w:p>
    <w:p w14:paraId="001002E2" w14:textId="001002E3">
      <w:pPr>
        <w:pStyle w:val="Normal"/>
        <w:numPr>
          <w:ilvl w:val="0"/>
          <w:numId w:val="11"/>
        </w:numPr>
        <w:spacing w:after="160"/>
      </w:pPr>
      <w:r>
        <w:rPr>
          <w:sz w:val="22"/>
        </w:rPr>
        <w:t xml:space="preserve">•  No customer IDs: Individual customer journeys cannot be tracked — repeat purchase analysis and customer lifetime value (CLV) calculation are not possible with the current schema.</w:t>
      </w:r>
    </w:p>
    <w:p w14:paraId="001002E4" w14:textId="001002E5">
      <w:pPr>
        <w:pStyle w:val="Heading2"/>
        <w:spacing w:before="200" w:after="120"/>
      </w:pPr>
      <w:r>
        <w:rPr>
          <w:b/>
          <w:color w:val="2E75B6"/>
          <w:sz w:val="28"/>
        </w:rPr>
        <w:t xml:space="preserve">9.3 Future Enhancements</w:t>
      </w:r>
    </w:p>
    <w:p w14:paraId="001002E6" w14:textId="001002E7">
      <w:pPr>
        <w:pStyle w:val="Normal"/>
        <w:numPr>
          <w:ilvl w:val="0"/>
          <w:numId w:val="12"/>
        </w:numPr>
        <w:spacing w:after="60"/>
      </w:pPr>
      <w:r>
        <w:rPr>
          <w:sz w:val="22"/>
        </w:rPr>
        <w:t xml:space="preserve">•  Demand forecasting: Integrate a time-series forecasting model (e.g., Prophet or ARIMA) to predict monthly sales for each branch and category.</w:t>
      </w:r>
    </w:p>
    <w:p w14:paraId="001002E8" w14:textId="001002E9">
      <w:pPr>
        <w:pStyle w:val="Normal"/>
        <w:numPr>
          <w:ilvl w:val="0"/>
          <w:numId w:val="12"/>
        </w:numPr>
        <w:spacing w:after="60"/>
      </w:pPr>
      <w:r>
        <w:rPr>
          <w:sz w:val="22"/>
        </w:rPr>
        <w:t xml:space="preserve">•  Customer segmentation: Add a Customer ID field and apply RFM (Recency, Frequency, Monetary) analysis to segment customers for targeted marketing.</w:t>
      </w:r>
    </w:p>
    <w:p w14:paraId="001002EA" w14:textId="001002EB">
      <w:pPr>
        <w:pStyle w:val="Normal"/>
        <w:numPr>
          <w:ilvl w:val="0"/>
          <w:numId w:val="12"/>
        </w:numPr>
        <w:spacing w:after="60"/>
      </w:pPr>
      <w:r>
        <w:rPr>
          <w:sz w:val="22"/>
        </w:rPr>
        <w:t xml:space="preserve">•  Basket analysis: Apply association rule mining (Apriori / FP-Growth) to co-purchase data to identify product affinity pairs for bundle and cross-sell design.</w:t>
      </w:r>
    </w:p>
    <w:p w14:paraId="001002EC" w14:textId="001002ED">
      <w:pPr>
        <w:pStyle w:val="Normal"/>
        <w:numPr>
          <w:ilvl w:val="0"/>
          <w:numId w:val="12"/>
        </w:numPr>
        <w:spacing w:after="160"/>
      </w:pPr>
      <w:r>
        <w:rPr>
          <w:sz w:val="22"/>
        </w:rPr>
        <w:t xml:space="preserve">•  Margin analysis: Incorporate COGS data to shift from revenue to gross profit optimisation, enabling more nuanced pricing and promotion decisions.</w:t>
      </w:r>
    </w:p>
    <w:p w14:paraId="001002EE" w14:textId="001002EF">
      <w:pPr>
        <w:pStyle w:val="Heading1"/>
        <w:spacing w:before="360" w:after="160"/>
      </w:pPr>
      <w:r>
        <w:rPr>
          <w:b/>
          <w:color w:val="1F4E79"/>
          <w:sz w:val="36"/>
        </w:rPr>
        <w:t xml:space="preserve">10. References &amp; Dataset Citation</w:t>
      </w:r>
    </w:p>
    <w:p w14:paraId="001002F0" w14:textId="001002F1">
      <w:pPr>
        <w:pStyle w:val="Heading2"/>
        <w:spacing w:before="200" w:after="120"/>
      </w:pPr>
      <w:r>
        <w:rPr>
          <w:b/>
          <w:color w:val="2E75B6"/>
          <w:sz w:val="28"/>
        </w:rPr>
        <w:t xml:space="preserve">Dataset</w:t>
      </w:r>
    </w:p>
    <w:p w14:paraId="001002F2" w14:textId="001002F3">
      <w:pPr>
        <w:pStyle w:val="Normal"/>
        <w:spacing w:after="160"/>
      </w:pPr>
      <w:r>
        <w:rPr>
          <w:sz w:val="22"/>
        </w:rPr>
        <w:t xml:space="preserve">Supermarket Sales Dataset. (2026). supermarket_sales.csv. Synthetic dataset generated for educational and analytical purposes. 500 transaction records across 4 branches (Jaipur, Delhi, Mumbai, Bengaluru), January 2026 – July 2026.</w:t>
      </w:r>
    </w:p>
    <w:p w14:paraId="001002F4" w14:textId="001002F5">
      <w:pPr>
        <w:pStyle w:val="Heading2"/>
        <w:spacing w:before="200" w:after="120"/>
      </w:pPr>
      <w:r>
        <w:rPr>
          <w:b/>
          <w:color w:val="2E75B6"/>
          <w:sz w:val="28"/>
        </w:rPr>
        <w:t xml:space="preserve">Python Libraries</w:t>
      </w:r>
    </w:p>
    <w:p w14:paraId="001002F6" w14:textId="001002F7">
      <w:pPr>
        <w:pStyle w:val="Normal"/>
        <w:spacing w:after="80"/>
      </w:pPr>
      <w:r>
        <w:rPr>
          <w:sz w:val="22"/>
        </w:rPr>
        <w:t xml:space="preserve">Streamlit Inc. (2024). Streamlit — The fastest way to build and share data apps. https://streamlit.io</w:t>
      </w:r>
    </w:p>
    <w:p w14:paraId="001002F8" w14:textId="001002F9">
      <w:pPr>
        <w:pStyle w:val="Normal"/>
        <w:spacing w:after="80"/>
      </w:pPr>
      <w:r>
        <w:rPr>
          <w:sz w:val="22"/>
        </w:rPr>
        <w:t xml:space="preserve">The Pandas Development Team. (2024). pandas — Python Data Analysis Library. https://pandas.pydata.org</w:t>
      </w:r>
    </w:p>
    <w:p w14:paraId="001002FA" w14:textId="001002FB">
      <w:pPr>
        <w:pStyle w:val="Normal"/>
        <w:spacing w:after="80"/>
      </w:pPr>
      <w:r>
        <w:rPr>
          <w:sz w:val="22"/>
        </w:rPr>
        <w:t xml:space="preserve">Harris, C.R. et al. (2020). Array programming with NumPy. Nature, 585, 357–362. https://numpy.org</w:t>
      </w:r>
    </w:p>
    <w:p w14:paraId="001002FC" w14:textId="001002FD">
      <w:pPr>
        <w:pStyle w:val="Normal"/>
        <w:spacing w:after="240"/>
      </w:pPr>
      <w:r>
        <w:rPr>
          <w:sz w:val="22"/>
        </w:rPr>
        <w:t xml:space="preserve">Plotly Technologies Inc. (2024). Collaborative data science. https://plotly.com/python</w:t>
      </w:r>
    </w:p>
    <w:p w14:paraId="001002FE" w14:textId="001002FF">
      <w:pPr>
        <w:pStyle w:val="Heading2"/>
        <w:spacing w:before="200" w:after="120"/>
      </w:pPr>
      <w:r>
        <w:rPr>
          <w:b/>
          <w:color w:val="2E75B6"/>
          <w:sz w:val="28"/>
        </w:rPr>
        <w:t xml:space="preserve">Methodology References</w:t>
      </w:r>
    </w:p>
    <w:p w14:paraId="00100300" w14:textId="00100301">
      <w:pPr>
        <w:pStyle w:val="Normal"/>
        <w:spacing w:after="80"/>
      </w:pPr>
      <w:r>
        <w:rPr>
          <w:sz w:val="22"/>
        </w:rPr>
        <w:t xml:space="preserve">Tukey, J.W. (1977). Exploratory Data Analysis. Addison-Wesley.</w:t>
      </w:r>
    </w:p>
    <w:p w14:paraId="00100302" w14:textId="00100303">
      <w:pPr>
        <w:pStyle w:val="Normal"/>
        <w:spacing w:after="80"/>
      </w:pPr>
      <w:r>
        <w:rPr>
          <w:sz w:val="22"/>
        </w:rPr>
        <w:t xml:space="preserve">McKinney, W. (2012). Python for Data Analysis. O'Reilly Media.</w:t>
      </w:r>
    </w:p>
    <w:p w14:paraId="00100304" w14:textId="00100305">
      <w:pPr>
        <w:pStyle w:val="Normal"/>
        <w:spacing w:after="240"/>
      </w:pPr>
      <w:r>
        <w:rPr>
          <w:sz w:val="22"/>
        </w:rPr>
        <w:t xml:space="preserve">Wickham, H. (2016). ggplot2: Elegant Graphics for Data Analysis. Springer. (Visualisation design principles applied.)</w:t>
      </w:r>
    </w:p>
    <w:p w14:paraId="00100306" w14:textId="00100307">
      <w:pPr>
        <w:pStyle w:val="Normal"/>
        <w:spacing w:before="480" w:after="120"/>
        <w:jc w:val="center"/>
      </w:pPr>
      <w:r>
        <w:rPr>
          <w:color w:val="57606A"/>
          <w:sz w:val="20"/>
        </w:rPr>
        <w:t xml:space="preserve">--- End of Report ---</w:t>
      </w:r>
    </w:p>
    <w:sectPr>
      <w:footerReference w:type="default" r:id="Rb3724f435c4b4531"/>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2CA" w14:textId="001002CB">
    <w:pPr>
      <w:jc w:val="center"/>
    </w:pPr>
    <w:r>
      <w:rPr>
        <w:color w:val="57606A"/>
        <w:sz w:val="18"/>
      </w:rPr>
      <w:t xml:space="preserve">Supermarket Sales Analysis — Project Report  |  Python · Pandas · Plotly · Streamlit  |  Page </w:t>
    </w:r>
    <w:r>
      <w:rPr>
        <w:color w:val="57606A"/>
        <w:sz w:val="18"/>
      </w:rPr>
      <w:fldChar w:fldCharType="begin"/>
    </w:r>
    <w:r>
      <w:rPr>
        <w:color w:val="57606A"/>
        <w:sz w:val="18"/>
      </w:rPr>
      <w:instrText xml:space="preserve"> PAGE </w:instrText>
    </w:r>
    <w:r>
      <w:rPr>
        <w:color w:val="57606A"/>
        <w:sz w:val="18"/>
      </w:rPr>
      <w:fldChar w:fldCharType="separate"/>
    </w:r>
    <w:r>
      <w:rPr>
        <w:color w:val="57606A"/>
        <w:sz w:val="18"/>
      </w:rPr>
      <w:t xml:space="preserve">1</w:t>
    </w:r>
    <w:r>
      <w:rPr>
        <w:color w:val="57606A"/>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68e888017b94b2d" /><Relationship Type="http://schemas.openxmlformats.org/officeDocument/2006/relationships/styles" Target="/word/styles.xml" Id="R4520148ec8c24ac0" /><Relationship Type="http://schemas.openxmlformats.org/officeDocument/2006/relationships/theme" Target="/word/theme/theme1.xml" Id="Rff5096377f904303" /><Relationship Type="http://schemas.openxmlformats.org/officeDocument/2006/relationships/numbering" Target="/word/numbering.xml" Id="Rc4383820e4a24f0d" /><Relationship Type="http://schemas.openxmlformats.org/officeDocument/2006/relationships/footer" Target="/word/footer1.xml" Id="Rb3724f435c4b45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2026-09-21T16:35:59Z</dcterms:created>
  <cp:lastModifiedBy>OfficeCLI</cp:lastModifiedBy>
  <dcterms:modified xsi:type="dcterms:W3CDTF">2026-09-21T16:35:59Z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2026-09-21T16:49:49Z</vt:lpwstr>
  </op:property>
</op:Properties>
</file>