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  <w:body>
    <w:p>
      <w:pPr><w:jc w:val="center"/><w:spacing w:before="240" w:after="120"/></w:pPr>
      <w:r><w:rPr><w:b/><w:sz w:val="36"/><w:color w:val="0B132B"/></w:rPr><w:t>STATUTORY ULTRASONIC THICKNESS SURVEY REPORT</w:t></w:r>
    </w:p>
<w:p>
          <w:pPr><w:jc w:val="center"/><w:spacing w:before="0" w:after="240"/></w:pPr>
          <w:r><w:rPr><w:i/><w:sz w:val="24"/><w:color w:val="415A77"/></w:rPr><w:t>NON-DESTRUCTIVE TESTING LABORATORY - API 510 / ASME SECTION V</w:t></w:r>
        </w:p>
<w:p>
              <w:pPr><w:spacing w:before="60" w:after="60"/></w:pPr>
              <w:r><w:rPr><w:sz w:val="22"/><w:color w:val="333333"/></w:rPr><w:t>Report No: NDT/HCU/2026/UT-9021 | Date: 04-Sep-2026</w:t></w:r>
            </w:p>
<w:p>
              <w:pPr><w:spacing w:before="60" w:after="60"/></w:pPr>
              <w:r><w:rPr><w:sz w:val="22"/><w:color w:val="333333"/></w:rPr><w:t>Unit: Hydrocracker (HCU-11) | Equipment: HP Separator (11-V-102)</w:t></w:r>
            </w:p>
<w:p>
              <w:pPr><w:spacing w:before="60" w:after="60"/></w:pPr>
              <w:r><w:rPr><w:sz w:val="22"/><w:color w:val="333333"/></w:rPr><w:t>Base Metal: SA-387 Gr 22 Cl 2 (2.25Cr-1Mo) | Nominal Thickness: 145.0 mm | Code Min (t_min): 138.57 mm</w:t></w:r>
            </w:p>
<w:p>
              <w:pPr><w:spacing w:before="280" w:after="100"/></w:pPr>
              <w:r><w:rPr><w:b/><w:sz w:val="30"/><w:color w:val="0077B6"/></w:rPr><w:t>1. Ultrasonic C-Scan Grid Readings</w:t></w:r>
            </w:p>
<w:p>
              <w:pPr><w:spacing w:before="60" w:after="60"/></w:pPr>
              <w:r><w:rPr><w:sz w:val="22"/><w:color w:val="333333"/></w:rPr><w:t>Point TH-01 (Top Head Crown): 139.60 mm (Loss: 0.60 mm, Rate: 0.05 mm/yr) - ACCEPTABLE</w:t></w:r>
            </w:p>
<w:p>
              <w:pPr><w:spacing w:before="60" w:after="60"/></w:pPr>
              <w:r><w:rPr><w:sz w:val="22"/><w:color w:val="333333"/></w:rPr><w:t>Point SC-1A (Shell C-1 0 deg N): 142.40 mm (Loss: 2.70 mm, Rate: 0.20 mm/yr) - ACCEPTABLE</w:t></w:r>
            </w:p>
<w:p>
              <w:pPr><w:spacing w:before="60" w:after="60"/></w:pPr>
              <w:r><w:rPr><w:sz w:val="22"/><w:color w:val="333333"/></w:rPr><w:t>Point SC-2A (Shell C-2 90 deg E): 141.20 mm (Loss: 4.00 mm, Rate: 0.325 mm/yr) - MONITOR</w:t></w:r>
            </w:p>
<w:p>
              <w:pPr><w:spacing w:before="60" w:after="60"/></w:pPr>
              <w:r><w:rPr><w:sz w:val="22"/><w:color w:val="333333"/></w:rPr><w:t>Point BK-01 (Bottom Knuckle Impingement): 138.20 mm (Loss: 6.80 mm, Rate: 0.75 mm/yr) - CRITICAL BREACH</w:t></w:r>
            </w:p>
<w:p>
              <w:pPr><w:spacing w:before="280" w:after="100"/></w:pPr>
              <w:r><w:rPr><w:b/><w:sz w:val="30"/><w:color w:val="0077B6"/></w:rPr><w:t>2. Defect Finding & Remaining Life</w:t></w:r>
            </w:p>
<w:p>
              <w:pPr><w:spacing w:before="60" w:after="60"/></w:pPr>
              <w:r><w:rPr><w:sz w:val="22"/><w:color w:val="333333"/></w:rPr><w:t>Point BK-01 measured thickness (138.20 mm) has BREACHED code minimum allowable (138.57 mm) by -0.37 mm.</w:t></w:r>
            </w:p>
<w:p>
              <w:pPr><w:spacing w:before="60" w:after="60"/></w:pPr>
              <w:r><w:rPr><w:sz w:val="22"/><w:color w:val="333333"/></w:rPr><w:t>Remaining service life per API 510 Section 7.1.1 is -0.49 Years (EXPIRED).</w:t></w:r>
            </w:p>
<w:p>
              <w:pPr><w:spacing w:before="60" w:after="60"/></w:pPr>
              <w:r><w:rPr><w:sz w:val="22"/><w:color w:val="333333"/></w:rPr><w:t>HTHA micro-fissuring indications detected on longitudinal weld seam L-1.</w:t></w:r>
            </w:p>
<w:p>
              <w:pPr><w:spacing w:before="280" w:after="100"/></w:pPr>
              <w:r><w:rPr><w:b/><w:sz w:val="30"/><w:color w:val="0077B6"/></w:rPr><w:t>3. Statutory Disposition & Mandatory Action</w:t></w:r>
            </w:p>
<w:p>
              <w:pPr><w:spacing w:before="60" w:after="60"/></w:pPr>
              <w:r><w:rPr><w:sz w:val="22"/><w:color w:val="333333"/></w:rPr><w:t>1. IMMEDIATE DERATING: Operating pressure derated from 145 barg to 118 barg.</w:t></w:r>
            </w:p>
<w:p>
              <w:pPr><w:spacing w:before="60" w:after="60"/></w:pPr>
              <w:r><w:rPr><w:sz w:val="22"/><w:color w:val="333333"/></w:rPr><w:t>2. EMERGENCY APPROVAL NOTE: Initiate Note for Approval for 347 SS weld overlay restoration (Estimated: ₹88 Lakhs).</w:t></w:r>
            </w:p>
    <w:sectPr>
      <w:pgSz w:w="11906" w:h="16838"/>
      <w:pgMar w:top="1440" w:right="1440" w:bottom="1440" w:left="1440"/>
    </w:sectPr>
  </w:body>
</w:document>
</file>