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FUNCTIONAL SPECIFICATION DOCUMENT</w:t>
      </w:r>
    </w:p>
    <w:p>
      <w:pPr>
        <w:jc w:val="center"/>
      </w:pPr>
      <w:r>
        <w:rPr>
          <w:b/>
          <w:sz w:val="24"/>
        </w:rPr>
        <w:t>(FSD)</w:t>
      </w:r>
    </w:p>
    <w:p>
      <w:pPr>
        <w:jc w:val="center"/>
      </w:pPr>
      <w:r>
        <w:rPr>
          <w:b/>
          <w:sz w:val="28"/>
        </w:rPr>
        <w:t>Medical Diagnosis Center by ServiceNow Service Portal</w:t>
      </w:r>
    </w:p>
    <w:tbl>
      <w:tblPr>
        <w:tblStyle w:val="TableGrid"/>
        <w:tblW w:type="auto" w:w="0"/>
        <w:tblLook w:firstColumn="1" w:firstRow="1" w:lastColumn="0" w:lastRow="0" w:noHBand="0" w:noVBand="1" w:val="04A0"/>
      </w:tblPr>
      <w:tblGrid>
        <w:gridCol w:w="5328"/>
        <w:gridCol w:w="5328"/>
      </w:tblGrid>
      <w:tr>
        <w:tc>
          <w:tcPr>
            <w:tcW w:type="dxa" w:w="5328"/>
            <w:shd w:fill="D9EAF7"/>
          </w:tcPr>
          <w:p>
            <w:r>
              <w:rPr>
                <w:b/>
              </w:rPr>
              <w:t>Project Name</w:t>
            </w:r>
          </w:p>
        </w:tc>
        <w:tc>
          <w:tcPr>
            <w:tcW w:type="dxa" w:w="5328"/>
          </w:tcPr>
          <w:p>
            <w:r>
              <w:t>Medical Diagnosis Center by ServiceNow Service Portal</w:t>
            </w:r>
          </w:p>
        </w:tc>
      </w:tr>
      <w:tr>
        <w:tc>
          <w:tcPr>
            <w:tcW w:type="dxa" w:w="5328"/>
            <w:shd w:fill="D9EAF7"/>
          </w:tcPr>
          <w:p>
            <w:r>
              <w:rPr>
                <w:b/>
              </w:rPr>
              <w:t>Prepared By</w:t>
            </w:r>
          </w:p>
        </w:tc>
        <w:tc>
          <w:tcPr>
            <w:tcW w:type="dxa" w:w="5328"/>
          </w:tcPr>
          <w:p>
            <w:r>
              <w:t>Project Team</w:t>
            </w:r>
          </w:p>
        </w:tc>
      </w:tr>
      <w:tr>
        <w:tc>
          <w:tcPr>
            <w:tcW w:type="dxa" w:w="5328"/>
            <w:shd w:fill="D9EAF7"/>
          </w:tcPr>
          <w:p>
            <w:r>
              <w:rPr>
                <w:b/>
              </w:rPr>
              <w:t>Platform</w:t>
            </w:r>
          </w:p>
        </w:tc>
        <w:tc>
          <w:tcPr>
            <w:tcW w:type="dxa" w:w="5328"/>
          </w:tcPr>
          <w:p>
            <w:r>
              <w:t>ServiceNow</w:t>
            </w:r>
          </w:p>
        </w:tc>
      </w:tr>
      <w:tr>
        <w:tc>
          <w:tcPr>
            <w:tcW w:type="dxa" w:w="5328"/>
            <w:shd w:fill="D9EAF7"/>
          </w:tcPr>
          <w:p>
            <w:r>
              <w:rPr>
                <w:b/>
              </w:rPr>
              <w:t>Date</w:t>
            </w:r>
          </w:p>
        </w:tc>
        <w:tc>
          <w:tcPr>
            <w:tcW w:type="dxa" w:w="5328"/>
          </w:tcPr>
          <w:p>
            <w:r>
              <w:t>06 October 2026</w:t>
            </w:r>
          </w:p>
        </w:tc>
      </w:tr>
    </w:tbl>
    <w:p>
      <w:r>
        <w:rPr>
          <w:rFonts w:ascii="Times New Roman" w:hAnsi="Times New Roman"/>
          <w:b/>
          <w:color w:val="1F4E79"/>
          <w:sz w:val="26"/>
        </w:rPr>
        <w:t>1. Introduction</w:t>
      </w:r>
    </w:p>
    <w:p>
      <w:r>
        <w:t>Project Title: Medical Diagnosis Center by ServiceNow Service Portal</w:t>
      </w:r>
    </w:p>
    <w:p>
      <w:r>
        <w:t>Project Owner / Contributor: Project Team</w:t>
      </w:r>
    </w:p>
    <w:p>
      <w:r>
        <w:t>This Functional Specification Document adapts the supplied full-stack documentation format to the actual ServiceNow implementation. Where a generic template refers to React, Node.js, Express.js, MongoDB, npm commands or REST endpoints, the equivalent ServiceNow platform component is documented instead; unsupported technologies are not claimed.</w:t>
      </w:r>
    </w:p>
    <w:p>
      <w:r>
        <w:rPr>
          <w:rFonts w:ascii="Times New Roman" w:hAnsi="Times New Roman"/>
          <w:b/>
          <w:color w:val="1F4E79"/>
          <w:sz w:val="26"/>
        </w:rPr>
        <w:t>2. Project Overview</w:t>
      </w:r>
    </w:p>
    <w:p>
      <w:r>
        <w:rPr>
          <w:rFonts w:ascii="Times New Roman" w:hAnsi="Times New Roman"/>
          <w:b/>
          <w:color w:val="1F4E79"/>
          <w:sz w:val="22"/>
        </w:rPr>
        <w:t>Purpose</w:t>
      </w:r>
    </w:p>
    <w:p>
      <w:r>
        <w:rPr>
          <w:rFonts w:ascii="Times New Roman" w:hAnsi="Times New Roman"/>
          <w:sz w:val="18"/>
        </w:rPr>
        <w:t>Streamline the end-to-end diagnostic booking and reporting lifecycle through a centralized ServiceNow workflow. The solution presents a Medical Test Catalog, supports diagnostic-test selection and Book Now, captures Patient Details, supports Schedule and the configured Payment → Done stage, creates and tracks the Appointment, exposes My Appointments, reacts to Appointment Completed, automatically creates the Report, and exposes Report/My Lab Reports to authorized users.</w:t>
      </w:r>
    </w:p>
    <w:p>
      <w:r>
        <w:rPr>
          <w:rFonts w:ascii="Times New Roman" w:hAnsi="Times New Roman"/>
          <w:b/>
          <w:color w:val="1F4E79"/>
          <w:sz w:val="22"/>
        </w:rPr>
        <w:t>Key Features</w:t>
      </w:r>
    </w:p>
    <w:p>
      <w:r>
        <w:rPr>
          <w:rFonts w:ascii="Times New Roman" w:hAnsi="Times New Roman"/>
          <w:sz w:val="18"/>
        </w:rPr>
        <w:t>• Medical Test Catalog-based diagnostic-test discovery and booking through the ServiceNow Service Portal.</w:t>
      </w:r>
    </w:p>
    <w:p>
      <w:r>
        <w:rPr>
          <w:rFonts w:ascii="Times New Roman" w:hAnsi="Times New Roman"/>
          <w:sz w:val="18"/>
        </w:rPr>
        <w:t>• Structured fields for selected diagnostic test, patient details, contact information and schedule information.</w:t>
      </w:r>
    </w:p>
    <w:p>
      <w:r>
        <w:rPr>
          <w:rFonts w:ascii="Times New Roman" w:hAnsi="Times New Roman"/>
          <w:sz w:val="18"/>
        </w:rPr>
        <w:t>• Configured patient-detail form behaviour and validation using ServiceNow catalog/form configuration.</w:t>
      </w:r>
    </w:p>
    <w:p>
      <w:r>
        <w:rPr>
          <w:rFonts w:ascii="Times New Roman" w:hAnsi="Times New Roman"/>
          <w:sz w:val="18"/>
        </w:rPr>
        <w:t>• Flow Designer/configured automation for booking, appointment lifecycle and automatic report creation.</w:t>
      </w:r>
    </w:p>
    <w:p>
      <w:r>
        <w:rPr>
          <w:rFonts w:ascii="Times New Roman" w:hAnsi="Times New Roman"/>
          <w:sz w:val="18"/>
        </w:rPr>
        <w:t>• Appointment and My Appointments lifecycle visibility, with request context retained where applicable.</w:t>
      </w:r>
    </w:p>
    <w:p>
      <w:r>
        <w:rPr>
          <w:rFonts w:ascii="Times New Roman" w:hAnsi="Times New Roman"/>
          <w:sz w:val="18"/>
        </w:rPr>
        <w:t>• Configured Appointment and Report records for structured diagnostic booking and reporting data.</w:t>
      </w:r>
    </w:p>
    <w:p>
      <w:r>
        <w:rPr>
          <w:rFonts w:ascii="Times New Roman" w:hAnsi="Times New Roman"/>
          <w:sz w:val="18"/>
        </w:rPr>
        <w:t>• Appointment scheduling through the Schedule stage and configured authorized review/approval only where a service requires it.</w:t>
      </w:r>
    </w:p>
    <w:p>
      <w:r>
        <w:rPr>
          <w:rFonts w:ascii="Times New Roman" w:hAnsi="Times New Roman"/>
          <w:sz w:val="18"/>
        </w:rPr>
        <w:t>• Configured booking, status, completion and report-related notification behaviour.</w:t>
      </w:r>
    </w:p>
    <w:p>
      <w:r>
        <w:t>• Roles and ACL-based access control on configured operational records.</w:t>
      </w:r>
    </w:p>
    <w:p>
      <w:r>
        <w:t>• Flow Designer Execution Details / platform logs for troubleshooting.</w:t>
      </w:r>
    </w:p>
    <w:p>
      <w:r>
        <w:rPr>
          <w:rFonts w:ascii="Times New Roman" w:hAnsi="Times New Roman"/>
          <w:b/>
          <w:color w:val="1F4E79"/>
          <w:sz w:val="26"/>
        </w:rPr>
        <w:t>3. Architecture</w:t>
      </w:r>
    </w:p>
    <w:p>
      <w:r>
        <w:t>Figure 1. ServiceNow solution architecture</w:t>
      </w:r>
    </w:p>
    <w:tbl>
      <w:tblPr>
        <w:tblStyle w:val="TableGrid"/>
        <w:tblW w:type="auto" w:w="0"/>
        <w:tblLook w:firstColumn="1" w:firstRow="1" w:lastColumn="0" w:lastRow="0" w:noHBand="0" w:noVBand="1" w:val="04A0"/>
      </w:tblPr>
      <w:tblGrid>
        <w:gridCol w:w="2131"/>
        <w:gridCol w:w="2131"/>
        <w:gridCol w:w="2131"/>
        <w:gridCol w:w="2131"/>
        <w:gridCol w:w="2131"/>
      </w:tblGrid>
      <w:tr>
        <w:tc>
          <w:tcPr>
            <w:tcW w:type="dxa" w:w="2131"/>
            <w:shd w:fill="D9EAF7"/>
          </w:tcPr>
          <w:p>
            <w:r>
              <w:rPr>
                <w:b/>
                <w:sz w:val="15"/>
              </w:rPr>
              <w:t>Patient / Requester</w:t>
            </w:r>
          </w:p>
        </w:tc>
        <w:tc>
          <w:tcPr>
            <w:tcW w:type="dxa" w:w="2131"/>
            <w:shd w:fill="D9EAF7"/>
          </w:tcPr>
          <w:p>
            <w:r>
              <w:rPr>
                <w:b/>
                <w:sz w:val="15"/>
              </w:rPr>
              <w:t>ServiceNow Service Portal</w:t>
            </w:r>
          </w:p>
        </w:tc>
        <w:tc>
          <w:tcPr>
            <w:tcW w:type="dxa" w:w="2131"/>
            <w:shd w:fill="D9EAF7"/>
          </w:tcPr>
          <w:p>
            <w:r>
              <w:rPr>
                <w:b/>
                <w:sz w:val="15"/>
              </w:rPr>
              <w:t>Healthcare Service Catalog</w:t>
            </w:r>
          </w:p>
        </w:tc>
        <w:tc>
          <w:tcPr>
            <w:tcW w:type="dxa" w:w="2131"/>
            <w:shd w:fill="D9EAF7"/>
          </w:tcPr>
          <w:p>
            <w:r>
              <w:rPr>
                <w:b/>
                <w:sz w:val="15"/>
              </w:rPr>
              <w:t>Catalog Variables / UI Policy</w:t>
            </w:r>
          </w:p>
        </w:tc>
        <w:tc>
          <w:tcPr>
            <w:tcW w:type="dxa" w:w="2131"/>
            <w:shd w:fill="D9EAF7"/>
          </w:tcPr>
          <w:p>
            <w:r>
              <w:rPr>
                <w:b/>
                <w:sz w:val="15"/>
              </w:rPr>
              <w:t>Flow Designer</w:t>
            </w:r>
          </w:p>
        </w:tc>
      </w:tr>
      <w:tr>
        <w:tc>
          <w:tcPr>
            <w:tcW w:type="dxa" w:w="2131"/>
            <w:shd w:fill="D9EAF7"/>
          </w:tcPr>
          <w:p>
            <w:r>
              <w:rPr>
                <w:b/>
                <w:sz w:val="15"/>
              </w:rPr>
              <w:t>Appointment / Review</w:t>
            </w:r>
          </w:p>
        </w:tc>
        <w:tc>
          <w:tcPr>
            <w:tcW w:type="dxa" w:w="2131"/>
            <w:shd w:fill="D9EAF7"/>
          </w:tcPr>
          <w:p>
            <w:r>
              <w:rPr>
                <w:b/>
                <w:sz w:val="15"/>
              </w:rPr>
              <w:t>REQ / RITM</w:t>
            </w:r>
          </w:p>
        </w:tc>
        <w:tc>
          <w:tcPr>
            <w:tcW w:type="dxa" w:w="2131"/>
            <w:shd w:fill="D9EAF7"/>
          </w:tcPr>
          <w:p>
            <w:r>
              <w:rPr>
                <w:b/>
                <w:sz w:val="15"/>
              </w:rPr>
              <w:t>Healthcare Service Record</w:t>
            </w:r>
          </w:p>
        </w:tc>
        <w:tc>
          <w:tcPr>
            <w:tcW w:type="dxa" w:w="2131"/>
            <w:shd w:fill="D9EAF7"/>
          </w:tcPr>
          <w:p>
            <w:r>
              <w:rPr>
                <w:b/>
                <w:sz w:val="15"/>
              </w:rPr>
              <w:t>Notifications</w:t>
            </w:r>
          </w:p>
        </w:tc>
        <w:tc>
          <w:tcPr>
            <w:tcW w:type="dxa" w:w="2131"/>
            <w:shd w:fill="D9EAF7"/>
          </w:tcPr>
          <w:p>
            <w:r>
              <w:rPr>
                <w:b/>
                <w:sz w:val="15"/>
              </w:rPr>
              <w:t>Diagnostic / Fulfilment</w:t>
            </w:r>
          </w:p>
        </w:tc>
      </w:tr>
      <w:tr>
        <w:tc>
          <w:tcPr>
            <w:tcW w:type="dxa" w:w="2131"/>
            <w:shd w:fill="D9EAF7"/>
          </w:tcPr>
          <w:p>
            <w:r>
              <w:rPr>
                <w:b/>
                <w:sz w:val="15"/>
              </w:rPr>
              <w:t>Roles &amp; ACLs</w:t>
            </w:r>
          </w:p>
        </w:tc>
        <w:tc>
          <w:tcPr>
            <w:tcW w:type="dxa" w:w="2131"/>
            <w:shd w:fill="D9EAF7"/>
          </w:tcPr>
          <w:p>
            <w:r>
              <w:rPr>
                <w:b/>
                <w:sz w:val="15"/>
              </w:rPr>
              <w:t>Approval / Review Relationship</w:t>
            </w:r>
          </w:p>
        </w:tc>
        <w:tc>
          <w:tcPr>
            <w:tcW w:type="dxa" w:w="2131"/>
            <w:shd w:fill="D9EAF7"/>
          </w:tcPr>
          <w:p>
            <w:r>
              <w:rPr>
                <w:b/>
                <w:sz w:val="15"/>
              </w:rPr>
              <w:t>Execution Details / Logs</w:t>
            </w:r>
          </w:p>
        </w:tc>
        <w:tc>
          <w:tcPr>
            <w:tcW w:type="dxa" w:w="2131"/>
            <w:shd w:fill="D9EAF7"/>
          </w:tcPr>
          <w:p>
            <w:r>
              <w:rPr>
                <w:b/>
                <w:sz w:val="15"/>
              </w:rPr>
              <w:t>Current Scope</w:t>
            </w:r>
          </w:p>
        </w:tc>
        <w:tc>
          <w:tcPr>
            <w:tcW w:type="dxa" w:w="2131"/>
            <w:shd w:fill="D9EAF7"/>
          </w:tcPr>
          <w:p>
            <w:r>
              <w:rPr>
                <w:b/>
                <w:sz w:val="15"/>
              </w:rPr>
              <w:t>Future Extensions</w:t>
            </w:r>
          </w:p>
        </w:tc>
      </w:tr>
    </w:tbl>
    <w:p>
      <w:r>
        <w:rPr>
          <w:rFonts w:ascii="Times New Roman" w:hAnsi="Times New Roman"/>
          <w:b/>
          <w:color w:val="1F4E79"/>
          <w:sz w:val="22"/>
        </w:rPr>
        <w:t>Frontend / User Interface</w:t>
      </w:r>
    </w:p>
    <w:p>
      <w:r>
        <w:rPr>
          <w:rFonts w:ascii="Times New Roman" w:hAnsi="Times New Roman"/>
          <w:sz w:val="18"/>
        </w:rPr>
        <w:t>The user-facing layer is the ServiceNow Service Portal and Service Catalog. The patient/service requester opens the Medical Test Catalog, selects a diagnostic test, chooses Book Now, enters Patient Details, selects Schedule information and completes the configured Payment → Done journey. UI Policies and form validation provide configured dynamic field behaviour.</w:t>
      </w:r>
    </w:p>
    <w:p>
      <w:r>
        <w:rPr>
          <w:rFonts w:ascii="Times New Roman" w:hAnsi="Times New Roman"/>
          <w:b/>
          <w:color w:val="1F4E79"/>
          <w:sz w:val="22"/>
        </w:rPr>
        <w:t>Backend / Application Logic</w:t>
      </w:r>
    </w:p>
    <w:p>
      <w:r>
        <w:rPr>
          <w:rFonts w:ascii="Times New Roman" w:hAnsi="Times New Roman"/>
          <w:sz w:val="18"/>
        </w:rPr>
        <w:t>The application-logic equivalent is ServiceNow platform configuration. Flow Designer is the primary automation engine. It supports the configured booking flow, creates/updates the Appointment, supports Appointment Completed, creates the Report after completion and supports the configured notification/status actions. Authorized review/approval remains conditional where configured.</w:t>
      </w:r>
    </w:p>
    <w:p>
      <w:r>
        <w:rPr>
          <w:rFonts w:ascii="Times New Roman" w:hAnsi="Times New Roman"/>
          <w:b/>
          <w:color w:val="1F4E79"/>
          <w:sz w:val="22"/>
        </w:rPr>
        <w:t>Data Layer</w:t>
      </w:r>
    </w:p>
    <w:p>
      <w:r>
        <w:rPr>
          <w:rFonts w:ascii="Times New Roman" w:hAnsi="Times New Roman"/>
          <w:sz w:val="18"/>
        </w:rPr>
        <w:t>ServiceNow records are used instead of an external database. ServiceNow records store the booking and reporting context. The Appointment record stores patient/test/schedule information, while the Report record is created after the configured Appointment Completed event. Request context may be retained where the configured implementation uses it.</w:t>
      </w:r>
    </w:p>
    <w:p>
      <w:r>
        <w:rPr>
          <w:rFonts w:ascii="Times New Roman" w:hAnsi="Times New Roman"/>
          <w:b/>
          <w:color w:val="1F4E79"/>
          <w:sz w:val="26"/>
        </w:rPr>
        <w:t>4. Setup Instructions</w:t>
      </w:r>
    </w:p>
    <w:p>
      <w:r>
        <w:rPr>
          <w:rFonts w:ascii="Times New Roman" w:hAnsi="Times New Roman"/>
          <w:b/>
          <w:color w:val="1F4E79"/>
          <w:sz w:val="22"/>
        </w:rPr>
        <w:t>Prerequisites</w:t>
      </w:r>
    </w:p>
    <w:p>
      <w:r>
        <w:t>• Access to a ServiceNow Personal Developer Instance (PDI) or authorized ServiceNow instance.</w:t>
      </w:r>
    </w:p>
    <w:p>
      <w:r>
        <w:t>• Permission to configure Service Catalog, Flow Designer, operational tables, roles and ACLs.</w:t>
      </w:r>
    </w:p>
    <w:p>
      <w:r>
        <w:t>• Access to configure catalog variables, variable sets and Catalog UI Policies/form validation.</w:t>
      </w:r>
    </w:p>
    <w:p>
      <w:r>
        <w:t>• Test users/roles for requester, authorized reviewer/approver and operational validation.</w:t>
      </w:r>
    </w:p>
    <w:p>
      <w:r>
        <w:t>• Access to Flow Designer Execution Details for troubleshooting.</w:t>
      </w:r>
    </w:p>
    <w:p>
      <w:r>
        <w:rPr>
          <w:rFonts w:ascii="Times New Roman" w:hAnsi="Times New Roman"/>
          <w:b/>
          <w:color w:val="1F4E79"/>
          <w:sz w:val="22"/>
        </w:rPr>
        <w:t>Configuration Sequence</w:t>
      </w:r>
    </w:p>
    <w:p>
      <w:r>
        <w:rPr>
          <w:rFonts w:ascii="Times New Roman" w:hAnsi="Times New Roman"/>
          <w:sz w:val="18"/>
        </w:rPr>
        <w:t>1. Create/configure the Medical Test Catalog and diagnostic test selection experience.</w:t>
      </w:r>
    </w:p>
    <w:p>
      <w:r>
        <w:rPr>
          <w:rFonts w:ascii="Times New Roman" w:hAnsi="Times New Roman"/>
          <w:sz w:val="18"/>
        </w:rPr>
        <w:t>2. Configure the Book Now journey and required Patient Details fields.</w:t>
      </w:r>
    </w:p>
    <w:p>
      <w:r>
        <w:rPr>
          <w:rFonts w:ascii="Times New Roman" w:hAnsi="Times New Roman"/>
          <w:sz w:val="18"/>
        </w:rPr>
        <w:t>3. Configure the Schedule stage and appointment date/time handling.</w:t>
      </w:r>
    </w:p>
    <w:p>
      <w:r>
        <w:rPr>
          <w:rFonts w:ascii="Times New Roman" w:hAnsi="Times New Roman"/>
          <w:sz w:val="18"/>
        </w:rPr>
        <w:t>4. Configure the Payment → Done stage within the implemented prototype boundary.</w:t>
      </w:r>
    </w:p>
    <w:p>
      <w:r>
        <w:rPr>
          <w:rFonts w:ascii="Times New Roman" w:hAnsi="Times New Roman"/>
          <w:sz w:val="18"/>
        </w:rPr>
        <w:t>5. Create/configure the Appointment record and required fields.</w:t>
      </w:r>
    </w:p>
    <w:p>
      <w:r>
        <w:rPr>
          <w:rFonts w:ascii="Times New Roman" w:hAnsi="Times New Roman"/>
          <w:sz w:val="18"/>
        </w:rPr>
        <w:t>6. Configure My Appointments visibility and appointment lifecycle.</w:t>
      </w:r>
    </w:p>
    <w:p>
      <w:r>
        <w:rPr>
          <w:rFonts w:ascii="Times New Roman" w:hAnsi="Times New Roman"/>
          <w:sz w:val="18"/>
        </w:rPr>
        <w:t>7. Configure Appointment Completed as the report-generation trigger.</w:t>
      </w:r>
    </w:p>
    <w:p>
      <w:r>
        <w:rPr>
          <w:rFonts w:ascii="Times New Roman" w:hAnsi="Times New Roman"/>
          <w:sz w:val="18"/>
        </w:rPr>
        <w:t>8. Configure automatic Report creation and report data mapping.</w:t>
      </w:r>
    </w:p>
    <w:p>
      <w:r>
        <w:rPr>
          <w:rFonts w:ascii="Times New Roman" w:hAnsi="Times New Roman"/>
          <w:sz w:val="18"/>
        </w:rPr>
        <w:t>9. Configure Report and My Lab Reports visibility.</w:t>
      </w:r>
    </w:p>
    <w:p>
      <w:r>
        <w:rPr>
          <w:rFonts w:ascii="Times New Roman" w:hAnsi="Times New Roman"/>
          <w:sz w:val="18"/>
        </w:rPr>
        <w:t>10. Configure roles and Create/Read/Write/Delete ACLs for relevant records.</w:t>
      </w:r>
    </w:p>
    <w:p>
      <w:r>
        <w:rPr>
          <w:rFonts w:ascii="Times New Roman" w:hAnsi="Times New Roman"/>
          <w:sz w:val="18"/>
        </w:rPr>
        <w:t>11. Configure notifications/status behaviour and validate the complete workflow.</w:t>
      </w:r>
    </w:p>
    <w:p>
      <w:r>
        <w:rPr>
          <w:rFonts w:ascii="Times New Roman" w:hAnsi="Times New Roman"/>
          <w:b/>
          <w:color w:val="1F4E79"/>
          <w:sz w:val="26"/>
        </w:rPr>
        <w:t>5. Configuration / Component Structure</w:t>
      </w:r>
    </w:p>
    <w:tbl>
      <w:tblPr>
        <w:tblStyle w:val="TableGrid"/>
        <w:tblW w:type="auto" w:w="0"/>
        <w:tblLook w:firstColumn="1" w:firstRow="1" w:lastColumn="0" w:lastRow="0" w:noHBand="0" w:noVBand="1" w:val="04A0"/>
      </w:tblPr>
      <w:tblGrid>
        <w:gridCol w:w="5328"/>
        <w:gridCol w:w="5328"/>
      </w:tblGrid>
      <w:tr>
        <w:tc>
          <w:tcPr>
            <w:tcW w:type="dxa" w:w="5328"/>
            <w:shd w:fill="1F4E79"/>
          </w:tcPr>
          <w:p>
            <w:r>
              <w:rPr>
                <w:b/>
                <w:color w:val="FFFFFF"/>
              </w:rPr>
              <w:t>Configuration Area</w:t>
            </w:r>
          </w:p>
        </w:tc>
        <w:tc>
          <w:tcPr>
            <w:tcW w:type="dxa" w:w="5328"/>
            <w:shd w:fill="1F4E79"/>
          </w:tcPr>
          <w:p>
            <w:r>
              <w:rPr>
                <w:b/>
                <w:color w:val="FFFFFF"/>
              </w:rPr>
              <w:t>Contents</w:t>
            </w:r>
          </w:p>
        </w:tc>
      </w:tr>
      <w:tr>
        <w:tc>
          <w:tcPr>
            <w:tcW w:type="dxa" w:w="5328"/>
            <w:shd w:fill="D9EAF7"/>
          </w:tcPr>
          <w:p>
            <w:r>
              <w:t>Service Catalog</w:t>
            </w:r>
          </w:p>
        </w:tc>
        <w:tc>
          <w:tcPr>
            <w:tcW w:type="dxa" w:w="5328"/>
          </w:tcPr>
          <w:p>
            <w:r>
              <w:t>Healthcare/diagnostic catalog item, healthcare-service category, catalog variables and Requester Information variable set.</w:t>
            </w:r>
          </w:p>
        </w:tc>
      </w:tr>
      <w:tr>
        <w:tc>
          <w:tcPr>
            <w:tcW w:type="dxa" w:w="5328"/>
            <w:shd w:fill="D9EAF7"/>
          </w:tcPr>
          <w:p>
            <w:r>
              <w:t>Client Configuration</w:t>
            </w:r>
          </w:p>
        </w:tc>
        <w:tc>
          <w:tcPr>
            <w:tcW w:type="dxa" w:w="5328"/>
          </w:tcPr>
          <w:p>
            <w:r>
              <w:t>Catalog UI Policies and catalog form validation/behaviour.</w:t>
            </w:r>
          </w:p>
        </w:tc>
      </w:tr>
      <w:tr>
        <w:tc>
          <w:tcPr>
            <w:tcW w:type="dxa" w:w="5328"/>
            <w:shd w:fill="D9EAF7"/>
          </w:tcPr>
          <w:p>
            <w:r>
              <w:t>Automation</w:t>
            </w:r>
          </w:p>
        </w:tc>
        <w:tc>
          <w:tcPr>
            <w:tcW w:type="dxa" w:w="5328"/>
          </w:tcPr>
          <w:p>
            <w:r>
              <w:t>Healthcare-service Flow Designer flow, actions, conditions, appointment/review/approval and notification steps.</w:t>
            </w:r>
          </w:p>
        </w:tc>
      </w:tr>
      <w:tr>
        <w:tc>
          <w:tcPr>
            <w:tcW w:type="dxa" w:w="5328"/>
            <w:shd w:fill="D9EAF7"/>
          </w:tcPr>
          <w:p>
            <w:r>
              <w:t>Data Model</w:t>
            </w:r>
          </w:p>
        </w:tc>
        <w:tc>
          <w:tcPr>
            <w:tcW w:type="dxa" w:w="5328"/>
          </w:tcPr>
          <w:p>
            <w:r>
              <w:t>REQ/RITM records and configured healthcare-service operational record.</w:t>
            </w:r>
          </w:p>
        </w:tc>
      </w:tr>
      <w:tr>
        <w:tc>
          <w:tcPr>
            <w:tcW w:type="dxa" w:w="5328"/>
            <w:shd w:fill="D9EAF7"/>
          </w:tcPr>
          <w:p>
            <w:r>
              <w:t>Appointment / Review</w:t>
            </w:r>
          </w:p>
        </w:tc>
        <w:tc>
          <w:tcPr>
            <w:tcW w:type="dxa" w:w="5328"/>
          </w:tcPr>
          <w:p>
            <w:r>
              <w:t>Configured appointment action and/or authorized review/approval relationship to service records.</w:t>
            </w:r>
          </w:p>
        </w:tc>
      </w:tr>
      <w:tr>
        <w:tc>
          <w:tcPr>
            <w:tcW w:type="dxa" w:w="5328"/>
            <w:shd w:fill="D9EAF7"/>
          </w:tcPr>
          <w:p>
            <w:r>
              <w:t>Notifications</w:t>
            </w:r>
          </w:p>
        </w:tc>
        <w:tc>
          <w:tcPr>
            <w:tcW w:type="dxa" w:w="5328"/>
          </w:tcPr>
          <w:p>
            <w:r>
              <w:t>Notification or Send Email actions for request creation, status and completion.</w:t>
            </w:r>
          </w:p>
        </w:tc>
      </w:tr>
      <w:tr>
        <w:tc>
          <w:tcPr>
            <w:tcW w:type="dxa" w:w="5328"/>
            <w:shd w:fill="D9EAF7"/>
          </w:tcPr>
          <w:p>
            <w:r>
              <w:t>Security</w:t>
            </w:r>
          </w:p>
        </w:tc>
        <w:tc>
          <w:tcPr>
            <w:tcW w:type="dxa" w:w="5328"/>
          </w:tcPr>
          <w:p>
            <w:r>
              <w:t>Roles and Create/Write/Read/Delete ACL records.</w:t>
            </w:r>
          </w:p>
        </w:tc>
      </w:tr>
      <w:tr>
        <w:tc>
          <w:tcPr>
            <w:tcW w:type="dxa" w:w="5328"/>
            <w:shd w:fill="D9EAF7"/>
          </w:tcPr>
          <w:p>
            <w:r>
              <w:t>Operations / Diagnostics</w:t>
            </w:r>
          </w:p>
        </w:tc>
        <w:tc>
          <w:tcPr>
            <w:tcW w:type="dxa" w:w="5328"/>
          </w:tcPr>
          <w:p>
            <w:r>
              <w:t>Flow Designer Execution Details, platform logs and testing records.</w:t>
            </w:r>
          </w:p>
        </w:tc>
      </w:tr>
    </w:tbl>
    <w:p>
      <w:r>
        <w:rPr>
          <w:rFonts w:ascii="Times New Roman" w:hAnsi="Times New Roman"/>
          <w:b/>
          <w:color w:val="1F4E79"/>
          <w:sz w:val="26"/>
        </w:rPr>
        <w:t>6. Running the Application</w:t>
      </w:r>
    </w:p>
    <w:p>
      <w:r>
        <w:t>There are no npm or local server commands because the application runs inside ServiceNow. To use the solution, open the configured ServiceNow Service Portal, navigate to the relevant healthcare/diagnostic service catalog item, enter the service information, submit the request, and follow the generated REQ/RITM and configured appointment/review/approval flow.</w:t>
      </w:r>
    </w:p>
    <w:p>
      <w:r>
        <w:rPr>
          <w:rFonts w:ascii="Times New Roman" w:hAnsi="Times New Roman"/>
          <w:sz w:val="18"/>
        </w:rPr>
        <w:t>Requester path: Service Portal → Medical Test Catalog → Select Diagnostic Test → Book Now → Patient Details → Schedule → Payment → Done → Appointment → My Appointments → Appointment Completed → Report → My Lab Reports.</w:t>
      </w:r>
    </w:p>
    <w:p>
      <w:r>
        <w:rPr>
          <w:b/>
        </w:rPr>
        <w:t xml:space="preserve">Administrator / configuration path: </w:t>
      </w:r>
      <w:r>
        <w:t>ServiceNow backend → Catalog / Flow Designer / operational records / security → monitor configurations and executions.</w:t>
      </w:r>
    </w:p>
    <w:p>
      <w:r>
        <w:rPr>
          <w:b/>
        </w:rPr>
        <w:t xml:space="preserve">Authorized reviewer path: </w:t>
      </w:r>
      <w:r>
        <w:t>Authorized review/approval view → review the request → approve, reject or route according to configured access and process.</w:t>
      </w:r>
    </w:p>
    <w:p>
      <w:r>
        <w:rPr>
          <w:b/>
        </w:rPr>
        <w:t xml:space="preserve">Operational path: </w:t>
      </w:r>
      <w:r>
        <w:t>Authorized operational record view → review the configured service record and fulfilment information.</w:t>
      </w:r>
    </w:p>
    <w:p>
      <w:r>
        <w:rPr>
          <w:rFonts w:ascii="Times New Roman" w:hAnsi="Times New Roman"/>
          <w:b/>
          <w:color w:val="1F4E79"/>
          <w:sz w:val="26"/>
        </w:rPr>
        <w:t>7. API Documentation</w:t>
      </w:r>
    </w:p>
    <w:p>
      <w:r>
        <w:t>No external REST API endpoint is documented as part of the current implemented scope. The solution primarily uses native ServiceNow platform components and record interactions. Future integrations may expose or consume APIs for hospital/EMR/EHR/laboratory systems, external messaging, analytics, or other enterprise services.</w:t>
      </w:r>
    </w:p>
    <w:tbl>
      <w:tblPr>
        <w:tblStyle w:val="TableGrid"/>
        <w:tblW w:type="auto" w:w="0"/>
        <w:tblLook w:firstColumn="1" w:firstRow="1" w:lastColumn="0" w:lastRow="0" w:noHBand="0" w:noVBand="1" w:val="04A0"/>
      </w:tblPr>
      <w:tblGrid>
        <w:gridCol w:w="2664"/>
        <w:gridCol w:w="2664"/>
        <w:gridCol w:w="2664"/>
        <w:gridCol w:w="2664"/>
      </w:tblGrid>
      <w:tr>
        <w:tc>
          <w:tcPr>
            <w:tcW w:type="dxa" w:w="2664"/>
            <w:shd w:fill="1F4E79"/>
          </w:tcPr>
          <w:p>
            <w:r>
              <w:rPr>
                <w:b/>
                <w:color w:val="FFFFFF"/>
              </w:rPr>
              <w:t>Integration</w:t>
            </w:r>
          </w:p>
        </w:tc>
        <w:tc>
          <w:tcPr>
            <w:tcW w:type="dxa" w:w="2664"/>
            <w:shd w:fill="1F4E79"/>
          </w:tcPr>
          <w:p>
            <w:r>
              <w:rPr>
                <w:b/>
                <w:color w:val="FFFFFF"/>
              </w:rPr>
              <w:t>Current Status</w:t>
            </w:r>
          </w:p>
        </w:tc>
        <w:tc>
          <w:tcPr>
            <w:tcW w:type="dxa" w:w="2664"/>
            <w:shd w:fill="1F4E79"/>
          </w:tcPr>
          <w:p>
            <w:r>
              <w:rPr>
                <w:b/>
                <w:color w:val="FFFFFF"/>
              </w:rPr>
              <w:t>Purpose / Boundary</w:t>
            </w:r>
          </w:p>
        </w:tc>
        <w:tc>
          <w:tcPr>
            <w:tcW w:type="dxa" w:w="2664"/>
            <w:shd w:fill="1F4E79"/>
          </w:tcPr>
          <w:p>
            <w:r>
              <w:rPr>
                <w:b/>
                <w:color w:val="FFFFFF"/>
              </w:rPr>
              <w:t>Future Interface</w:t>
            </w:r>
          </w:p>
        </w:tc>
      </w:tr>
      <w:tr>
        <w:tc>
          <w:tcPr>
            <w:tcW w:type="dxa" w:w="2664"/>
            <w:shd w:fill="D9EAF7"/>
          </w:tcPr>
          <w:p>
            <w:r>
              <w:t>Hospital / EMR / EHR / Laboratory API</w:t>
            </w:r>
          </w:p>
        </w:tc>
        <w:tc>
          <w:tcPr>
            <w:tcW w:type="dxa" w:w="2664"/>
          </w:tcPr>
          <w:p>
            <w:r>
              <w:t>Future</w:t>
            </w:r>
          </w:p>
        </w:tc>
        <w:tc>
          <w:tcPr>
            <w:tcW w:type="dxa" w:w="2664"/>
          </w:tcPr>
          <w:p>
            <w:r>
              <w:t>Authorized exchange of service or diagnostic workflow information.</w:t>
            </w:r>
          </w:p>
        </w:tc>
        <w:tc>
          <w:tcPr>
            <w:tcW w:type="dxa" w:w="2664"/>
          </w:tcPr>
          <w:p>
            <w:r>
              <w:t>External healthcare-system API</w:t>
            </w:r>
          </w:p>
        </w:tc>
      </w:tr>
      <w:tr>
        <w:tc>
          <w:tcPr>
            <w:tcW w:type="dxa" w:w="2664"/>
            <w:shd w:fill="D9EAF7"/>
          </w:tcPr>
          <w:p>
            <w:r>
              <w:t>SMS / WhatsApp</w:t>
            </w:r>
          </w:p>
        </w:tc>
        <w:tc>
          <w:tcPr>
            <w:tcW w:type="dxa" w:w="2664"/>
          </w:tcPr>
          <w:p>
            <w:r>
              <w:t>Future</w:t>
            </w:r>
          </w:p>
        </w:tc>
        <w:tc>
          <w:tcPr>
            <w:tcW w:type="dxa" w:w="2664"/>
          </w:tcPr>
          <w:p>
            <w:r>
              <w:t>External request/status messaging.</w:t>
            </w:r>
          </w:p>
        </w:tc>
        <w:tc>
          <w:tcPr>
            <w:tcW w:type="dxa" w:w="2664"/>
          </w:tcPr>
          <w:p>
            <w:r>
              <w:t>Approved messaging provider / WhatsApp Business API</w:t>
            </w:r>
          </w:p>
        </w:tc>
      </w:tr>
      <w:tr>
        <w:tc>
          <w:tcPr>
            <w:tcW w:type="dxa" w:w="2664"/>
            <w:shd w:fill="D9EAF7"/>
          </w:tcPr>
          <w:p>
            <w:r>
              <w:t>Advanced analytics</w:t>
            </w:r>
          </w:p>
        </w:tc>
        <w:tc>
          <w:tcPr>
            <w:tcW w:type="dxa" w:w="2664"/>
          </w:tcPr>
          <w:p>
            <w:r>
              <w:t>Future</w:t>
            </w:r>
          </w:p>
        </w:tc>
        <w:tc>
          <w:tcPr>
            <w:tcW w:type="dxa" w:w="2664"/>
          </w:tcPr>
          <w:p>
            <w:r>
              <w:t>Reporting and operational analytics.</w:t>
            </w:r>
          </w:p>
        </w:tc>
        <w:tc>
          <w:tcPr>
            <w:tcW w:type="dxa" w:w="2664"/>
          </w:tcPr>
          <w:p>
            <w:r>
              <w:t>Analytics / BI platform</w:t>
            </w:r>
          </w:p>
        </w:tc>
      </w:tr>
      <w:tr>
        <w:tc>
          <w:tcPr>
            <w:tcW w:type="dxa" w:w="2664"/>
            <w:shd w:fill="D9EAF7"/>
          </w:tcPr>
          <w:p>
            <w:r>
              <w:t>AI-assisted service classification</w:t>
            </w:r>
          </w:p>
        </w:tc>
        <w:tc>
          <w:tcPr>
            <w:tcW w:type="dxa" w:w="2664"/>
          </w:tcPr>
          <w:p>
            <w:r>
              <w:t>Future</w:t>
            </w:r>
          </w:p>
        </w:tc>
        <w:tc>
          <w:tcPr>
            <w:tcW w:type="dxa" w:w="2664"/>
          </w:tcPr>
          <w:p>
            <w:r>
              <w:t>Request classification or priority support subject to governance.</w:t>
            </w:r>
          </w:p>
        </w:tc>
        <w:tc>
          <w:tcPr>
            <w:tcW w:type="dxa" w:w="2664"/>
          </w:tcPr>
          <w:p>
            <w:r>
              <w:t>Validated AI/ML service</w:t>
            </w:r>
          </w:p>
        </w:tc>
      </w:tr>
    </w:tbl>
    <w:p>
      <w:r>
        <w:rPr>
          <w:rFonts w:ascii="Times New Roman" w:hAnsi="Times New Roman"/>
          <w:b/>
          <w:color w:val="1F4E79"/>
          <w:sz w:val="26"/>
        </w:rPr>
        <w:t>8. Authentication &amp; Authorization</w:t>
      </w:r>
    </w:p>
    <w:p>
      <w:r>
        <w:t>Authentication is provided by the ServiceNow instance. Authorization is implemented through roles and Access Control Lists (ACLs). Requesters use the Service Catalog experience, while authorized reviewers, operational users and administrators access records according to configured permissions.</w:t>
      </w:r>
    </w:p>
    <w:p>
      <w:r>
        <w:t>• Requester: submit a healthcare/diagnostic service request and view permitted request/RITM information.</w:t>
      </w:r>
    </w:p>
    <w:p>
      <w:r>
        <w:t>• Authorized reviewer/approver: access information required for the configured appointment/review/approval process.</w:t>
      </w:r>
    </w:p>
    <w:p>
      <w:r>
        <w:t>• Diagnostic/service user: access the operational record required for authorized fulfilment.</w:t>
      </w:r>
    </w:p>
    <w:p>
      <w:r>
        <w:t>• Administrator: configure catalog, flow, data model, notifications, roles and ACLs.</w:t>
      </w:r>
    </w:p>
    <w:p>
      <w:r>
        <w:t>• ACL rules: restrict create, read, write and delete access on configured operational records according to role and record context.</w:t>
      </w:r>
    </w:p>
    <w:p>
      <w:r>
        <w:rPr>
          <w:rFonts w:ascii="Times New Roman" w:hAnsi="Times New Roman"/>
          <w:b/>
          <w:color w:val="1F4E79"/>
          <w:sz w:val="26"/>
        </w:rPr>
        <w:t>9. User Interface</w:t>
      </w:r>
    </w:p>
    <w:p>
      <w:r>
        <w:t>The primary user interface is the ServiceNow Service Portal catalog experience. The healthcare/diagnostic service form captures patient/requester and service details, applies configured dynamic field behaviour, submits the request, and provides request tracking through REQ/RITM records. The current implementation uses the following configured request fields:</w:t>
      </w:r>
    </w:p>
    <w:p>
      <w:r>
        <w:t>• Opened for / Requested For</w:t>
      </w:r>
    </w:p>
    <w:p>
      <w:r>
        <w:t>• Patient or Requester Name</w:t>
      </w:r>
    </w:p>
    <w:p>
      <w:r>
        <w:t>• Email / Contact</w:t>
      </w:r>
    </w:p>
    <w:p>
      <w:r>
        <w:t>• Phone / Mobile Number</w:t>
      </w:r>
    </w:p>
    <w:p>
      <w:r>
        <w:rPr>
          <w:rFonts w:ascii="Times New Roman" w:hAnsi="Times New Roman"/>
          <w:sz w:val="18"/>
        </w:rPr>
        <w:t>• Diagnostic Test</w:t>
      </w:r>
    </w:p>
    <w:p>
      <w:r>
        <w:rPr>
          <w:rFonts w:ascii="Times New Roman" w:hAnsi="Times New Roman"/>
          <w:sz w:val="18"/>
        </w:rPr>
        <w:t>• Schedule / Appointment Date-Time</w:t>
      </w:r>
    </w:p>
    <w:p>
      <w:r>
        <w:rPr>
          <w:rFonts w:ascii="Times New Roman" w:hAnsi="Times New Roman"/>
          <w:sz w:val="18"/>
        </w:rPr>
        <w:t>• Payment / Booking Reference (when applicable)</w:t>
      </w:r>
    </w:p>
    <w:p>
      <w:r>
        <w:t>• Address / Service Location</w:t>
      </w:r>
    </w:p>
    <w:p>
      <w:r>
        <w:rPr>
          <w:rFonts w:ascii="Times New Roman" w:hAnsi="Times New Roman"/>
          <w:sz w:val="18"/>
        </w:rPr>
        <w:t>• Additional Patient / Test Details</w:t>
      </w:r>
    </w:p>
    <w:p>
      <w:r>
        <w:t>• Request Number</w:t>
      </w:r>
    </w:p>
    <w:p>
      <w:r>
        <w:rPr>
          <w:rFonts w:ascii="Times New Roman" w:hAnsi="Times New Roman"/>
          <w:b/>
          <w:color w:val="1F4E79"/>
          <w:sz w:val="26"/>
        </w:rPr>
        <w:t>10. Testing</w:t>
      </w:r>
    </w:p>
    <w:tbl>
      <w:tblPr>
        <w:tblStyle w:val="TableGrid"/>
        <w:tblW w:type="auto" w:w="0"/>
        <w:tblLook w:firstColumn="1" w:firstRow="1" w:lastColumn="0" w:lastRow="0" w:noHBand="0" w:noVBand="1" w:val="04A0"/>
      </w:tblPr>
      <w:tblGrid>
        <w:gridCol w:w="3552"/>
        <w:gridCol w:w="3552"/>
        <w:gridCol w:w="3552"/>
      </w:tblGrid>
      <w:tr>
        <w:tc>
          <w:tcPr>
            <w:tcW w:type="dxa" w:w="3552"/>
            <w:shd w:fill="1F4E79"/>
          </w:tcPr>
          <w:p>
            <w:r>
              <w:rPr>
                <w:rFonts w:ascii="Times New Roman" w:hAnsi="Times New Roman"/>
                <w:b/>
                <w:sz w:val="16"/>
              </w:rPr>
              <w:t>Test Area</w:t>
            </w:r>
          </w:p>
        </w:tc>
        <w:tc>
          <w:tcPr>
            <w:tcW w:type="dxa" w:w="3552"/>
            <w:shd w:fill="1F4E79"/>
          </w:tcPr>
          <w:p>
            <w:r>
              <w:rPr>
                <w:rFonts w:ascii="Times New Roman" w:hAnsi="Times New Roman"/>
                <w:b/>
                <w:sz w:val="16"/>
              </w:rPr>
              <w:t>Coverage</w:t>
            </w:r>
          </w:p>
        </w:tc>
        <w:tc>
          <w:tcPr>
            <w:tcW w:type="dxa" w:w="3552"/>
            <w:shd w:fill="1F4E79"/>
          </w:tcPr>
          <w:p>
            <w:r>
              <w:rPr>
                <w:rFonts w:ascii="Times New Roman" w:hAnsi="Times New Roman"/>
                <w:b/>
                <w:sz w:val="16"/>
              </w:rPr>
              <w:t>Status</w:t>
            </w:r>
          </w:p>
        </w:tc>
      </w:tr>
      <w:tr>
        <w:tc>
          <w:tcPr>
            <w:tcW w:type="dxa" w:w="3552"/>
          </w:tcPr>
          <w:p>
            <w:r>
              <w:rPr>
                <w:rFonts w:ascii="Times New Roman" w:hAnsi="Times New Roman"/>
                <w:b w:val="0"/>
                <w:sz w:val="16"/>
              </w:rPr>
              <w:t>Medical Test Catalog</w:t>
            </w:r>
          </w:p>
        </w:tc>
        <w:tc>
          <w:tcPr>
            <w:tcW w:type="dxa" w:w="3552"/>
          </w:tcPr>
          <w:p>
            <w:r>
              <w:rPr>
                <w:rFonts w:ascii="Times New Roman" w:hAnsi="Times New Roman"/>
                <w:b w:val="0"/>
                <w:sz w:val="16"/>
              </w:rPr>
              <w:t>Diagnostic-test discovery and selection</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Booking / Patient Details</w:t>
            </w:r>
          </w:p>
        </w:tc>
        <w:tc>
          <w:tcPr>
            <w:tcW w:type="dxa" w:w="3552"/>
          </w:tcPr>
          <w:p>
            <w:r>
              <w:rPr>
                <w:rFonts w:ascii="Times New Roman" w:hAnsi="Times New Roman"/>
                <w:b w:val="0"/>
                <w:sz w:val="16"/>
              </w:rPr>
              <w:t>Book Now and required patient-detail capture</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Schedule / Payment</w:t>
            </w:r>
          </w:p>
        </w:tc>
        <w:tc>
          <w:tcPr>
            <w:tcW w:type="dxa" w:w="3552"/>
          </w:tcPr>
          <w:p>
            <w:r>
              <w:rPr>
                <w:rFonts w:ascii="Times New Roman" w:hAnsi="Times New Roman"/>
                <w:b w:val="0"/>
                <w:sz w:val="16"/>
              </w:rPr>
              <w:t>Schedule and configured Payment → Done path</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Appointment</w:t>
            </w:r>
          </w:p>
        </w:tc>
        <w:tc>
          <w:tcPr>
            <w:tcW w:type="dxa" w:w="3552"/>
          </w:tcPr>
          <w:p>
            <w:r>
              <w:rPr>
                <w:rFonts w:ascii="Times New Roman" w:hAnsi="Times New Roman"/>
                <w:b w:val="0"/>
                <w:sz w:val="16"/>
              </w:rPr>
              <w:t>Appointment creation, mapping and lifecycle</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My Appointments</w:t>
            </w:r>
          </w:p>
        </w:tc>
        <w:tc>
          <w:tcPr>
            <w:tcW w:type="dxa" w:w="3552"/>
          </w:tcPr>
          <w:p>
            <w:r>
              <w:rPr>
                <w:rFonts w:ascii="Times New Roman" w:hAnsi="Times New Roman"/>
                <w:b w:val="0"/>
                <w:sz w:val="16"/>
              </w:rPr>
              <w:t>Patient-facing appointment visibility</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Appointment Completed</w:t>
            </w:r>
          </w:p>
        </w:tc>
        <w:tc>
          <w:tcPr>
            <w:tcW w:type="dxa" w:w="3552"/>
          </w:tcPr>
          <w:p>
            <w:r>
              <w:rPr>
                <w:rFonts w:ascii="Times New Roman" w:hAnsi="Times New Roman"/>
                <w:b w:val="0"/>
                <w:sz w:val="16"/>
              </w:rPr>
              <w:t>Completion event and lifecycle transition</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Report Creation</w:t>
            </w:r>
          </w:p>
        </w:tc>
        <w:tc>
          <w:tcPr>
            <w:tcW w:type="dxa" w:w="3552"/>
          </w:tcPr>
          <w:p>
            <w:r>
              <w:rPr>
                <w:rFonts w:ascii="Times New Roman" w:hAnsi="Times New Roman"/>
                <w:b w:val="0"/>
                <w:sz w:val="16"/>
              </w:rPr>
              <w:t>Automatic Report creation after completion</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My Lab Reports</w:t>
            </w:r>
          </w:p>
        </w:tc>
        <w:tc>
          <w:tcPr>
            <w:tcW w:type="dxa" w:w="3552"/>
          </w:tcPr>
          <w:p>
            <w:r>
              <w:rPr>
                <w:rFonts w:ascii="Times New Roman" w:hAnsi="Times New Roman"/>
                <w:b w:val="0"/>
                <w:sz w:val="16"/>
              </w:rPr>
              <w:t>Patient-facing report visibility</w:t>
            </w:r>
          </w:p>
        </w:tc>
        <w:tc>
          <w:tcPr>
            <w:tcW w:type="dxa" w:w="3552"/>
            <w:shd w:fill="E2F0D9"/>
          </w:tcPr>
          <w:p>
            <w:r>
              <w:rPr>
                <w:rFonts w:ascii="Times New Roman" w:hAnsi="Times New Roman"/>
                <w:b w:val="0"/>
                <w:sz w:val="16"/>
              </w:rPr>
              <w:t>Pass</w:t>
            </w:r>
          </w:p>
        </w:tc>
      </w:tr>
      <w:tr>
        <w:tc>
          <w:tcPr>
            <w:tcW w:type="dxa" w:w="3552"/>
          </w:tcPr>
          <w:p>
            <w:r>
              <w:rPr>
                <w:rFonts w:ascii="Times New Roman" w:hAnsi="Times New Roman"/>
                <w:b w:val="0"/>
                <w:sz w:val="16"/>
              </w:rPr>
              <w:t>Security</w:t>
            </w:r>
          </w:p>
        </w:tc>
        <w:tc>
          <w:tcPr>
            <w:tcW w:type="dxa" w:w="3552"/>
          </w:tcPr>
          <w:p>
            <w:r>
              <w:rPr>
                <w:rFonts w:ascii="Times New Roman" w:hAnsi="Times New Roman"/>
                <w:b w:val="0"/>
                <w:sz w:val="16"/>
              </w:rPr>
              <w:t>Roles and Create/Write/Read/Delete ACLs</w:t>
            </w:r>
          </w:p>
        </w:tc>
        <w:tc>
          <w:tcPr>
            <w:tcW w:type="dxa" w:w="3552"/>
          </w:tcPr>
          <w:p>
            <w:r>
              <w:rPr>
                <w:rFonts w:ascii="Times New Roman" w:hAnsi="Times New Roman"/>
                <w:b w:val="0"/>
                <w:sz w:val="16"/>
              </w:rPr>
              <w:t>Pass</w:t>
            </w:r>
          </w:p>
        </w:tc>
      </w:tr>
      <w:tr>
        <w:tc>
          <w:tcPr>
            <w:tcW w:type="dxa" w:w="3552"/>
          </w:tcPr>
          <w:p>
            <w:r>
              <w:rPr>
                <w:rFonts w:ascii="Times New Roman" w:hAnsi="Times New Roman"/>
                <w:b w:val="0"/>
                <w:sz w:val="16"/>
              </w:rPr>
              <w:t>UAT</w:t>
            </w:r>
          </w:p>
        </w:tc>
        <w:tc>
          <w:tcPr>
            <w:tcW w:type="dxa" w:w="3552"/>
          </w:tcPr>
          <w:p>
            <w:r>
              <w:rPr>
                <w:rFonts w:ascii="Times New Roman" w:hAnsi="Times New Roman"/>
                <w:b w:val="0"/>
                <w:sz w:val="16"/>
              </w:rPr>
              <w:t>End-to-end booking-to-report journey</w:t>
            </w:r>
          </w:p>
        </w:tc>
        <w:tc>
          <w:tcPr>
            <w:tcW w:type="dxa" w:w="3552"/>
          </w:tcPr>
          <w:p>
            <w:r>
              <w:rPr>
                <w:rFonts w:ascii="Times New Roman" w:hAnsi="Times New Roman"/>
                <w:b w:val="0"/>
                <w:sz w:val="16"/>
              </w:rPr>
              <w:t>Pass</w:t>
            </w:r>
          </w:p>
        </w:tc>
      </w:tr>
    </w:tbl>
    <w:p>
      <w:r>
        <w:rPr>
          <w:rFonts w:ascii="Times New Roman" w:hAnsi="Times New Roman"/>
          <w:b/>
          <w:color w:val="1F4E79"/>
          <w:sz w:val="26"/>
        </w:rPr>
        <w:t>11. Screenshots or Demo</w:t>
      </w:r>
    </w:p>
    <w:p>
      <w:r>
        <w:rPr>
          <w:rFonts w:ascii="Times New Roman" w:hAnsi="Times New Roman"/>
          <w:sz w:val="18"/>
        </w:rPr>
        <w:t>A final demonstration should show: Medical Test Catalog → Select Diagnostic Test → Book Now → Patient Details → Schedule → Payment → Done → Appointment → My Appointments → Appointment Completed → Auto Create Report → Report → My Lab Reports.</w:t>
      </w:r>
    </w:p>
    <w:p>
      <w:r>
        <w:t>Project demo link: Not supplied in the documentation set. Insert the final demo video/deployed link before submission if required.</w:t>
      </w:r>
    </w:p>
    <w:p>
      <w:r>
        <w:rPr>
          <w:rFonts w:ascii="Times New Roman" w:hAnsi="Times New Roman"/>
          <w:b/>
          <w:color w:val="1F4E79"/>
          <w:sz w:val="26"/>
        </w:rPr>
        <w:t>12. Known Issues</w:t>
      </w:r>
    </w:p>
    <w:tbl>
      <w:tblPr>
        <w:tblStyle w:val="TableGrid"/>
        <w:tblW w:type="auto" w:w="0"/>
        <w:tblLook w:firstColumn="1" w:firstRow="1" w:lastColumn="0" w:lastRow="0" w:noHBand="0" w:noVBand="1" w:val="04A0"/>
      </w:tblPr>
      <w:tblGrid>
        <w:gridCol w:w="3552"/>
        <w:gridCol w:w="3552"/>
        <w:gridCol w:w="3552"/>
      </w:tblGrid>
      <w:tr>
        <w:tc>
          <w:tcPr>
            <w:tcW w:type="dxa" w:w="3552"/>
            <w:shd w:fill="1F4E79"/>
          </w:tcPr>
          <w:p>
            <w:r>
              <w:rPr>
                <w:rFonts w:ascii="Times New Roman" w:hAnsi="Times New Roman"/>
                <w:b/>
                <w:sz w:val="16"/>
              </w:rPr>
              <w:t>Issue / Limitation</w:t>
            </w:r>
          </w:p>
        </w:tc>
        <w:tc>
          <w:tcPr>
            <w:tcW w:type="dxa" w:w="3552"/>
            <w:shd w:fill="1F4E79"/>
          </w:tcPr>
          <w:p>
            <w:r>
              <w:rPr>
                <w:rFonts w:ascii="Times New Roman" w:hAnsi="Times New Roman"/>
                <w:b/>
                <w:sz w:val="16"/>
              </w:rPr>
              <w:t>Status</w:t>
            </w:r>
          </w:p>
        </w:tc>
        <w:tc>
          <w:tcPr>
            <w:tcW w:type="dxa" w:w="3552"/>
            <w:shd w:fill="1F4E79"/>
          </w:tcPr>
          <w:p>
            <w:r>
              <w:rPr>
                <w:rFonts w:ascii="Times New Roman" w:hAnsi="Times New Roman"/>
                <w:b/>
                <w:sz w:val="16"/>
              </w:rPr>
              <w:t>Resolution / Note</w:t>
            </w:r>
          </w:p>
        </w:tc>
      </w:tr>
      <w:tr>
        <w:tc>
          <w:tcPr>
            <w:tcW w:type="dxa" w:w="3552"/>
          </w:tcPr>
          <w:p>
            <w:r>
              <w:rPr>
                <w:rFonts w:ascii="Times New Roman" w:hAnsi="Times New Roman"/>
                <w:b w:val="0"/>
                <w:sz w:val="16"/>
              </w:rPr>
              <w:t>Appointment configuration and visibility</w:t>
            </w:r>
          </w:p>
        </w:tc>
        <w:tc>
          <w:tcPr>
            <w:tcW w:type="dxa" w:w="3552"/>
            <w:shd w:fill="D9EAF7"/>
          </w:tcPr>
          <w:p>
            <w:r>
              <w:rPr>
                <w:rFonts w:ascii="Times New Roman" w:hAnsi="Times New Roman"/>
                <w:b w:val="0"/>
                <w:sz w:val="16"/>
              </w:rPr>
              <w:t>Resolved</w:t>
            </w:r>
          </w:p>
        </w:tc>
        <w:tc>
          <w:tcPr>
            <w:tcW w:type="dxa" w:w="3552"/>
          </w:tcPr>
          <w:p>
            <w:r>
              <w:rPr>
                <w:rFonts w:ascii="Times New Roman" w:hAnsi="Times New Roman"/>
                <w:b w:val="0"/>
                <w:sz w:val="16"/>
              </w:rPr>
              <w:t>Validated Appointment creation, lifecycle and My Appointments visibility.</w:t>
            </w:r>
          </w:p>
        </w:tc>
      </w:tr>
      <w:tr>
        <w:tc>
          <w:tcPr>
            <w:tcW w:type="dxa" w:w="3552"/>
          </w:tcPr>
          <w:p>
            <w:r>
              <w:rPr>
                <w:rFonts w:ascii="Times New Roman" w:hAnsi="Times New Roman"/>
                <w:b w:val="0"/>
                <w:sz w:val="16"/>
              </w:rPr>
              <w:t>Patient/test/schedule data mapping</w:t>
            </w:r>
          </w:p>
        </w:tc>
        <w:tc>
          <w:tcPr>
            <w:tcW w:type="dxa" w:w="3552"/>
            <w:shd w:fill="D9EAF7"/>
          </w:tcPr>
          <w:p>
            <w:r>
              <w:rPr>
                <w:rFonts w:ascii="Times New Roman" w:hAnsi="Times New Roman"/>
                <w:b w:val="0"/>
                <w:sz w:val="16"/>
              </w:rPr>
              <w:t>Resolved</w:t>
            </w:r>
          </w:p>
        </w:tc>
        <w:tc>
          <w:tcPr>
            <w:tcW w:type="dxa" w:w="3552"/>
          </w:tcPr>
          <w:p>
            <w:r>
              <w:rPr>
                <w:rFonts w:ascii="Times New Roman" w:hAnsi="Times New Roman"/>
                <w:b w:val="0"/>
                <w:sz w:val="16"/>
              </w:rPr>
              <w:t>Verified data transfer into the configured Appointment record.</w:t>
            </w:r>
          </w:p>
        </w:tc>
      </w:tr>
      <w:tr>
        <w:tc>
          <w:tcPr>
            <w:tcW w:type="dxa" w:w="3552"/>
          </w:tcPr>
          <w:p>
            <w:r>
              <w:rPr>
                <w:rFonts w:ascii="Times New Roman" w:hAnsi="Times New Roman"/>
                <w:b w:val="0"/>
                <w:sz w:val="16"/>
              </w:rPr>
              <w:t>Appointment completion → Report automation</w:t>
            </w:r>
          </w:p>
        </w:tc>
        <w:tc>
          <w:tcPr>
            <w:tcW w:type="dxa" w:w="3552"/>
            <w:shd w:fill="D9EAF7"/>
          </w:tcPr>
          <w:p>
            <w:r>
              <w:rPr>
                <w:rFonts w:ascii="Times New Roman" w:hAnsi="Times New Roman"/>
                <w:b w:val="0"/>
                <w:sz w:val="16"/>
              </w:rPr>
              <w:t>Resolved</w:t>
            </w:r>
          </w:p>
        </w:tc>
        <w:tc>
          <w:tcPr>
            <w:tcW w:type="dxa" w:w="3552"/>
          </w:tcPr>
          <w:p>
            <w:r>
              <w:rPr>
                <w:rFonts w:ascii="Times New Roman" w:hAnsi="Times New Roman"/>
                <w:b w:val="0"/>
                <w:sz w:val="16"/>
              </w:rPr>
              <w:t>Validated the configured completion trigger and automatic Report creation.</w:t>
            </w:r>
          </w:p>
        </w:tc>
      </w:tr>
      <w:tr>
        <w:tc>
          <w:tcPr>
            <w:tcW w:type="dxa" w:w="3552"/>
          </w:tcPr>
          <w:p>
            <w:r>
              <w:rPr>
                <w:rFonts w:ascii="Times New Roman" w:hAnsi="Times New Roman"/>
                <w:b w:val="0"/>
                <w:sz w:val="16"/>
              </w:rPr>
              <w:t>Report / My Lab Reports visibility</w:t>
            </w:r>
          </w:p>
        </w:tc>
        <w:tc>
          <w:tcPr>
            <w:tcW w:type="dxa" w:w="3552"/>
            <w:shd w:fill="D9EAF7"/>
          </w:tcPr>
          <w:p>
            <w:r>
              <w:rPr>
                <w:rFonts w:ascii="Times New Roman" w:hAnsi="Times New Roman"/>
                <w:b w:val="0"/>
                <w:sz w:val="16"/>
              </w:rPr>
              <w:t>Resolved</w:t>
            </w:r>
          </w:p>
        </w:tc>
        <w:tc>
          <w:tcPr>
            <w:tcW w:type="dxa" w:w="3552"/>
          </w:tcPr>
          <w:p>
            <w:r>
              <w:rPr>
                <w:rFonts w:ascii="Times New Roman" w:hAnsi="Times New Roman"/>
                <w:b w:val="0"/>
                <w:sz w:val="16"/>
              </w:rPr>
              <w:t>Validated configured report relationship and patient-facing report access.</w:t>
            </w:r>
          </w:p>
        </w:tc>
      </w:tr>
      <w:tr>
        <w:tc>
          <w:tcPr>
            <w:tcW w:type="dxa" w:w="3552"/>
          </w:tcPr>
          <w:p>
            <w:r>
              <w:rPr>
                <w:rFonts w:ascii="Times New Roman" w:hAnsi="Times New Roman"/>
                <w:b w:val="0"/>
                <w:sz w:val="16"/>
              </w:rPr>
              <w:t>UI visibility behaviour</w:t>
            </w:r>
          </w:p>
        </w:tc>
        <w:tc>
          <w:tcPr>
            <w:tcW w:type="dxa" w:w="3552"/>
            <w:shd w:fill="D9EAF7"/>
          </w:tcPr>
          <w:p>
            <w:r>
              <w:rPr>
                <w:rFonts w:ascii="Times New Roman" w:hAnsi="Times New Roman"/>
                <w:b w:val="0"/>
                <w:sz w:val="16"/>
              </w:rPr>
              <w:t>Resolved</w:t>
            </w:r>
          </w:p>
        </w:tc>
        <w:tc>
          <w:tcPr>
            <w:tcW w:type="dxa" w:w="3552"/>
          </w:tcPr>
          <w:p>
            <w:r>
              <w:rPr>
                <w:rFonts w:ascii="Times New Roman" w:hAnsi="Times New Roman"/>
                <w:b w:val="0"/>
                <w:sz w:val="16"/>
              </w:rPr>
              <w:t>Validated catalog/form behaviour.</w:t>
            </w:r>
          </w:p>
        </w:tc>
      </w:tr>
      <w:tr>
        <w:tc>
          <w:tcPr>
            <w:tcW w:type="dxa" w:w="3552"/>
          </w:tcPr>
          <w:p>
            <w:r>
              <w:rPr>
                <w:rFonts w:ascii="Times New Roman" w:hAnsi="Times New Roman"/>
                <w:b w:val="0"/>
                <w:sz w:val="16"/>
              </w:rPr>
              <w:t>Production load benchmark</w:t>
            </w:r>
          </w:p>
        </w:tc>
        <w:tc>
          <w:tcPr>
            <w:tcW w:type="dxa" w:w="3552"/>
            <w:shd w:fill="D9EAF7"/>
          </w:tcPr>
          <w:p>
            <w:r>
              <w:rPr>
                <w:rFonts w:ascii="Times New Roman" w:hAnsi="Times New Roman"/>
                <w:b w:val="0"/>
                <w:sz w:val="16"/>
              </w:rPr>
              <w:t>Not measured</w:t>
            </w:r>
          </w:p>
        </w:tc>
        <w:tc>
          <w:tcPr>
            <w:tcW w:type="dxa" w:w="3552"/>
          </w:tcPr>
          <w:p>
            <w:r>
              <w:rPr>
                <w:rFonts w:ascii="Times New Roman" w:hAnsi="Times New Roman"/>
                <w:b w:val="0"/>
                <w:sz w:val="16"/>
              </w:rPr>
              <w:t>No exact production-scale performance benchmark was supplied.</w:t>
            </w:r>
          </w:p>
        </w:tc>
      </w:tr>
      <w:tr>
        <w:tc>
          <w:tcPr>
            <w:tcW w:type="dxa" w:w="3552"/>
          </w:tcPr>
          <w:p>
            <w:r>
              <w:rPr>
                <w:rFonts w:ascii="Times New Roman" w:hAnsi="Times New Roman"/>
                <w:b w:val="0"/>
                <w:sz w:val="16"/>
              </w:rPr>
              <w:t>External healthcare-system/API integration</w:t>
            </w:r>
          </w:p>
        </w:tc>
        <w:tc>
          <w:tcPr>
            <w:tcW w:type="dxa" w:w="3552"/>
            <w:shd w:fill="D9EAF7"/>
          </w:tcPr>
          <w:p>
            <w:r>
              <w:rPr>
                <w:rFonts w:ascii="Times New Roman" w:hAnsi="Times New Roman"/>
                <w:b w:val="0"/>
                <w:sz w:val="16"/>
              </w:rPr>
              <w:t>Not implemented</w:t>
            </w:r>
          </w:p>
        </w:tc>
        <w:tc>
          <w:tcPr>
            <w:tcW w:type="dxa" w:w="3552"/>
          </w:tcPr>
          <w:p>
            <w:r>
              <w:rPr>
                <w:rFonts w:ascii="Times New Roman" w:hAnsi="Times New Roman"/>
                <w:b w:val="0"/>
                <w:sz w:val="16"/>
              </w:rPr>
              <w:t>Future scope.</w:t>
            </w:r>
          </w:p>
        </w:tc>
      </w:tr>
      <w:tr>
        <w:tc>
          <w:tcPr>
            <w:tcW w:type="dxa" w:w="3552"/>
          </w:tcPr>
          <w:p>
            <w:r>
              <w:rPr>
                <w:rFonts w:ascii="Times New Roman" w:hAnsi="Times New Roman"/>
                <w:b w:val="0"/>
                <w:sz w:val="16"/>
              </w:rPr>
              <w:t>Advanced analytics / BI</w:t>
            </w:r>
          </w:p>
        </w:tc>
        <w:tc>
          <w:tcPr>
            <w:tcW w:type="dxa" w:w="3552"/>
            <w:shd w:fill="D9EAF7"/>
          </w:tcPr>
          <w:p>
            <w:r>
              <w:rPr>
                <w:rFonts w:ascii="Times New Roman" w:hAnsi="Times New Roman"/>
                <w:b w:val="0"/>
                <w:sz w:val="16"/>
              </w:rPr>
              <w:t>Not implemented</w:t>
            </w:r>
          </w:p>
        </w:tc>
        <w:tc>
          <w:tcPr>
            <w:tcW w:type="dxa" w:w="3552"/>
          </w:tcPr>
          <w:p>
            <w:r>
              <w:rPr>
                <w:rFonts w:ascii="Times New Roman" w:hAnsi="Times New Roman"/>
                <w:b w:val="0"/>
                <w:sz w:val="16"/>
              </w:rPr>
              <w:t>Future scope.</w:t>
            </w:r>
          </w:p>
        </w:tc>
      </w:tr>
      <w:tr>
        <w:tc>
          <w:tcPr>
            <w:tcW w:type="dxa" w:w="3552"/>
          </w:tcPr>
          <w:p>
            <w:r>
              <w:rPr>
                <w:rFonts w:ascii="Times New Roman" w:hAnsi="Times New Roman"/>
                <w:b w:val="0"/>
                <w:sz w:val="16"/>
              </w:rPr>
              <w:t>External messaging channels</w:t>
            </w:r>
          </w:p>
        </w:tc>
        <w:tc>
          <w:tcPr>
            <w:tcW w:type="dxa" w:w="3552"/>
          </w:tcPr>
          <w:p>
            <w:r>
              <w:rPr>
                <w:rFonts w:ascii="Times New Roman" w:hAnsi="Times New Roman"/>
                <w:b w:val="0"/>
                <w:sz w:val="16"/>
              </w:rPr>
              <w:t>Not implemented</w:t>
            </w:r>
          </w:p>
        </w:tc>
        <w:tc>
          <w:tcPr>
            <w:tcW w:type="dxa" w:w="3552"/>
          </w:tcPr>
          <w:p>
            <w:r>
              <w:rPr>
                <w:rFonts w:ascii="Times New Roman" w:hAnsi="Times New Roman"/>
                <w:b w:val="0"/>
                <w:sz w:val="16"/>
              </w:rPr>
              <w:t>Future scope.</w:t>
            </w:r>
          </w:p>
        </w:tc>
      </w:tr>
    </w:tbl>
    <w:p>
      <w:r>
        <w:rPr>
          <w:rFonts w:ascii="Times New Roman" w:hAnsi="Times New Roman"/>
          <w:b/>
          <w:color w:val="1F4E79"/>
          <w:sz w:val="26"/>
        </w:rPr>
        <w:t>13. Future Enhancements</w:t>
      </w:r>
    </w:p>
    <w:p>
      <w:r>
        <w:t>• Authorized integration with hospital, EMR/EHR or laboratory systems.</w:t>
      </w:r>
    </w:p>
    <w:p>
      <w:r>
        <w:rPr>
          <w:rFonts w:ascii="Times New Roman" w:hAnsi="Times New Roman"/>
          <w:sz w:val="18"/>
        </w:rPr>
        <w:t>• Automated diagnostic/service fulfilment task creation, assignment and closure after appointment booking.</w:t>
      </w:r>
    </w:p>
    <w:p>
      <w:r>
        <w:rPr>
          <w:rFonts w:ascii="Times New Roman" w:hAnsi="Times New Roman"/>
          <w:sz w:val="18"/>
        </w:rPr>
        <w:t>• Multi-level approval chains and policy-driven appointment routing where required.</w:t>
      </w:r>
    </w:p>
    <w:p>
      <w:r>
        <w:t>• SLA, escalation and advanced operational dashboards.</w:t>
      </w:r>
    </w:p>
    <w:p>
      <w:r>
        <w:t>• External email/SMS/WhatsApp notification channels where required and approved.</w:t>
      </w:r>
    </w:p>
    <w:p>
      <w:r>
        <w:rPr>
          <w:rFonts w:ascii="Times New Roman" w:hAnsi="Times New Roman"/>
          <w:sz w:val="18"/>
        </w:rPr>
        <w:t>• AI-assisted request classification or anomaly detection with healthcare governance and validation; not autonomous diagnosis or treatment.</w:t>
      </w:r>
    </w:p>
    <w:p>
      <w:r>
        <w:t>• Advanced healthcare-service analytics and reporting.</w:t>
      </w:r>
    </w:p>
    <w:p>
      <w:r>
        <w:t>• Expanded catalog coverage for additional diagnostic and healthcare services.</w:t>
      </w:r>
    </w:p>
    <w:p>
      <w:r>
        <w:rPr>
          <w:rFonts w:ascii="Times New Roman" w:hAnsi="Times New Roman"/>
          <w:b/>
          <w:color w:val="1F4E79"/>
          <w:sz w:val="26"/>
        </w:rPr>
        <w:t>Appendix - Functional Data Mapping</w:t>
      </w:r>
    </w:p>
    <w:tbl>
      <w:tblPr>
        <w:tblStyle w:val="TableGrid"/>
        <w:tblW w:type="auto" w:w="0"/>
        <w:tblLook w:firstColumn="1" w:firstRow="1" w:lastColumn="0" w:lastRow="0" w:noHBand="0" w:noVBand="1" w:val="04A0"/>
      </w:tblPr>
      <w:tblGrid>
        <w:gridCol w:w="2664"/>
        <w:gridCol w:w="2664"/>
        <w:gridCol w:w="2664"/>
        <w:gridCol w:w="2664"/>
      </w:tblGrid>
      <w:tr>
        <w:tc>
          <w:tcPr>
            <w:tcW w:type="dxa" w:w="2664"/>
            <w:shd w:fill="1F4E79"/>
          </w:tcPr>
          <w:p>
            <w:r>
              <w:rPr>
                <w:b/>
                <w:color w:val="FFFFFF"/>
              </w:rPr>
              <w:t>Data Element</w:t>
            </w:r>
          </w:p>
        </w:tc>
        <w:tc>
          <w:tcPr>
            <w:tcW w:type="dxa" w:w="2664"/>
            <w:shd w:fill="1F4E79"/>
          </w:tcPr>
          <w:p>
            <w:r>
              <w:rPr>
                <w:b/>
                <w:color w:val="FFFFFF"/>
              </w:rPr>
              <w:t>Source</w:t>
            </w:r>
          </w:p>
        </w:tc>
        <w:tc>
          <w:tcPr>
            <w:tcW w:type="dxa" w:w="2664"/>
            <w:shd w:fill="1F4E79"/>
          </w:tcPr>
          <w:p>
            <w:r>
              <w:rPr>
                <w:b/>
                <w:color w:val="FFFFFF"/>
              </w:rPr>
              <w:t>Destination</w:t>
            </w:r>
          </w:p>
        </w:tc>
        <w:tc>
          <w:tcPr>
            <w:tcW w:type="dxa" w:w="2664"/>
            <w:shd w:fill="1F4E79"/>
          </w:tcPr>
          <w:p>
            <w:r>
              <w:rPr>
                <w:b/>
                <w:color w:val="FFFFFF"/>
              </w:rPr>
              <w:t>Purpose</w:t>
            </w:r>
          </w:p>
        </w:tc>
      </w:tr>
      <w:tr>
        <w:tc>
          <w:tcPr>
            <w:tcW w:type="dxa" w:w="2664"/>
            <w:shd w:fill="D9EAF7"/>
          </w:tcPr>
          <w:p>
            <w:r>
              <w:t>Patient / Requested For</w:t>
            </w:r>
          </w:p>
        </w:tc>
        <w:tc>
          <w:tcPr>
            <w:tcW w:type="dxa" w:w="2664"/>
          </w:tcPr>
          <w:p>
            <w:r>
              <w:t>Catalog variable</w:t>
            </w:r>
          </w:p>
        </w:tc>
        <w:tc>
          <w:tcPr>
            <w:tcW w:type="dxa" w:w="2664"/>
          </w:tcPr>
          <w:p>
            <w:r>
              <w:t>Operational record → Patient / Requested For</w:t>
            </w:r>
          </w:p>
        </w:tc>
        <w:tc>
          <w:tcPr>
            <w:tcW w:type="dxa" w:w="2664"/>
          </w:tcPr>
          <w:p>
            <w:r>
              <w:t>Identifies the patient or requester for whom the service is requested.</w:t>
            </w:r>
          </w:p>
        </w:tc>
      </w:tr>
      <w:tr>
        <w:tc>
          <w:tcPr>
            <w:tcW w:type="dxa" w:w="2664"/>
            <w:shd w:fill="D9EAF7"/>
          </w:tcPr>
          <w:p>
            <w:r>
              <w:t>Contact / Mobile</w:t>
            </w:r>
          </w:p>
        </w:tc>
        <w:tc>
          <w:tcPr>
            <w:tcW w:type="dxa" w:w="2664"/>
          </w:tcPr>
          <w:p>
            <w:r>
              <w:t>Catalog variable</w:t>
            </w:r>
          </w:p>
        </w:tc>
        <w:tc>
          <w:tcPr>
            <w:tcW w:type="dxa" w:w="2664"/>
          </w:tcPr>
          <w:p>
            <w:r>
              <w:t>Operational record → Contact</w:t>
            </w:r>
          </w:p>
        </w:tc>
        <w:tc>
          <w:tcPr>
            <w:tcW w:type="dxa" w:w="2664"/>
          </w:tcPr>
          <w:p>
            <w:r>
              <w:t>Stores approved requester contact information.</w:t>
            </w:r>
          </w:p>
        </w:tc>
      </w:tr>
      <w:tr>
        <w:tc>
          <w:tcPr>
            <w:tcW w:type="dxa" w:w="2664"/>
            <w:shd w:fill="D9EAF7"/>
          </w:tcPr>
          <w:p>
            <w:r>
              <w:t>Service Type</w:t>
            </w:r>
          </w:p>
        </w:tc>
        <w:tc>
          <w:tcPr>
            <w:tcW w:type="dxa" w:w="2664"/>
          </w:tcPr>
          <w:p>
            <w:r>
              <w:t>Catalog variable</w:t>
            </w:r>
          </w:p>
        </w:tc>
        <w:tc>
          <w:tcPr>
            <w:tcW w:type="dxa" w:w="2664"/>
          </w:tcPr>
          <w:p>
            <w:r>
              <w:t>Operational record → Service Type</w:t>
            </w:r>
          </w:p>
        </w:tc>
        <w:tc>
          <w:tcPr>
            <w:tcW w:type="dxa" w:w="2664"/>
          </w:tcPr>
          <w:p>
            <w:r>
              <w:t>Captures the requested healthcare or diagnostic service.</w:t>
            </w:r>
          </w:p>
        </w:tc>
      </w:tr>
      <w:tr>
        <w:tc>
          <w:tcPr>
            <w:tcW w:type="dxa" w:w="2664"/>
            <w:shd w:fill="D9EAF7"/>
          </w:tcPr>
          <w:p>
            <w:r>
              <w:t>Appointment Preference</w:t>
            </w:r>
          </w:p>
        </w:tc>
        <w:tc>
          <w:tcPr>
            <w:tcW w:type="dxa" w:w="2664"/>
          </w:tcPr>
          <w:p>
            <w:r>
              <w:t>Catalog variable</w:t>
            </w:r>
          </w:p>
        </w:tc>
        <w:tc>
          <w:tcPr>
            <w:tcW w:type="dxa" w:w="2664"/>
          </w:tcPr>
          <w:p>
            <w:r>
              <w:t>Operational record → Appointment Details</w:t>
            </w:r>
          </w:p>
        </w:tc>
        <w:tc>
          <w:tcPr>
            <w:tcW w:type="dxa" w:w="2664"/>
          </w:tcPr>
          <w:p>
            <w:r>
              <w:t>Supports configured appointment workflow.</w:t>
            </w:r>
          </w:p>
        </w:tc>
      </w:tr>
      <w:tr>
        <w:tc>
          <w:tcPr>
            <w:tcW w:type="dxa" w:w="2664"/>
            <w:shd w:fill="D9EAF7"/>
          </w:tcPr>
          <w:p>
            <w:r>
              <w:t>Existing Reference</w:t>
            </w:r>
          </w:p>
        </w:tc>
        <w:tc>
          <w:tcPr>
            <w:tcW w:type="dxa" w:w="2664"/>
          </w:tcPr>
          <w:p>
            <w:r>
              <w:t>Conditional form field</w:t>
            </w:r>
          </w:p>
        </w:tc>
        <w:tc>
          <w:tcPr>
            <w:tcW w:type="dxa" w:w="2664"/>
          </w:tcPr>
          <w:p>
            <w:r>
              <w:t>Operational record → Reference</w:t>
            </w:r>
          </w:p>
        </w:tc>
        <w:tc>
          <w:tcPr>
            <w:tcW w:type="dxa" w:w="2664"/>
          </w:tcPr>
          <w:p>
            <w:r>
              <w:t>Captures an existing service/reference identifier when applicable.</w:t>
            </w:r>
          </w:p>
        </w:tc>
      </w:tr>
      <w:tr>
        <w:tc>
          <w:tcPr>
            <w:tcW w:type="dxa" w:w="2664"/>
            <w:shd w:fill="D9EAF7"/>
          </w:tcPr>
          <w:p>
            <w:r>
              <w:t>Address / Location</w:t>
            </w:r>
          </w:p>
        </w:tc>
        <w:tc>
          <w:tcPr>
            <w:tcW w:type="dxa" w:w="2664"/>
          </w:tcPr>
          <w:p>
            <w:r>
              <w:t>Catalog variable</w:t>
            </w:r>
          </w:p>
        </w:tc>
        <w:tc>
          <w:tcPr>
            <w:tcW w:type="dxa" w:w="2664"/>
          </w:tcPr>
          <w:p>
            <w:r>
              <w:t>Operational record → Address</w:t>
            </w:r>
          </w:p>
        </w:tc>
        <w:tc>
          <w:tcPr>
            <w:tcW w:type="dxa" w:w="2664"/>
          </w:tcPr>
          <w:p>
            <w:r>
              <w:t>Stores requested service or location information.</w:t>
            </w:r>
          </w:p>
        </w:tc>
      </w:tr>
      <w:tr>
        <w:tc>
          <w:tcPr>
            <w:tcW w:type="dxa" w:w="2664"/>
            <w:shd w:fill="D9EAF7"/>
          </w:tcPr>
          <w:p>
            <w:r>
              <w:t>Request Number</w:t>
            </w:r>
          </w:p>
        </w:tc>
        <w:tc>
          <w:tcPr>
            <w:tcW w:type="dxa" w:w="2664"/>
          </w:tcPr>
          <w:p>
            <w:r>
              <w:t>Catalog variable / request context</w:t>
            </w:r>
          </w:p>
        </w:tc>
        <w:tc>
          <w:tcPr>
            <w:tcW w:type="dxa" w:w="2664"/>
          </w:tcPr>
          <w:p>
            <w:r>
              <w:t>Operational record → Request Number</w:t>
            </w:r>
          </w:p>
        </w:tc>
        <w:tc>
          <w:tcPr>
            <w:tcW w:type="dxa" w:w="2664"/>
          </w:tcPr>
          <w:p>
            <w:r>
              <w:t>Supports request identification and tracking.</w:t>
            </w:r>
          </w:p>
        </w:tc>
      </w:tr>
      <w:tr>
        <w:tc>
          <w:tcPr>
            <w:tcW w:type="dxa" w:w="2664"/>
            <w:shd w:fill="D9EAF7"/>
          </w:tcPr>
          <w:p>
            <w:r>
              <w:t>Service Status</w:t>
            </w:r>
          </w:p>
        </w:tc>
        <w:tc>
          <w:tcPr>
            <w:tcW w:type="dxa" w:w="2664"/>
          </w:tcPr>
          <w:p>
            <w:r>
              <w:t>Flow / workflow result</w:t>
            </w:r>
          </w:p>
        </w:tc>
        <w:tc>
          <w:tcPr>
            <w:tcW w:type="dxa" w:w="2664"/>
          </w:tcPr>
          <w:p>
            <w:r>
              <w:t>Operational record → Status</w:t>
            </w:r>
          </w:p>
        </w:tc>
        <w:tc>
          <w:tcPr>
            <w:tcW w:type="dxa" w:w="2664"/>
          </w:tcPr>
          <w:p>
            <w:r>
              <w:t>Tracks submitted, scheduled, assigned, in-progress, completed or alternate state.</w:t>
            </w:r>
          </w:p>
        </w:tc>
      </w:tr>
      <w:tr>
        <w:tc>
          <w:tcPr>
            <w:tcW w:type="dxa" w:w="2664"/>
            <w:shd w:fill="D9EAF7"/>
          </w:tcPr>
          <w:p>
            <w:r>
              <w:t>REQ/RITM Reference</w:t>
            </w:r>
          </w:p>
        </w:tc>
        <w:tc>
          <w:tcPr>
            <w:tcW w:type="dxa" w:w="2664"/>
          </w:tcPr>
          <w:p>
            <w:r>
              <w:t>ServiceNow request records</w:t>
            </w:r>
          </w:p>
        </w:tc>
        <w:tc>
          <w:tcPr>
            <w:tcW w:type="dxa" w:w="2664"/>
          </w:tcPr>
          <w:p>
            <w:r>
              <w:t>Request / Requested Item</w:t>
            </w:r>
          </w:p>
        </w:tc>
        <w:tc>
          <w:tcPr>
            <w:tcW w:type="dxa" w:w="2664"/>
          </w:tcPr>
          <w:p>
            <w:r>
              <w:t>Preserves service-request context and lifecycle tracking.</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Medical Diagnosis Center by ServiceNow Service Portal • ServiceNow • Functional Specification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