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pPr>
      <w:r>
        <w:rPr>
          <w:b/>
          <w:color w:val="0D9488"/>
          <w:sz w:val="22"/>
        </w:rPr>
        <w:t>OFFICIAL COMPETITION SUBMISSION</w:t>
      </w:r>
    </w:p>
    <w:p>
      <w:pPr>
        <w:spacing w:before="0" w:after="80"/>
      </w:pPr>
      <w:r>
        <w:rPr>
          <w:b/>
          <w:color w:val="1B4D3E"/>
          <w:sz w:val="44"/>
        </w:rPr>
        <w:t>Darukaa.Earth — AI Biodiversity Intelligence Chatbot</w:t>
      </w:r>
    </w:p>
    <w:p>
      <w:pPr>
        <w:spacing w:after="360"/>
      </w:pPr>
      <w:r>
        <w:rPr>
          <w:color w:val="4B5563"/>
          <w:sz w:val="26"/>
        </w:rPr>
        <w:t>Hackathon Submission Dossier | Applied Job Submission</w:t>
      </w:r>
    </w:p>
    <w:tbl>
      <w:tblPr>
        <w:tblW w:type="auto" w:w="0"/>
        <w:jc w:val="center"/>
        <w:tblLayout w:type="fixed"/>
        <w:tblLook w:firstColumn="1" w:firstRow="1" w:lastColumn="0" w:lastRow="0" w:noHBand="0" w:noVBand="1" w:val="04A0"/>
      </w:tblPr>
      <w:tblGrid>
        <w:gridCol w:w="4896"/>
        <w:gridCol w:w="4896"/>
      </w:tblGrid>
      <w:tr>
        <w:tc>
          <w:tcPr>
            <w:tcW w:type="dxa" w:w="3024"/>
            <w:shd w:fill="1B4D3E"/>
            <w:tcMar>
              <w:top w:w="130" w:type="dxa"/>
              <w:bottom w:w="130" w:type="dxa"/>
              <w:left w:w="160" w:type="dxa"/>
              <w:right w:w="160" w:type="dxa"/>
            </w:tcMar>
          </w:tcPr>
          <w:p>
            <w:pPr>
              <w:jc w:val="left"/>
            </w:pPr>
            <w:r>
              <w:rPr>
                <w:rFonts w:ascii="Arial" w:hAnsi="Arial"/>
                <w:b/>
                <w:color w:val="FFFFFF"/>
                <w:sz w:val="19"/>
              </w:rPr>
              <w:t>Project Specification</w:t>
            </w:r>
          </w:p>
        </w:tc>
        <w:tc>
          <w:tcPr>
            <w:tcW w:type="dxa" w:w="6336"/>
            <w:shd w:fill="1B4D3E"/>
            <w:tcMar>
              <w:top w:w="130" w:type="dxa"/>
              <w:bottom w:w="130" w:type="dxa"/>
              <w:left w:w="160" w:type="dxa"/>
              <w:right w:w="160" w:type="dxa"/>
            </w:tcMar>
          </w:tcPr>
          <w:p>
            <w:pPr>
              <w:jc w:val="left"/>
            </w:pPr>
            <w:r>
              <w:rPr>
                <w:rFonts w:ascii="Arial" w:hAnsi="Arial"/>
                <w:b/>
                <w:color w:val="FFFFFF"/>
                <w:sz w:val="19"/>
              </w:rPr>
              <w:t>Submission Details &amp; Live Access</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Project Name</w:t>
            </w:r>
          </w:p>
        </w:tc>
        <w:tc>
          <w:tcPr>
            <w:tcW w:type="dxa" w:w="6336"/>
            <w:shd w:fill="FFFFFF"/>
            <w:tcMar>
              <w:top w:w="100" w:type="dxa"/>
              <w:bottom w:w="100" w:type="dxa"/>
              <w:left w:w="150" w:type="dxa"/>
              <w:right w:w="150" w:type="dxa"/>
            </w:tcMar>
          </w:tcPr>
          <w:p>
            <w:pPr>
              <w:jc w:val="left"/>
            </w:pPr>
            <w:r/>
            <w:r>
              <w:rPr>
                <w:rFonts w:ascii="Arial" w:hAnsi="Arial"/>
                <w:color w:val="1F2937"/>
                <w:sz w:val="18"/>
              </w:rPr>
              <w:t>Darukaa.Earth — AI Biodiversity Intelligence Chatbot</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Developer / Author</w:t>
            </w:r>
          </w:p>
        </w:tc>
        <w:tc>
          <w:tcPr>
            <w:tcW w:type="dxa" w:w="6336"/>
            <w:shd w:fill="F9FAFB"/>
            <w:tcMar>
              <w:top w:w="100" w:type="dxa"/>
              <w:bottom w:w="100" w:type="dxa"/>
              <w:left w:w="150" w:type="dxa"/>
              <w:right w:w="150" w:type="dxa"/>
            </w:tcMar>
          </w:tcPr>
          <w:p>
            <w:pPr>
              <w:jc w:val="left"/>
            </w:pPr>
            <w:r/>
            <w:r>
              <w:rPr>
                <w:rFonts w:ascii="Arial" w:hAnsi="Arial"/>
                <w:color w:val="1F2937"/>
                <w:sz w:val="18"/>
              </w:rPr>
              <w:t>Shivaram (sevenshivaram@gmail.com)</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GitHub Repository</w:t>
            </w:r>
          </w:p>
        </w:tc>
        <w:tc>
          <w:tcPr>
            <w:tcW w:type="dxa" w:w="6336"/>
            <w:shd w:fill="FFFFFF"/>
            <w:tcMar>
              <w:top w:w="100" w:type="dxa"/>
              <w:bottom w:w="100" w:type="dxa"/>
              <w:left w:w="150" w:type="dxa"/>
              <w:right w:w="150" w:type="dxa"/>
            </w:tcMar>
          </w:tcPr>
          <w:p>
            <w:pPr>
              <w:jc w:val="left"/>
            </w:pPr>
            <w:r/>
            <w:hyperlink r:id="rId11">
              <w:r>
                <w:rPr>
                  <w:rFonts w:ascii="Arial" w:hAnsi="Arial"/>
                  <w:color w:val="0D9488"/>
                  <w:u w:val="single"/>
                  <w:sz w:val="18"/>
                </w:rPr>
                <w:t>https://github.com/Shivaram7-29/darukaa-biodiversity-ai</w:t>
              </w:r>
            </w:hyperlink>
          </w:p>
        </w:tc>
      </w:tr>
      <w:tr>
        <w:tc>
          <w:tcPr>
            <w:tcW w:type="dxa" w:w="3024"/>
            <w:shd w:fill="F9FAFB"/>
            <w:tcMar>
              <w:top w:w="100" w:type="dxa"/>
              <w:bottom w:w="100" w:type="dxa"/>
              <w:left w:w="150" w:type="dxa"/>
              <w:right w:w="150" w:type="dxa"/>
            </w:tcMar>
          </w:tcPr>
          <w:p>
            <w:pPr>
              <w:jc w:val="left"/>
            </w:pPr>
            <w:r/>
            <w:r>
              <w:rPr>
                <w:rFonts w:ascii="Arial" w:hAnsi="Arial"/>
                <w:color w:val="1F2937"/>
                <w:sz w:val="18"/>
              </w:rPr>
              <w:t>Repository Visibility</w:t>
            </w:r>
          </w:p>
        </w:tc>
        <w:tc>
          <w:tcPr>
            <w:tcW w:type="dxa" w:w="6336"/>
            <w:shd w:fill="F9FAFB"/>
            <w:tcMar>
              <w:top w:w="100" w:type="dxa"/>
              <w:bottom w:w="100" w:type="dxa"/>
              <w:left w:w="150" w:type="dxa"/>
              <w:right w:w="150" w:type="dxa"/>
            </w:tcMar>
          </w:tcPr>
          <w:p>
            <w:pPr>
              <w:jc w:val="left"/>
            </w:pPr>
            <w:r/>
            <w:r>
              <w:rPr>
                <w:rFonts w:ascii="Arial" w:hAnsi="Arial"/>
                <w:color w:val="1F2937"/>
                <w:sz w:val="18"/>
              </w:rPr>
              <w:t>Public (No access invitation required)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Live Demo (Frontend)</w:t>
            </w:r>
          </w:p>
        </w:tc>
        <w:tc>
          <w:tcPr>
            <w:tcW w:type="dxa" w:w="6336"/>
            <w:shd w:fill="FFFFFF"/>
            <w:tcMar>
              <w:top w:w="100" w:type="dxa"/>
              <w:bottom w:w="100" w:type="dxa"/>
              <w:left w:w="150" w:type="dxa"/>
              <w:right w:w="150" w:type="dxa"/>
            </w:tcMar>
          </w:tcPr>
          <w:p>
            <w:pPr>
              <w:jc w:val="left"/>
            </w:pPr>
            <w:r/>
            <w:hyperlink r:id="rId12">
              <w:r>
                <w:rPr>
                  <w:rFonts w:ascii="Arial" w:hAnsi="Arial"/>
                  <w:color w:val="0D9488"/>
                  <w:u w:val="single"/>
                  <w:sz w:val="18"/>
                </w:rPr>
                <w:t>https://darukaa-biodiversity-ai-7.streamlit.app/</w:t>
              </w:r>
            </w:hyperlink>
          </w:p>
        </w:tc>
      </w:tr>
      <w:tr>
        <w:tc>
          <w:tcPr>
            <w:tcW w:type="dxa" w:w="3024"/>
            <w:shd w:fill="F9FAFB"/>
            <w:tcMar>
              <w:top w:w="100" w:type="dxa"/>
              <w:bottom w:w="100" w:type="dxa"/>
              <w:left w:w="150" w:type="dxa"/>
              <w:right w:w="150" w:type="dxa"/>
            </w:tcMar>
          </w:tcPr>
          <w:p>
            <w:pPr>
              <w:jc w:val="left"/>
            </w:pPr>
            <w:r/>
            <w:r>
              <w:rPr>
                <w:rFonts w:ascii="Arial" w:hAnsi="Arial"/>
                <w:color w:val="1F2937"/>
                <w:sz w:val="18"/>
              </w:rPr>
              <w:t>Backend REST API</w:t>
            </w:r>
          </w:p>
        </w:tc>
        <w:tc>
          <w:tcPr>
            <w:tcW w:type="dxa" w:w="6336"/>
            <w:shd w:fill="F9FAFB"/>
            <w:tcMar>
              <w:top w:w="100" w:type="dxa"/>
              <w:bottom w:w="100" w:type="dxa"/>
              <w:left w:w="150" w:type="dxa"/>
              <w:right w:w="150" w:type="dxa"/>
            </w:tcMar>
          </w:tcPr>
          <w:p>
            <w:pPr>
              <w:jc w:val="left"/>
            </w:pPr>
            <w:r/>
            <w:hyperlink r:id="rId13">
              <w:r>
                <w:rPr>
                  <w:rFonts w:ascii="Arial" w:hAnsi="Arial"/>
                  <w:color w:val="0D9488"/>
                  <w:u w:val="single"/>
                  <w:sz w:val="18"/>
                </w:rPr>
                <w:t>https://darukaa-biodiversity-ai-atjv.onrender.com</w:t>
              </w:r>
            </w:hyperlink>
          </w:p>
        </w:tc>
      </w:tr>
      <w:tr>
        <w:tc>
          <w:tcPr>
            <w:tcW w:type="dxa" w:w="3024"/>
            <w:shd w:fill="FFFFFF"/>
            <w:tcMar>
              <w:top w:w="100" w:type="dxa"/>
              <w:bottom w:w="100" w:type="dxa"/>
              <w:left w:w="150" w:type="dxa"/>
              <w:right w:w="150" w:type="dxa"/>
            </w:tcMar>
          </w:tcPr>
          <w:p>
            <w:pPr>
              <w:jc w:val="left"/>
            </w:pPr>
            <w:r/>
            <w:r>
              <w:rPr>
                <w:rFonts w:ascii="Arial" w:hAnsi="Arial"/>
                <w:color w:val="1F2937"/>
                <w:sz w:val="18"/>
              </w:rPr>
              <w:t>API Documentation</w:t>
            </w:r>
          </w:p>
        </w:tc>
        <w:tc>
          <w:tcPr>
            <w:tcW w:type="dxa" w:w="6336"/>
            <w:shd w:fill="FFFFFF"/>
            <w:tcMar>
              <w:top w:w="100" w:type="dxa"/>
              <w:bottom w:w="100" w:type="dxa"/>
              <w:left w:w="150" w:type="dxa"/>
              <w:right w:w="150" w:type="dxa"/>
            </w:tcMar>
          </w:tcPr>
          <w:p>
            <w:pPr>
              <w:jc w:val="left"/>
            </w:pPr>
            <w:r/>
            <w:hyperlink r:id="rId14">
              <w:r>
                <w:rPr>
                  <w:rFonts w:ascii="Arial" w:hAnsi="Arial"/>
                  <w:color w:val="0D9488"/>
                  <w:u w:val="single"/>
                  <w:sz w:val="18"/>
                </w:rPr>
                <w:t>https://darukaa-biodiversity-ai-atjv.onrender.com/docs</w:t>
              </w:r>
            </w:hyperlink>
          </w:p>
        </w:tc>
      </w:tr>
      <w:tr>
        <w:tc>
          <w:tcPr>
            <w:tcW w:type="dxa" w:w="3024"/>
            <w:shd w:fill="F9FAFB"/>
            <w:tcMar>
              <w:top w:w="100" w:type="dxa"/>
              <w:bottom w:w="100" w:type="dxa"/>
              <w:left w:w="150" w:type="dxa"/>
              <w:right w:w="150" w:type="dxa"/>
            </w:tcMar>
          </w:tcPr>
          <w:p>
            <w:pPr>
              <w:jc w:val="left"/>
            </w:pPr>
            <w:r/>
            <w:r>
              <w:rPr>
                <w:rFonts w:ascii="Arial" w:hAnsi="Arial"/>
                <w:color w:val="1F2937"/>
                <w:sz w:val="18"/>
              </w:rPr>
              <w:t>API Health Check</w:t>
            </w:r>
          </w:p>
        </w:tc>
        <w:tc>
          <w:tcPr>
            <w:tcW w:type="dxa" w:w="6336"/>
            <w:shd w:fill="F9FAFB"/>
            <w:tcMar>
              <w:top w:w="100" w:type="dxa"/>
              <w:bottom w:w="100" w:type="dxa"/>
              <w:left w:w="150" w:type="dxa"/>
              <w:right w:w="150" w:type="dxa"/>
            </w:tcMar>
          </w:tcPr>
          <w:p>
            <w:pPr>
              <w:jc w:val="left"/>
            </w:pPr>
            <w:r/>
            <w:hyperlink r:id="rId15">
              <w:r>
                <w:rPr>
                  <w:rFonts w:ascii="Arial" w:hAnsi="Arial"/>
                  <w:color w:val="0D9488"/>
                  <w:u w:val="single"/>
                  <w:sz w:val="18"/>
                </w:rPr>
                <w:t>https://darukaa-biodiversity-ai-atjv.onrender.com/health</w:t>
              </w:r>
            </w:hyperlink>
          </w:p>
        </w:tc>
      </w:tr>
      <w:tr>
        <w:tc>
          <w:tcPr>
            <w:tcW w:type="dxa" w:w="3024"/>
            <w:shd w:fill="FFFFFF"/>
            <w:tcMar>
              <w:top w:w="100" w:type="dxa"/>
              <w:bottom w:w="100" w:type="dxa"/>
              <w:left w:w="150" w:type="dxa"/>
              <w:right w:w="150" w:type="dxa"/>
            </w:tcMar>
          </w:tcPr>
          <w:p>
            <w:pPr>
              <w:jc w:val="left"/>
            </w:pPr>
            <w:r/>
            <w:r>
              <w:rPr>
                <w:rFonts w:ascii="Arial" w:hAnsi="Arial"/>
                <w:color w:val="1F2937"/>
                <w:sz w:val="18"/>
              </w:rPr>
              <w:t>Final Deployed Commit</w:t>
            </w:r>
          </w:p>
        </w:tc>
        <w:tc>
          <w:tcPr>
            <w:tcW w:type="dxa" w:w="6336"/>
            <w:shd w:fill="FFFFFF"/>
            <w:tcMar>
              <w:top w:w="100" w:type="dxa"/>
              <w:bottom w:w="100" w:type="dxa"/>
              <w:left w:w="150" w:type="dxa"/>
              <w:right w:w="150" w:type="dxa"/>
            </w:tcMar>
          </w:tcPr>
          <w:p>
            <w:pPr>
              <w:jc w:val="left"/>
            </w:pPr>
            <w:r/>
            <w:r>
              <w:rPr>
                <w:rFonts w:ascii="Arial" w:hAnsi="Arial"/>
                <w:color w:val="1F2937"/>
                <w:sz w:val="18"/>
              </w:rPr>
              <w:t>678ea98 ('Refine soil moisture and SOC interpretations for scientific grounding')</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Generation LLM</w:t>
            </w:r>
          </w:p>
        </w:tc>
        <w:tc>
          <w:tcPr>
            <w:tcW w:type="dxa" w:w="6336"/>
            <w:shd w:fill="F9FAFB"/>
            <w:tcMar>
              <w:top w:w="100" w:type="dxa"/>
              <w:bottom w:w="100" w:type="dxa"/>
              <w:left w:w="150" w:type="dxa"/>
              <w:right w:w="150" w:type="dxa"/>
            </w:tcMar>
          </w:tcPr>
          <w:p>
            <w:pPr>
              <w:jc w:val="left"/>
            </w:pPr>
            <w:r/>
            <w:r>
              <w:rPr>
                <w:rFonts w:ascii="Arial" w:hAnsi="Arial"/>
                <w:color w:val="1F2937"/>
                <w:sz w:val="18"/>
              </w:rPr>
              <w:t>Google Gemini 3.5 Flash Lite (gemini-3.5-flash-lite via google-genai SDK)</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Embedding Engine</w:t>
            </w:r>
          </w:p>
        </w:tc>
        <w:tc>
          <w:tcPr>
            <w:tcW w:type="dxa" w:w="6336"/>
            <w:shd w:fill="FFFFFF"/>
            <w:tcMar>
              <w:top w:w="100" w:type="dxa"/>
              <w:bottom w:w="100" w:type="dxa"/>
              <w:left w:w="150" w:type="dxa"/>
              <w:right w:w="150" w:type="dxa"/>
            </w:tcMar>
          </w:tcPr>
          <w:p>
            <w:pPr>
              <w:jc w:val="left"/>
            </w:pPr>
            <w:r/>
            <w:r>
              <w:rPr>
                <w:rFonts w:ascii="Arial" w:hAnsi="Arial"/>
                <w:color w:val="1F2937"/>
                <w:sz w:val="18"/>
              </w:rPr>
              <w:t>Google Gemini Remote Embeddings (gemini-embedding-001, 768 dimensions)</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Vector Database</w:t>
            </w:r>
          </w:p>
        </w:tc>
        <w:tc>
          <w:tcPr>
            <w:tcW w:type="dxa" w:w="6336"/>
            <w:shd w:fill="F9FAFB"/>
            <w:tcMar>
              <w:top w:w="100" w:type="dxa"/>
              <w:bottom w:w="100" w:type="dxa"/>
              <w:left w:w="150" w:type="dxa"/>
              <w:right w:w="150" w:type="dxa"/>
            </w:tcMar>
          </w:tcPr>
          <w:p>
            <w:pPr>
              <w:jc w:val="left"/>
            </w:pPr>
            <w:r/>
            <w:r>
              <w:rPr>
                <w:rFonts w:ascii="Arial" w:hAnsi="Arial"/>
                <w:color w:val="1F2937"/>
                <w:sz w:val="18"/>
              </w:rPr>
              <w:t>ChromaDB (PersistentClient, cosine distance metric)</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Knowledge Base Size</w:t>
            </w:r>
          </w:p>
        </w:tc>
        <w:tc>
          <w:tcPr>
            <w:tcW w:type="dxa" w:w="6336"/>
            <w:shd w:fill="FFFFFF"/>
            <w:tcMar>
              <w:top w:w="100" w:type="dxa"/>
              <w:bottom w:w="100" w:type="dxa"/>
              <w:left w:w="150" w:type="dxa"/>
              <w:right w:w="150" w:type="dxa"/>
            </w:tcMar>
          </w:tcPr>
          <w:p>
            <w:pPr>
              <w:jc w:val="left"/>
            </w:pPr>
            <w:r/>
            <w:r>
              <w:rPr>
                <w:rFonts w:ascii="Arial" w:hAnsi="Arial"/>
                <w:color w:val="1F2937"/>
                <w:sz w:val="18"/>
              </w:rPr>
              <w:t>57 curated knowledge entries/chunks across 12 core environmental domains</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Application Stack</w:t>
            </w:r>
          </w:p>
        </w:tc>
        <w:tc>
          <w:tcPr>
            <w:tcW w:type="dxa" w:w="6336"/>
            <w:shd w:fill="F9FAFB"/>
            <w:tcMar>
              <w:top w:w="100" w:type="dxa"/>
              <w:bottom w:w="100" w:type="dxa"/>
              <w:left w:w="150" w:type="dxa"/>
              <w:right w:w="150" w:type="dxa"/>
            </w:tcMar>
          </w:tcPr>
          <w:p>
            <w:pPr>
              <w:jc w:val="left"/>
            </w:pPr>
            <w:r/>
            <w:r>
              <w:rPr>
                <w:rFonts w:ascii="Arial" w:hAnsi="Arial"/>
                <w:color w:val="1F2937"/>
                <w:sz w:val="18"/>
              </w:rPr>
              <w:t>Python 3.12, FastAPI, Streamlit, ChromaDB, Pydantic v2, Uvicorn</w:t>
            </w:r>
          </w:p>
        </w:tc>
      </w:tr>
    </w:tbl>
    <w:p/>
    <w:tbl>
      <w:tblPr>
        <w:tblW w:type="auto" w:w="0"/>
        <w:jc w:val="center"/>
        <w:tblLook w:firstColumn="1" w:firstRow="1" w:lastColumn="0" w:lastRow="0" w:noHBand="0" w:noVBand="1" w:val="04A0"/>
      </w:tblPr>
      <w:tblGrid>
        <w:gridCol w:w="9792"/>
      </w:tblGrid>
      <w:tr>
        <w:tc>
          <w:tcPr>
            <w:tcW w:type="dxa" w:w="9360"/>
            <w:shd w:fill="F0FDF4"/>
            <w:tcMar>
              <w:top w:w="120" w:type="dxa"/>
              <w:bottom w:w="120" w:type="dxa"/>
              <w:left w:w="180" w:type="dxa"/>
              <w:right w:w="180" w:type="dxa"/>
            </w:tcMar>
            <w:tcBorders>
              <w:top w:val="none"/>
              <w:left w:val="single" w:sz="20" w:space="0" w:color="1B4D3E"/>
              <w:bottom w:val="none"/>
              <w:right w:val="none"/>
            </w:tcBorders>
          </w:tcPr>
          <w:p>
            <w:r>
              <w:rPr>
                <w:rFonts w:ascii="Arial" w:hAnsi="Arial"/>
                <w:b/>
                <w:color w:val="1B4D3E"/>
                <w:sz w:val="19"/>
              </w:rPr>
              <w:t xml:space="preserve">[REVIEWER ACCESS NOTICE] </w:t>
            </w:r>
            <w:r>
              <w:rPr>
                <w:rFonts w:ascii="Arial" w:hAnsi="Arial"/>
                <w:color w:val="1F2937"/>
                <w:sz w:val="18"/>
              </w:rPr>
              <w:t>Repository Access Note: The GitHub repository is fully public and accessible at https://github.com/Shivaram7-29/darukaa-biodiversity-ai. Per hackathon guidelines, if private permissions are ever requested, reviewer access is pre-authorized for: ankita.dasgupta@darukaa.com, harsh.kumar@darukaa.com, utkarsh.gauniyal@darukaa.com, and guneet.mutreja@darukaa.com.</w:t>
            </w:r>
          </w:p>
        </w:tc>
      </w:tr>
    </w:tbl>
    <w:p/>
    <w:p>
      <w:r>
        <w:br w:type="page"/>
      </w:r>
    </w:p>
    <w:p>
      <w:pPr>
        <w:keepNext/>
        <w:spacing w:before="280" w:after="80"/>
      </w:pPr>
      <w:r>
        <w:rPr>
          <w:rFonts w:ascii="Arial" w:hAnsi="Arial"/>
          <w:b/>
          <w:color w:val="1B4D3E"/>
          <w:sz w:val="28"/>
        </w:rPr>
        <w:t>Section 1 — Project Overview</w:t>
      </w:r>
    </w:p>
    <w:p>
      <w:pPr>
        <w:spacing w:after="80"/>
      </w:pPr>
      <w:r>
        <w:t>Agricultural and ecological landscapes globally face catastrophic degradation driven by soil depletion, biodiversity collapse, water scarcity, and climatic volatility. Land managers, agriculturalists, and conservationists frequently struggle to formulate effective restoration plans because environmental systems are governed by complex, compounding interactions among soil chemistry, hydrology, biological diversity, and climate variables.</w:t>
      </w:r>
    </w:p>
    <w:p>
      <w:pPr>
        <w:spacing w:after="80"/>
      </w:pPr>
      <w:r>
        <w:t>Darukaa.Earth — AI Biodiversity Intelligence is a specialized, knowledge-grounded environmental scientist assistant engineered to solve this challenge. It analyzes multi-variable environmental observations (such as soil organic carbon, pH, soil moisture, annual rainfall, temperature, cropping systems, pollution, and deforestation) and synthesizes concrete, evidence-backed ecological interventions.</w:t>
      </w:r>
    </w:p>
    <w:p>
      <w:pPr>
        <w:spacing w:after="80"/>
      </w:pPr>
      <w:r>
        <w:t>Why It Is Different from a Generic LLM Chatbot:</w:t>
      </w:r>
    </w:p>
    <w:p>
      <w:pPr>
        <w:pStyle w:val="ListBullet"/>
        <w:spacing w:after="50"/>
      </w:pPr>
      <w:r>
        <w:rPr>
          <w:b/>
          <w:color w:val="1F2937"/>
        </w:rPr>
        <w:t xml:space="preserve">Deterministic Grounding vs. Probabilistic Hallucination: </w:t>
      </w:r>
      <w:r>
        <w:rPr>
          <w:color w:val="374151"/>
        </w:rPr>
        <w:t>Generic LLMs evaluate prompts probabilistically, often producing plausible-sounding hallucinations, confusing biological timelines, or issuing ungrounded advice. Darukaa.Earth couples a deterministic multi-metric reasoning engine with a vector database of 57 curated knowledge entries/chunks grounded in authoritative scientific literature and reports (FAO, IPCC, IPBES, USDA-NRCS, Brady &amp; Weil, Lal, Montgomery).</w:t>
      </w:r>
    </w:p>
    <w:p>
      <w:pPr>
        <w:pStyle w:val="ListBullet"/>
        <w:spacing w:after="50"/>
      </w:pPr>
      <w:r>
        <w:rPr>
          <w:b/>
          <w:color w:val="1F2937"/>
        </w:rPr>
        <w:t xml:space="preserve">Compound Multi-Metric Evaluation: </w:t>
      </w:r>
      <w:r>
        <w:rPr>
          <w:color w:val="374151"/>
        </w:rPr>
        <w:t>Single-variable advice is frequently dangerous (e.g. adding nitrogen without checking pH risks aluminum toxicity; prescribing heavy water extraction in drought risks aquifer depletion). The system evaluates compound constraints across 3 or more variables simultaneously.</w:t>
      </w:r>
    </w:p>
    <w:p>
      <w:pPr>
        <w:pStyle w:val="ListBullet"/>
        <w:spacing w:after="50"/>
      </w:pPr>
      <w:r>
        <w:rPr>
          <w:b/>
          <w:color w:val="1F2937"/>
        </w:rPr>
        <w:t xml:space="preserve">Proactive Clarifying Questions: </w:t>
      </w:r>
      <w:r>
        <w:rPr>
          <w:color w:val="374151"/>
        </w:rPr>
        <w:t>When essential variables are missing, standard chatbots jump into ungrounded prescriptions. Darukaa.Earth proactively detects data gaps and leads with targeted clarifying questions, explaining scientifically why the missing parameters could alter or reverse the restoration strategy.</w:t>
      </w:r>
    </w:p>
    <w:p>
      <w:pPr>
        <w:pStyle w:val="ListBullet"/>
        <w:spacing w:after="50"/>
      </w:pPr>
      <w:r>
        <w:rPr>
          <w:b/>
          <w:color w:val="1F2937"/>
        </w:rPr>
        <w:t xml:space="preserve">Evidence-Backed Synthesis: </w:t>
      </w:r>
      <w:r>
        <w:rPr>
          <w:color w:val="374151"/>
        </w:rPr>
        <w:t>By enforcing strict scientific baselines, the system reduces the risk of unsupported or ungrounded responses through retrieval and scientific constraints, delivering actionable recommendations with explicit mechanisms, timelines, and literature citations.</w:t>
      </w:r>
    </w:p>
    <w:p>
      <w:pPr>
        <w:keepNext/>
        <w:spacing w:before="280" w:after="80"/>
      </w:pPr>
      <w:r>
        <w:rPr>
          <w:rFonts w:ascii="Arial" w:hAnsi="Arial"/>
          <w:b/>
          <w:color w:val="1B4D3E"/>
          <w:sz w:val="28"/>
        </w:rPr>
        <w:t>Section 2 — Challenge Requirement Coverage</w:t>
      </w:r>
    </w:p>
    <w:p>
      <w:pPr>
        <w:spacing w:after="80"/>
      </w:pPr>
      <w:r>
        <w:t>The following matrix maps every challenge evaluation dimension and feature requirement to its concrete implementation in the Darukaa.Earth codebase:</w:t>
      </w:r>
    </w:p>
    <w:tbl>
      <w:tblPr>
        <w:tblW w:type="auto" w:w="0"/>
        <w:jc w:val="center"/>
        <w:tblLayout w:type="fixed"/>
        <w:tblLook w:firstColumn="1" w:firstRow="1" w:lastColumn="0" w:lastRow="0" w:noHBand="0" w:noVBand="1" w:val="04A0"/>
      </w:tblPr>
      <w:tblGrid>
        <w:gridCol w:w="4896"/>
        <w:gridCol w:w="4896"/>
      </w:tblGrid>
      <w:tr>
        <w:tc>
          <w:tcPr>
            <w:tcW w:type="dxa" w:w="3024"/>
            <w:shd w:fill="1B4D3E"/>
            <w:tcMar>
              <w:top w:w="130" w:type="dxa"/>
              <w:bottom w:w="130" w:type="dxa"/>
              <w:left w:w="160" w:type="dxa"/>
              <w:right w:w="160" w:type="dxa"/>
            </w:tcMar>
          </w:tcPr>
          <w:p>
            <w:pPr>
              <w:jc w:val="left"/>
            </w:pPr>
            <w:r>
              <w:rPr>
                <w:rFonts w:ascii="Arial" w:hAnsi="Arial"/>
                <w:b/>
                <w:color w:val="FFFFFF"/>
                <w:sz w:val="19"/>
              </w:rPr>
              <w:t>Darukaa Challenge Requirement</w:t>
            </w:r>
          </w:p>
        </w:tc>
        <w:tc>
          <w:tcPr>
            <w:tcW w:type="dxa" w:w="6336"/>
            <w:shd w:fill="1B4D3E"/>
            <w:tcMar>
              <w:top w:w="130" w:type="dxa"/>
              <w:bottom w:w="130" w:type="dxa"/>
              <w:left w:w="160" w:type="dxa"/>
              <w:right w:w="160" w:type="dxa"/>
            </w:tcMar>
          </w:tcPr>
          <w:p>
            <w:pPr>
              <w:jc w:val="left"/>
            </w:pPr>
            <w:r>
              <w:rPr>
                <w:rFonts w:ascii="Arial" w:hAnsi="Arial"/>
                <w:b/>
                <w:color w:val="FFFFFF"/>
                <w:sz w:val="19"/>
              </w:rPr>
              <w:t>Implemented System Capability &amp; Verification</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Knowledge System &amp; RAG (20%)</w:t>
            </w:r>
          </w:p>
        </w:tc>
        <w:tc>
          <w:tcPr>
            <w:tcW w:type="dxa" w:w="6336"/>
            <w:shd w:fill="FFFFFF"/>
            <w:tcMar>
              <w:top w:w="100" w:type="dxa"/>
              <w:bottom w:w="100" w:type="dxa"/>
              <w:left w:w="150" w:type="dxa"/>
              <w:right w:w="150" w:type="dxa"/>
            </w:tcMar>
          </w:tcPr>
          <w:p>
            <w:pPr>
              <w:jc w:val="left"/>
            </w:pPr>
            <w:r/>
            <w:r>
              <w:rPr>
                <w:rFonts w:ascii="Arial" w:hAnsi="Arial"/>
                <w:color w:val="1F2937"/>
                <w:sz w:val="18"/>
              </w:rPr>
              <w:t>ChromaDB vector store with 57 curated knowledge entries/chunks grounded in authoritative literature (FAO, IPCC, IPBES, USDA-NRCS, Brady &amp; Weil, Lal, Montgomery) + remote 'gemini-embedding-001'.</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Soil Health Coverage</w:t>
            </w:r>
          </w:p>
        </w:tc>
        <w:tc>
          <w:tcPr>
            <w:tcW w:type="dxa" w:w="6336"/>
            <w:shd w:fill="F9FAFB"/>
            <w:tcMar>
              <w:top w:w="100" w:type="dxa"/>
              <w:bottom w:w="100" w:type="dxa"/>
              <w:left w:w="150" w:type="dxa"/>
              <w:right w:w="150" w:type="dxa"/>
            </w:tcMar>
          </w:tcPr>
          <w:p>
            <w:pPr>
              <w:jc w:val="left"/>
            </w:pPr>
            <w:r/>
            <w:r>
              <w:rPr>
                <w:rFonts w:ascii="Arial" w:hAnsi="Arial"/>
                <w:color w:val="1F2937"/>
                <w:sz w:val="18"/>
              </w:rPr>
              <w:t>Comprehensive threshold checks and interaction models for soil pH (&lt;4.5, &lt;5.5, 6.0–7.0, &gt;8.5), soil organic carbon (&lt;0.5% critical, &lt;1.0% low, 2.0% moderate), and soil moisture.</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Land Use &amp; Cropping Systems</w:t>
            </w:r>
          </w:p>
        </w:tc>
        <w:tc>
          <w:tcPr>
            <w:tcW w:type="dxa" w:w="6336"/>
            <w:shd w:fill="FFFFFF"/>
            <w:tcMar>
              <w:top w:w="100" w:type="dxa"/>
              <w:bottom w:w="100" w:type="dxa"/>
              <w:left w:w="150" w:type="dxa"/>
              <w:right w:w="150" w:type="dxa"/>
            </w:tcMar>
          </w:tcPr>
          <w:p>
            <w:pPr>
              <w:jc w:val="left"/>
            </w:pPr>
            <w:r/>
            <w:r>
              <w:rPr>
                <w:rFonts w:ascii="Arial" w:hAnsi="Arial"/>
                <w:color w:val="1F2937"/>
                <w:sz w:val="18"/>
              </w:rPr>
              <w:t>Land use analysis supporting monoculture vs. multi-species crop rotations, agroforestry, conservation tillage, and wetland preservation.</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Biodiversity Indicators</w:t>
            </w:r>
          </w:p>
        </w:tc>
        <w:tc>
          <w:tcPr>
            <w:tcW w:type="dxa" w:w="6336"/>
            <w:shd w:fill="F9FAFB"/>
            <w:tcMar>
              <w:top w:w="100" w:type="dxa"/>
              <w:bottom w:w="100" w:type="dxa"/>
              <w:left w:w="150" w:type="dxa"/>
              <w:right w:w="150" w:type="dxa"/>
            </w:tcMar>
          </w:tcPr>
          <w:p>
            <w:pPr>
              <w:jc w:val="left"/>
            </w:pPr>
            <w:r/>
            <w:r>
              <w:rPr>
                <w:rFonts w:ascii="Arial" w:hAnsi="Arial"/>
                <w:color w:val="1F2937"/>
                <w:sz w:val="18"/>
              </w:rPr>
              <w:t>Shannon biodiversity index tracking (&lt;1.0 low, 2.0 moderate, 3.0 high), natural enemy density, multi-trophic diversity, and habitat corridor design.</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Climate &amp; Water Management</w:t>
            </w:r>
          </w:p>
        </w:tc>
        <w:tc>
          <w:tcPr>
            <w:tcW w:type="dxa" w:w="6336"/>
            <w:shd w:fill="FFFFFF"/>
            <w:tcMar>
              <w:top w:w="100" w:type="dxa"/>
              <w:bottom w:w="100" w:type="dxa"/>
              <w:left w:w="150" w:type="dxa"/>
              <w:right w:w="150" w:type="dxa"/>
            </w:tcMar>
          </w:tcPr>
          <w:p>
            <w:pPr>
              <w:jc w:val="left"/>
            </w:pPr>
            <w:r/>
            <w:r>
              <w:rPr>
                <w:rFonts w:ascii="Arial" w:hAnsi="Arial"/>
                <w:color w:val="1F2937"/>
                <w:sz w:val="18"/>
              </w:rPr>
              <w:t>Annual rainfall analysis (&lt;250 mm arid, &lt;500 mm semi-arid) and temperature thermal stress tracking (&lt;0°C frost, &gt;35°C heat stress, &gt;40°C severe heat).</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Human Environmental Impact</w:t>
            </w:r>
          </w:p>
        </w:tc>
        <w:tc>
          <w:tcPr>
            <w:tcW w:type="dxa" w:w="6336"/>
            <w:shd w:fill="F9FAFB"/>
            <w:tcMar>
              <w:top w:w="100" w:type="dxa"/>
              <w:bottom w:w="100" w:type="dxa"/>
              <w:left w:w="150" w:type="dxa"/>
              <w:right w:w="150" w:type="dxa"/>
            </w:tcMar>
          </w:tcPr>
          <w:p>
            <w:pPr>
              <w:jc w:val="left"/>
            </w:pPr>
            <w:r/>
            <w:r>
              <w:rPr>
                <w:rFonts w:ascii="Arial" w:hAnsi="Arial"/>
                <w:color w:val="1F2937"/>
                <w:sz w:val="18"/>
              </w:rPr>
              <w:t>Categorical pollution tracking (low, moderate, high, severe) and annual deforestation rate analysis (&gt;1.0%/yr high impact threshold).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Multi-Metric Reasoning (30%)</w:t>
            </w:r>
          </w:p>
        </w:tc>
        <w:tc>
          <w:tcPr>
            <w:tcW w:type="dxa" w:w="6336"/>
            <w:shd w:fill="FFFFFF"/>
            <w:tcMar>
              <w:top w:w="100" w:type="dxa"/>
              <w:bottom w:w="100" w:type="dxa"/>
              <w:left w:w="150" w:type="dxa"/>
              <w:right w:w="150" w:type="dxa"/>
            </w:tcMar>
          </w:tcPr>
          <w:p>
            <w:pPr>
              <w:jc w:val="left"/>
            </w:pPr>
            <w:r/>
            <w:r>
              <w:rPr>
                <w:rFonts w:ascii="Arial" w:hAnsi="Arial"/>
                <w:color w:val="1F2937"/>
                <w:sz w:val="18"/>
              </w:rPr>
              <w:t>Deterministic multi-variable engine in src/reasoning.py detecting 5 distinct 3-variable compound interaction rules (e.g. Arid Heat-Drought Stress, Biochemical Limitation).</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Scientific Grounding (25%)</w:t>
            </w:r>
          </w:p>
        </w:tc>
        <w:tc>
          <w:tcPr>
            <w:tcW w:type="dxa" w:w="6336"/>
            <w:shd w:fill="F9FAFB"/>
            <w:tcMar>
              <w:top w:w="100" w:type="dxa"/>
              <w:bottom w:w="100" w:type="dxa"/>
              <w:left w:w="150" w:type="dxa"/>
              <w:right w:w="150" w:type="dxa"/>
            </w:tcMar>
          </w:tcPr>
          <w:p>
            <w:pPr>
              <w:jc w:val="left"/>
            </w:pPr>
            <w:r/>
            <w:r>
              <w:rPr>
                <w:rFonts w:ascii="Arial" w:hAnsi="Arial"/>
                <w:color w:val="1F2937"/>
                <w:sz w:val="18"/>
              </w:rPr>
              <w:t>Strict prompt constraints enforce literature citations (FAO, IPCC, Brady &amp; Weil) and eliminate unverified claims (no raw moisture converted to % FC; no unbacked 2–6% SOC claims).</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Conversational Intelligence (15%)</w:t>
            </w:r>
          </w:p>
        </w:tc>
        <w:tc>
          <w:tcPr>
            <w:tcW w:type="dxa" w:w="6336"/>
            <w:shd w:fill="FFFFFF"/>
            <w:tcMar>
              <w:top w:w="100" w:type="dxa"/>
              <w:bottom w:w="100" w:type="dxa"/>
              <w:left w:w="150" w:type="dxa"/>
              <w:right w:w="150" w:type="dxa"/>
            </w:tcMar>
          </w:tcPr>
          <w:p>
            <w:pPr>
              <w:jc w:val="left"/>
            </w:pPr>
            <w:r/>
            <w:r>
              <w:rPr>
                <w:rFonts w:ascii="Arial" w:hAnsi="Arial"/>
                <w:color w:val="1F2937"/>
                <w:sz w:val="18"/>
              </w:rPr>
              <w:t>Proactive clarifying questions when &lt;4 variables are provided; multi-turn conversation memory with progressive environmental parameter merging across turns.</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Structured Recommendations</w:t>
            </w:r>
          </w:p>
        </w:tc>
        <w:tc>
          <w:tcPr>
            <w:tcW w:type="dxa" w:w="6336"/>
            <w:shd w:fill="F9FAFB"/>
            <w:tcMar>
              <w:top w:w="100" w:type="dxa"/>
              <w:bottom w:w="100" w:type="dxa"/>
              <w:left w:w="150" w:type="dxa"/>
              <w:right w:w="150" w:type="dxa"/>
            </w:tcMar>
          </w:tcPr>
          <w:p>
            <w:pPr>
              <w:jc w:val="left"/>
            </w:pPr>
            <w:r/>
            <w:r>
              <w:rPr>
                <w:rFonts w:ascii="Arial" w:hAnsi="Arial"/>
                <w:color w:val="1F2937"/>
                <w:sz w:val="18"/>
              </w:rPr>
              <w:t>7-field standardized schema: action, scientific basis, metrics affected, time horizon, measurable improvement, confidence, evidence/source.</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Output Clarity (10%)</w:t>
            </w:r>
          </w:p>
        </w:tc>
        <w:tc>
          <w:tcPr>
            <w:tcW w:type="dxa" w:w="6336"/>
            <w:shd w:fill="FFFFFF"/>
            <w:tcMar>
              <w:top w:w="100" w:type="dxa"/>
              <w:bottom w:w="100" w:type="dxa"/>
              <w:left w:w="150" w:type="dxa"/>
              <w:right w:w="150" w:type="dxa"/>
            </w:tcMar>
          </w:tcPr>
          <w:p>
            <w:pPr>
              <w:jc w:val="left"/>
            </w:pPr>
            <w:r/>
            <w:r>
              <w:rPr>
                <w:rFonts w:ascii="Arial" w:hAnsi="Arial"/>
                <w:color w:val="1F2937"/>
                <w:sz w:val="18"/>
              </w:rPr>
              <w:t>Streamlit UI with real-time token streaming (/chat/stream), collapsible metadata drawers for concerns, sources, interactions, and clarifying questions.</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Text &amp; Structured Input</w:t>
            </w:r>
          </w:p>
        </w:tc>
        <w:tc>
          <w:tcPr>
            <w:tcW w:type="dxa" w:w="6336"/>
            <w:shd w:fill="F9FAFB"/>
            <w:tcMar>
              <w:top w:w="100" w:type="dxa"/>
              <w:bottom w:w="100" w:type="dxa"/>
              <w:left w:w="150" w:type="dxa"/>
              <w:right w:w="150" w:type="dxa"/>
            </w:tcMar>
          </w:tcPr>
          <w:p>
            <w:pPr>
              <w:jc w:val="left"/>
            </w:pPr>
            <w:r/>
            <w:r>
              <w:rPr>
                <w:rFonts w:ascii="Arial" w:hAnsi="Arial"/>
                <w:color w:val="1F2937"/>
                <w:sz w:val="18"/>
              </w:rPr>
              <w:t>Dual-input interface: free-form natural language queries or 14-parameter structured environmental panel via Streamlit and FastAPI REST payload.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Geo-Coordinates (Bonus)</w:t>
            </w:r>
          </w:p>
        </w:tc>
        <w:tc>
          <w:tcPr>
            <w:tcW w:type="dxa" w:w="6336"/>
            <w:shd w:fill="FFFFFF"/>
            <w:tcMar>
              <w:top w:w="100" w:type="dxa"/>
              <w:bottom w:w="100" w:type="dxa"/>
              <w:left w:w="150" w:type="dxa"/>
              <w:right w:w="150" w:type="dxa"/>
            </w:tcMar>
          </w:tcPr>
          <w:p>
            <w:pPr>
              <w:jc w:val="left"/>
            </w:pPr>
            <w:r/>
            <w:r>
              <w:rPr>
                <w:rFonts w:ascii="Arial" w:hAnsi="Arial"/>
                <w:color w:val="1F2937"/>
                <w:sz w:val="18"/>
              </w:rPr>
              <w:t>Latitude and longitude coordinate inputs supported in EnvironmentalData Pydantic model for future geospatial extensions.</w:t>
            </w:r>
          </w:p>
        </w:tc>
      </w:tr>
    </w:tbl>
    <w:p/>
    <w:p>
      <w:pPr>
        <w:keepNext/>
        <w:spacing w:before="280" w:after="80"/>
      </w:pPr>
      <w:r>
        <w:rPr>
          <w:rFonts w:ascii="Arial" w:hAnsi="Arial"/>
          <w:b/>
          <w:color w:val="1B4D3E"/>
          <w:sz w:val="28"/>
        </w:rPr>
        <w:t>Section 3 — System Architecture</w:t>
      </w:r>
    </w:p>
    <w:p>
      <w:pPr>
        <w:spacing w:after="80"/>
      </w:pPr>
      <w:r>
        <w:t>Darukaa.Earth is architected as a modular, decoupled system separating deterministic scientific reasoning from generative synthesis. Below is the end-to-end dataflow and component pipeline:</w:t>
      </w:r>
    </w:p>
    <w:tbl>
      <w:tblPr>
        <w:tblW w:type="auto" w:w="0"/>
        <w:jc w:val="center"/>
        <w:tblLook w:firstColumn="1" w:firstRow="1" w:lastColumn="0" w:lastRow="0" w:noHBand="0" w:noVBand="1" w:val="04A0"/>
      </w:tblPr>
      <w:tblGrid>
        <w:gridCol w:w="9792"/>
      </w:tblGrid>
      <w:tr>
        <w:tc>
          <w:tcPr>
            <w:tcW w:type="dxa" w:w="9360"/>
            <w:shd w:fill="F3F4F6"/>
            <w:tcMar>
              <w:top w:w="100" w:type="dxa"/>
              <w:bottom w:w="100" w:type="dxa"/>
              <w:left w:w="150" w:type="dxa"/>
              <w:right w:w="150" w:type="dxa"/>
            </w:tcMar>
          </w:tcPr>
          <w:p>
            <w:pPr>
              <w:spacing w:line="276" w:lineRule="auto" w:before="0" w:after="0"/>
            </w:pPr>
            <w:r>
              <w:rPr>
                <w:rFonts w:ascii="Consolas" w:hAnsi="Consolas"/>
                <w:color w:val="111827"/>
                <w:sz w:val="17"/>
              </w:rPr>
              <w:t>User Query + Optional Environmental Parameters (Streamlit UI / REST JSON)</w:t>
              <w:br/>
              <w:t xml:space="preserve">    │</w:t>
              <w:br/>
              <w:t xml:space="preserve">    ▼</w:t>
              <w:br/>
              <w:t>[FastAPI Backend: app/api.py]</w:t>
              <w:br/>
              <w:t xml:space="preserve">    ── Validates request via Pydantic v2 (ChatRequest model)</w:t>
              <w:br/>
              <w:t xml:space="preserve">    ── Retrieves or initializes session state via conversation_id</w:t>
              <w:br/>
              <w:t xml:space="preserve">    │</w:t>
              <w:br/>
              <w:t xml:space="preserve">    ▼</w:t>
              <w:br/>
              <w:t>[Deterministic Reasoning Engine: src/reasoning.py]</w:t>
              <w:br/>
              <w:t xml:space="preserve">    ── Extracts 14 environmental variables (SOC, pH, moisture, rain, temp, land use, etc.)</w:t>
              <w:br/>
              <w:t xml:space="preserve">    ── Checks quantitative thresholds against authoritative agronomic baselines</w:t>
              <w:br/>
              <w:t xml:space="preserve">    ── Evaluates 3-variable compound interaction rules (e.g. Arid Heat-Drought Stress)</w:t>
              <w:br/>
              <w:t xml:space="preserve">    ── Detects missing variables; generates 2–3 targeted clarifying questions if &lt;4 variables</w:t>
              <w:br/>
              <w:t xml:space="preserve">    │</w:t>
              <w:br/>
              <w:t xml:space="preserve">    ▼</w:t>
              <w:br/>
              <w:t>[RAG Retriever &amp; Vector Store: src/retriever.py + ChromaDB]</w:t>
              <w:br/>
              <w:t xml:space="preserve">    ── Converts user query + detected concerns into query embedding via gemini-embedding-001</w:t>
              <w:br/>
              <w:t xml:space="preserve">    ── Executes cosine similarity search over ChromaDB 'environmental_knowledge' collection</w:t>
              <w:br/>
              <w:t xml:space="preserve">    ── Retrieves Top-10 relevant knowledge chunks (knowledge cards, action cards, interactions)</w:t>
              <w:br/>
              <w:t xml:space="preserve">    │</w:t>
              <w:br/>
              <w:t xml:space="preserve">    ▼</w:t>
              <w:br/>
              <w:t>[Conversation &amp; Prompt Layer: src/conversation.py]</w:t>
              <w:br/>
              <w:t xml:space="preserve">    ── Constructs unified prompt: System Instructions + Retrieved Context + Reasoning Data</w:t>
              <w:br/>
              <w:t xml:space="preserve">    ── Appends rolling multi-turn chat history (capped at MAX_CONVERSATION_HISTORY = 20)</w:t>
              <w:br/>
              <w:t xml:space="preserve">    │</w:t>
              <w:br/>
              <w:t xml:space="preserve">    ▼</w:t>
              <w:br/>
              <w:t>[LLM Generation: Google Gemini 3.5 Flash Lite]</w:t>
              <w:br/>
              <w:t xml:space="preserve">    ── Generates scientifically grounded response within strict prompt boundaries</w:t>
              <w:br/>
              <w:t xml:space="preserve">    ── Streams real-time tokens via NDJSON (/chat/stream) or returns structured JSON (/chat)</w:t>
              <w:br/>
              <w:t xml:space="preserve">    │</w:t>
              <w:br/>
              <w:t xml:space="preserve">    ▼</w:t>
              <w:br/>
              <w:t>[Recommendation Parser &amp; Metadata Assembly]</w:t>
              <w:br/>
              <w:t xml:space="preserve">    ── Regex parser extracts 7 structured fields: Action, Basis, Metrics, Timeline, etc.</w:t>
              <w:br/>
              <w:t xml:space="preserve">    ── Assembles final payload: AI response, concerns, sources, interactions, recommendations</w:t>
              <w:br/>
              <w:t xml:space="preserve">    ── Progressively stores merged environmental parameters into in-memory session state</w:t>
            </w:r>
          </w:p>
        </w:tc>
      </w:tr>
    </w:tbl>
    <w:p/>
    <w:p>
      <w:pPr>
        <w:spacing w:after="80"/>
      </w:pPr>
      <w:r>
        <w:t>Component Overview:</w:t>
      </w:r>
    </w:p>
    <w:p>
      <w:pPr>
        <w:pStyle w:val="ListBullet"/>
        <w:spacing w:after="50"/>
      </w:pPr>
      <w:r>
        <w:rPr>
          <w:b/>
          <w:color w:val="1F2937"/>
        </w:rPr>
        <w:t xml:space="preserve">Streamlit UI (ui/streamlit_app.py): </w:t>
      </w:r>
      <w:r>
        <w:rPr>
          <w:color w:val="374151"/>
        </w:rPr>
        <w:t>Web frontend providing interactive environmental input drawers, real-time token streaming, and collapsible metadata inspection panels.</w:t>
      </w:r>
    </w:p>
    <w:p>
      <w:pPr>
        <w:pStyle w:val="ListBullet"/>
        <w:spacing w:after="50"/>
      </w:pPr>
      <w:r>
        <w:rPr>
          <w:b/>
          <w:color w:val="1F2937"/>
        </w:rPr>
        <w:t xml:space="preserve">FastAPI Backend (app/api.py): </w:t>
      </w:r>
      <w:r>
        <w:rPr>
          <w:color w:val="374151"/>
        </w:rPr>
        <w:t>High-performance ASGI backend exposing endpoints for synchronous chat, NDJSON streaming, session management, and health checks.</w:t>
      </w:r>
    </w:p>
    <w:p>
      <w:pPr>
        <w:pStyle w:val="ListBullet"/>
        <w:spacing w:after="50"/>
      </w:pPr>
      <w:r>
        <w:rPr>
          <w:b/>
          <w:color w:val="1F2937"/>
        </w:rPr>
        <w:t xml:space="preserve">Reasoning Engine (src/reasoning.py): </w:t>
      </w:r>
      <w:r>
        <w:rPr>
          <w:color w:val="374151"/>
        </w:rPr>
        <w:t>Pure Python rules engine executing deterministic single- and multi-variable checks before LLM invocation.</w:t>
      </w:r>
    </w:p>
    <w:p>
      <w:pPr>
        <w:pStyle w:val="ListBullet"/>
        <w:spacing w:after="50"/>
      </w:pPr>
      <w:r>
        <w:rPr>
          <w:b/>
          <w:color w:val="1F2937"/>
        </w:rPr>
        <w:t xml:space="preserve">RAG Retriever (src/retriever.py): </w:t>
      </w:r>
      <w:r>
        <w:rPr>
          <w:color w:val="374151"/>
        </w:rPr>
        <w:t>ChromaDB PersistentClient utilizing cosine similarity to retrieve relevant domain entries.</w:t>
      </w:r>
    </w:p>
    <w:p>
      <w:pPr>
        <w:pStyle w:val="ListBullet"/>
        <w:spacing w:after="50"/>
      </w:pPr>
      <w:r>
        <w:rPr>
          <w:b/>
          <w:color w:val="1F2937"/>
        </w:rPr>
        <w:t xml:space="preserve">Conversation Manager (src/conversation.py): </w:t>
      </w:r>
      <w:r>
        <w:rPr>
          <w:color w:val="374151"/>
        </w:rPr>
        <w:t>Orchestrator managing multi-turn memory, RAG formatting, Gemini API calls with exponential backoff, and structured recommendation parsing.</w:t>
      </w:r>
    </w:p>
    <w:p>
      <w:pPr>
        <w:pStyle w:val="ListBullet"/>
        <w:spacing w:after="50"/>
      </w:pPr>
      <w:r>
        <w:rPr>
          <w:b/>
          <w:color w:val="1F2937"/>
        </w:rPr>
        <w:t xml:space="preserve">Google Gemini APIs: </w:t>
      </w:r>
      <w:r>
        <w:rPr>
          <w:color w:val="374151"/>
        </w:rPr>
        <w:t>Active generation model (gemini-3.5-flash-lite) and remote embedding model (gemini-embedding-001) accessed via google-genai SDK.</w:t>
      </w:r>
    </w:p>
    <w:p>
      <w:pPr>
        <w:keepNext/>
        <w:spacing w:before="280" w:after="80"/>
      </w:pPr>
      <w:r>
        <w:rPr>
          <w:rFonts w:ascii="Arial" w:hAnsi="Arial"/>
          <w:b/>
          <w:color w:val="1B4D3E"/>
          <w:sz w:val="28"/>
        </w:rPr>
        <w:t>Section 4 — Knowledge Base &amp; RAG Implementation</w:t>
      </w:r>
    </w:p>
    <w:p>
      <w:pPr>
        <w:spacing w:after="80"/>
      </w:pPr>
      <w:r>
        <w:t>The knowledge base resides in data/environmental_data/knowledge.json and contains 57 curated knowledge entries/chunks grounded in authoritative scientific literature and reports. To optimize semantic retrieval granularity, each topic is partitioned into three specialized document types in src/knowledge_base.py:</w:t>
      </w:r>
    </w:p>
    <w:p>
      <w:pPr>
        <w:pStyle w:val="ListBullet"/>
        <w:spacing w:after="50"/>
      </w:pPr>
      <w:r>
        <w:rPr>
          <w:b/>
          <w:color w:val="1F2937"/>
        </w:rPr>
        <w:t xml:space="preserve">1. Knowledge Chunks ({id}_knowledge): </w:t>
      </w:r>
      <w:r>
        <w:rPr>
          <w:color w:val="374151"/>
        </w:rPr>
        <w:t>Summarizes core biogeochemical concepts, definitions, and agronomic threshold baselines.</w:t>
      </w:r>
    </w:p>
    <w:p>
      <w:pPr>
        <w:pStyle w:val="ListBullet"/>
        <w:spacing w:after="50"/>
      </w:pPr>
      <w:r>
        <w:rPr>
          <w:b/>
          <w:color w:val="1F2937"/>
        </w:rPr>
        <w:t xml:space="preserve">2. Recommendation Chunks ({id}_rec_{i}): </w:t>
      </w:r>
      <w:r>
        <w:rPr>
          <w:color w:val="374151"/>
        </w:rPr>
        <w:t>Captures concrete interventions, expected turnaround timelines, and evidence citations.</w:t>
      </w:r>
    </w:p>
    <w:p>
      <w:pPr>
        <w:pStyle w:val="ListBullet"/>
        <w:spacing w:after="50"/>
      </w:pPr>
      <w:r>
        <w:rPr>
          <w:b/>
          <w:color w:val="1F2937"/>
        </w:rPr>
        <w:t xml:space="preserve">3. Interaction Chunks ({id}_interactions): </w:t>
      </w:r>
      <w:r>
        <w:rPr>
          <w:color w:val="374151"/>
        </w:rPr>
        <w:t>Details how specific environmental variables interact with other ecological drivers.</w:t>
      </w:r>
    </w:p>
    <w:p>
      <w:pPr>
        <w:spacing w:after="80"/>
      </w:pPr>
      <w:r>
        <w:t>Embedding &amp; Vector Database Configuration:</w:t>
      </w:r>
    </w:p>
    <w:p>
      <w:pPr>
        <w:pStyle w:val="ListBullet"/>
        <w:spacing w:after="50"/>
      </w:pPr>
      <w:r>
        <w:rPr>
          <w:b/>
          <w:color w:val="1F2937"/>
        </w:rPr>
        <w:t xml:space="preserve">Embedding Model: </w:t>
      </w:r>
      <w:r>
        <w:rPr>
          <w:color w:val="374151"/>
        </w:rPr>
        <w:t>Dense 768-dimensional float32 vectors generated via Google's remote 'gemini-embedding-001' API.</w:t>
      </w:r>
    </w:p>
    <w:p>
      <w:pPr>
        <w:pStyle w:val="ListBullet"/>
        <w:spacing w:after="50"/>
      </w:pPr>
      <w:r>
        <w:rPr>
          <w:b/>
          <w:color w:val="1F2937"/>
        </w:rPr>
        <w:t xml:space="preserve">Vector Database: </w:t>
      </w:r>
      <w:r>
        <w:rPr>
          <w:color w:val="374151"/>
        </w:rPr>
        <w:t>ChromaDB PersistentClient storing vectors in the 'environmental_knowledge' collection using HNSW indexing with cosine distance.</w:t>
      </w:r>
    </w:p>
    <w:p>
      <w:pPr>
        <w:pStyle w:val="ListBullet"/>
        <w:spacing w:after="50"/>
      </w:pPr>
      <w:r>
        <w:rPr>
          <w:b/>
          <w:color w:val="1F2937"/>
        </w:rPr>
        <w:t xml:space="preserve">Precomputed Embeddings Cache: </w:t>
      </w:r>
      <w:r>
        <w:rPr>
          <w:color w:val="374151"/>
        </w:rPr>
        <w:t>All 57 knowledge embeddings are precomputed into 'data/environmental_data/precomputed_embeddings.json'. ChromaDB loads cached vectors instantly on startup, executing zero embedding API calls and eliminating boot latency.</w:t>
      </w:r>
    </w:p>
    <w:p>
      <w:pPr>
        <w:pStyle w:val="ListBullet"/>
        <w:spacing w:after="50"/>
      </w:pPr>
      <w:r>
        <w:rPr>
          <w:b/>
          <w:color w:val="1F2937"/>
        </w:rPr>
        <w:t xml:space="preserve">Query-Time Retrieval: </w:t>
      </w:r>
      <w:r>
        <w:rPr>
          <w:color w:val="374151"/>
        </w:rPr>
        <w:t>Incoming user queries are embedded on-the-fly and matched against the collection, returning the top-10 most semantically relevant documents.</w:t>
      </w:r>
    </w:p>
    <w:tbl>
      <w:tblPr>
        <w:tblW w:type="auto" w:w="0"/>
        <w:jc w:val="center"/>
        <w:tblLayout w:type="fixed"/>
        <w:tblLook w:firstColumn="1" w:firstRow="1" w:lastColumn="0" w:lastRow="0" w:noHBand="0" w:noVBand="1" w:val="04A0"/>
      </w:tblPr>
      <w:tblGrid>
        <w:gridCol w:w="4896"/>
        <w:gridCol w:w="4896"/>
      </w:tblGrid>
      <w:tr>
        <w:tc>
          <w:tcPr>
            <w:tcW w:type="dxa" w:w="3312"/>
            <w:shd w:fill="1B4D3E"/>
            <w:tcMar>
              <w:top w:w="130" w:type="dxa"/>
              <w:bottom w:w="130" w:type="dxa"/>
              <w:left w:w="160" w:type="dxa"/>
              <w:right w:w="160" w:type="dxa"/>
            </w:tcMar>
          </w:tcPr>
          <w:p>
            <w:pPr>
              <w:jc w:val="left"/>
            </w:pPr>
            <w:r>
              <w:rPr>
                <w:rFonts w:ascii="Arial" w:hAnsi="Arial"/>
                <w:b/>
                <w:color w:val="FFFFFF"/>
                <w:sz w:val="19"/>
              </w:rPr>
              <w:t>Knowledge Domain</w:t>
            </w:r>
          </w:p>
        </w:tc>
        <w:tc>
          <w:tcPr>
            <w:tcW w:type="dxa" w:w="6048"/>
            <w:shd w:fill="1B4D3E"/>
            <w:tcMar>
              <w:top w:w="130" w:type="dxa"/>
              <w:bottom w:w="130" w:type="dxa"/>
              <w:left w:w="160" w:type="dxa"/>
              <w:right w:w="160" w:type="dxa"/>
            </w:tcMar>
          </w:tcPr>
          <w:p>
            <w:pPr>
              <w:jc w:val="left"/>
            </w:pPr>
            <w:r>
              <w:rPr>
                <w:rFonts w:ascii="Arial" w:hAnsi="Arial"/>
                <w:b/>
                <w:color w:val="FFFFFF"/>
                <w:sz w:val="19"/>
              </w:rPr>
              <w:t>Authoritative Scientific Literature &amp; Reports</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Soil Organic Carbon (SOC)</w:t>
            </w:r>
          </w:p>
        </w:tc>
        <w:tc>
          <w:tcPr>
            <w:tcW w:type="dxa" w:w="6048"/>
            <w:shd w:fill="FFFFFF"/>
            <w:tcMar>
              <w:top w:w="100" w:type="dxa"/>
              <w:bottom w:w="100" w:type="dxa"/>
              <w:left w:w="150" w:type="dxa"/>
              <w:right w:w="150" w:type="dxa"/>
            </w:tcMar>
          </w:tcPr>
          <w:p>
            <w:pPr>
              <w:jc w:val="left"/>
            </w:pPr>
            <w:r/>
            <w:r>
              <w:rPr>
                <w:rFonts w:ascii="Arial" w:hAnsi="Arial"/>
                <w:color w:val="1F2937"/>
                <w:sz w:val="18"/>
              </w:rPr>
              <w:t>FAO Global Soil Organic Carbon Map (GSOCmap); Lal, R. (2004) Science.</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Soil pH &amp; Chemistry</w:t>
            </w:r>
          </w:p>
        </w:tc>
        <w:tc>
          <w:tcPr>
            <w:tcW w:type="dxa" w:w="6048"/>
            <w:shd w:fill="F9FAFB"/>
            <w:tcMar>
              <w:top w:w="100" w:type="dxa"/>
              <w:bottom w:w="100" w:type="dxa"/>
              <w:left w:w="150" w:type="dxa"/>
              <w:right w:w="150" w:type="dxa"/>
            </w:tcMar>
          </w:tcPr>
          <w:p>
            <w:pPr>
              <w:jc w:val="left"/>
            </w:pPr>
            <w:r/>
            <w:r>
              <w:rPr>
                <w:rFonts w:ascii="Arial" w:hAnsi="Arial"/>
                <w:color w:val="1F2937"/>
                <w:sz w:val="18"/>
              </w:rPr>
              <w:t>Brady, N.C. &amp; Weil, R.R. (2016) The Nature and Properties of Soils; USDA-NRCS.</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Soil Moisture &amp; Hydrology</w:t>
            </w:r>
          </w:p>
        </w:tc>
        <w:tc>
          <w:tcPr>
            <w:tcW w:type="dxa" w:w="6048"/>
            <w:shd w:fill="FFFFFF"/>
            <w:tcMar>
              <w:top w:w="100" w:type="dxa"/>
              <w:bottom w:w="100" w:type="dxa"/>
              <w:left w:w="150" w:type="dxa"/>
              <w:right w:w="150" w:type="dxa"/>
            </w:tcMar>
          </w:tcPr>
          <w:p>
            <w:pPr>
              <w:jc w:val="left"/>
            </w:pPr>
            <w:r/>
            <w:r>
              <w:rPr>
                <w:rFonts w:ascii="Arial" w:hAnsi="Arial"/>
                <w:color w:val="1F2937"/>
                <w:sz w:val="18"/>
              </w:rPr>
              <w:t>FAO Irrigation and Drainage Papers; Hillel, D. (2003) Soil Water Dynamics.</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Soil Erosion &amp; Conservation</w:t>
            </w:r>
          </w:p>
        </w:tc>
        <w:tc>
          <w:tcPr>
            <w:tcW w:type="dxa" w:w="6048"/>
            <w:shd w:fill="F9FAFB"/>
            <w:tcMar>
              <w:top w:w="100" w:type="dxa"/>
              <w:bottom w:w="100" w:type="dxa"/>
              <w:left w:w="150" w:type="dxa"/>
              <w:right w:w="150" w:type="dxa"/>
            </w:tcMar>
          </w:tcPr>
          <w:p>
            <w:pPr>
              <w:jc w:val="left"/>
            </w:pPr>
            <w:r/>
            <w:r>
              <w:rPr>
                <w:rFonts w:ascii="Arial" w:hAnsi="Arial"/>
                <w:color w:val="1F2937"/>
                <w:sz w:val="18"/>
              </w:rPr>
              <w:t>Montgomery, D.R. (2007) PNAS; USDA-NRCS Conservation Practice Standards.</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Crop Diversity &amp; Monoculture</w:t>
            </w:r>
          </w:p>
        </w:tc>
        <w:tc>
          <w:tcPr>
            <w:tcW w:type="dxa" w:w="6048"/>
            <w:shd w:fill="FFFFFF"/>
            <w:tcMar>
              <w:top w:w="100" w:type="dxa"/>
              <w:bottom w:w="100" w:type="dxa"/>
              <w:left w:w="150" w:type="dxa"/>
              <w:right w:w="150" w:type="dxa"/>
            </w:tcMar>
          </w:tcPr>
          <w:p>
            <w:pPr>
              <w:jc w:val="left"/>
            </w:pPr>
            <w:r/>
            <w:r>
              <w:rPr>
                <w:rFonts w:ascii="Arial" w:hAnsi="Arial"/>
                <w:color w:val="1F2937"/>
                <w:sz w:val="18"/>
              </w:rPr>
              <w:t>FAO Biodiversity &amp; Sustainable Agriculture; Sirami et al. (2019) Nature Ecol. Evol.</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Agroforestry Systems</w:t>
            </w:r>
          </w:p>
        </w:tc>
        <w:tc>
          <w:tcPr>
            <w:tcW w:type="dxa" w:w="6048"/>
            <w:shd w:fill="F9FAFB"/>
            <w:tcMar>
              <w:top w:w="100" w:type="dxa"/>
              <w:bottom w:w="100" w:type="dxa"/>
              <w:left w:w="150" w:type="dxa"/>
              <w:right w:w="150" w:type="dxa"/>
            </w:tcMar>
          </w:tcPr>
          <w:p>
            <w:pPr>
              <w:jc w:val="left"/>
            </w:pPr>
            <w:r/>
            <w:r>
              <w:rPr>
                <w:rFonts w:ascii="Arial" w:hAnsi="Arial"/>
                <w:color w:val="1F2937"/>
                <w:sz w:val="18"/>
              </w:rPr>
              <w:t>FAO Agroforestry Guidelines; Nair, P.K.R. (1993) Introduction to Agroforestry.</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Biodiversity Indicators</w:t>
            </w:r>
          </w:p>
        </w:tc>
        <w:tc>
          <w:tcPr>
            <w:tcW w:type="dxa" w:w="6048"/>
            <w:shd w:fill="FFFFFF"/>
            <w:tcMar>
              <w:top w:w="100" w:type="dxa"/>
              <w:bottom w:w="100" w:type="dxa"/>
              <w:left w:w="150" w:type="dxa"/>
              <w:right w:w="150" w:type="dxa"/>
            </w:tcMar>
          </w:tcPr>
          <w:p>
            <w:pPr>
              <w:jc w:val="left"/>
            </w:pPr>
            <w:r/>
            <w:r>
              <w:rPr>
                <w:rFonts w:ascii="Arial" w:hAnsi="Arial"/>
                <w:color w:val="1F2937"/>
                <w:sz w:val="18"/>
              </w:rPr>
              <w:t>IPBES (2019) Global Assessment Report on Biodiversity and Ecosystem Services.</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Rainfall &amp; Water Resources</w:t>
            </w:r>
          </w:p>
        </w:tc>
        <w:tc>
          <w:tcPr>
            <w:tcW w:type="dxa" w:w="6048"/>
            <w:shd w:fill="F9FAFB"/>
            <w:tcMar>
              <w:top w:w="100" w:type="dxa"/>
              <w:bottom w:w="100" w:type="dxa"/>
              <w:left w:w="150" w:type="dxa"/>
              <w:right w:w="150" w:type="dxa"/>
            </w:tcMar>
          </w:tcPr>
          <w:p>
            <w:pPr>
              <w:jc w:val="left"/>
            </w:pPr>
            <w:r/>
            <w:r>
              <w:rPr>
                <w:rFonts w:ascii="Arial" w:hAnsi="Arial"/>
                <w:color w:val="1F2937"/>
                <w:sz w:val="18"/>
              </w:rPr>
              <w:t>IPCC AR6 Working Group II Chapter 4 (Water); FAO AQUASTAT.</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Temperature &amp; Thermal Stress</w:t>
            </w:r>
          </w:p>
        </w:tc>
        <w:tc>
          <w:tcPr>
            <w:tcW w:type="dxa" w:w="6048"/>
            <w:shd w:fill="FFFFFF"/>
            <w:tcMar>
              <w:top w:w="100" w:type="dxa"/>
              <w:bottom w:w="100" w:type="dxa"/>
              <w:left w:w="150" w:type="dxa"/>
              <w:right w:w="150" w:type="dxa"/>
            </w:tcMar>
          </w:tcPr>
          <w:p>
            <w:pPr>
              <w:jc w:val="left"/>
            </w:pPr>
            <w:r/>
            <w:r>
              <w:rPr>
                <w:rFonts w:ascii="Arial" w:hAnsi="Arial"/>
                <w:color w:val="1F2937"/>
                <w:sz w:val="18"/>
              </w:rPr>
              <w:t>IPCC AR6 WG2 Chapter 2 (Terrestrial Ecosystems); Lobell et al. (2011).</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Deforestation &amp; Land Degradation</w:t>
            </w:r>
          </w:p>
        </w:tc>
        <w:tc>
          <w:tcPr>
            <w:tcW w:type="dxa" w:w="6048"/>
            <w:shd w:fill="F9FAFB"/>
            <w:tcMar>
              <w:top w:w="100" w:type="dxa"/>
              <w:bottom w:w="100" w:type="dxa"/>
              <w:left w:w="150" w:type="dxa"/>
              <w:right w:w="150" w:type="dxa"/>
            </w:tcMar>
          </w:tcPr>
          <w:p>
            <w:pPr>
              <w:jc w:val="left"/>
            </w:pPr>
            <w:r/>
            <w:r>
              <w:rPr>
                <w:rFonts w:ascii="Arial" w:hAnsi="Arial"/>
                <w:color w:val="1F2937"/>
                <w:sz w:val="18"/>
              </w:rPr>
              <w:t>FAO (2020) Global Forest Resources Assessment; IPBES Land Degradation.</w:t>
            </w:r>
          </w:p>
        </w:tc>
      </w:tr>
      <w:tr>
        <w:tc>
          <w:tcPr>
            <w:tcW w:type="dxa" w:w="3312"/>
            <w:shd w:fill="FFFFFF"/>
            <w:tcMar>
              <w:top w:w="100" w:type="dxa"/>
              <w:bottom w:w="100" w:type="dxa"/>
              <w:left w:w="150" w:type="dxa"/>
              <w:right w:w="150" w:type="dxa"/>
            </w:tcMar>
          </w:tcPr>
          <w:p>
            <w:pPr>
              <w:jc w:val="left"/>
            </w:pPr>
            <w:r/>
            <w:r>
              <w:rPr>
                <w:rFonts w:ascii="Arial" w:hAnsi="Arial"/>
                <w:color w:val="1F2937"/>
                <w:sz w:val="18"/>
              </w:rPr>
              <w:t>Pollution &amp; Contamination</w:t>
            </w:r>
          </w:p>
        </w:tc>
        <w:tc>
          <w:tcPr>
            <w:tcW w:type="dxa" w:w="6048"/>
            <w:shd w:fill="FFFFFF"/>
            <w:tcMar>
              <w:top w:w="100" w:type="dxa"/>
              <w:bottom w:w="100" w:type="dxa"/>
              <w:left w:w="150" w:type="dxa"/>
              <w:right w:w="150" w:type="dxa"/>
            </w:tcMar>
          </w:tcPr>
          <w:p>
            <w:pPr>
              <w:jc w:val="left"/>
            </w:pPr>
            <w:r/>
            <w:r>
              <w:rPr>
                <w:rFonts w:ascii="Arial" w:hAnsi="Arial"/>
                <w:color w:val="1F2937"/>
                <w:sz w:val="18"/>
              </w:rPr>
              <w:t>UNEP (2019) Global Environment Outlook 6; Kadlec &amp; Wallace (2009).</w:t>
            </w:r>
          </w:p>
        </w:tc>
      </w:tr>
      <w:tr>
        <w:tc>
          <w:tcPr>
            <w:tcW w:type="dxa" w:w="3312"/>
            <w:shd w:fill="F9FAFB"/>
            <w:tcMar>
              <w:top w:w="100" w:type="dxa"/>
              <w:bottom w:w="100" w:type="dxa"/>
              <w:left w:w="150" w:type="dxa"/>
              <w:right w:w="150" w:type="dxa"/>
            </w:tcMar>
          </w:tcPr>
          <w:p>
            <w:pPr>
              <w:jc w:val="left"/>
            </w:pPr>
            <w:r/>
            <w:r>
              <w:rPr>
                <w:rFonts w:ascii="Arial" w:hAnsi="Arial"/>
                <w:color w:val="1F2937"/>
                <w:sz w:val="18"/>
              </w:rPr>
              <w:t>Wetland Conservation</w:t>
            </w:r>
          </w:p>
        </w:tc>
        <w:tc>
          <w:tcPr>
            <w:tcW w:type="dxa" w:w="6048"/>
            <w:shd w:fill="F9FAFB"/>
            <w:tcMar>
              <w:top w:w="100" w:type="dxa"/>
              <w:bottom w:w="100" w:type="dxa"/>
              <w:left w:w="150" w:type="dxa"/>
              <w:right w:w="150" w:type="dxa"/>
            </w:tcMar>
          </w:tcPr>
          <w:p>
            <w:pPr>
              <w:jc w:val="left"/>
            </w:pPr>
            <w:r/>
            <w:r>
              <w:rPr>
                <w:rFonts w:ascii="Arial" w:hAnsi="Arial"/>
                <w:color w:val="1F2937"/>
                <w:sz w:val="18"/>
              </w:rPr>
              <w:t>Ramsar Convention, Global Wetland Outlook; Joosten &amp; Clarke (2002).</w:t>
            </w:r>
          </w:p>
        </w:tc>
      </w:tr>
    </w:tbl>
    <w:p/>
    <w:p>
      <w:pPr>
        <w:spacing w:after="80"/>
      </w:pPr>
      <w:r>
        <w:t>Context Injection: Retrieved documents are formatted into a structured RAG context block injected into the prompt. Sources are extracted from document metadata and exposed directly to the user in the API response and Streamlit metadata drawer.</w:t>
      </w:r>
    </w:p>
    <w:p>
      <w:pPr>
        <w:keepNext/>
        <w:spacing w:before="280" w:after="80"/>
      </w:pPr>
      <w:r>
        <w:rPr>
          <w:rFonts w:ascii="Arial" w:hAnsi="Arial"/>
          <w:b/>
          <w:color w:val="1B4D3E"/>
          <w:sz w:val="28"/>
        </w:rPr>
        <w:t>Section 5 — Multi-Metric Reasoning Engine</w:t>
      </w:r>
    </w:p>
    <w:p>
      <w:pPr>
        <w:spacing w:after="80"/>
      </w:pPr>
      <w:r>
        <w:t>A critical requirement of the Darukaa Challenge (evaluating 30% of project scoring) is multi-metric reasoning. Rather than relying on the LLM to identify multi-variable relationships unassisted, Darukaa.Earth implements a deterministic rules engine in src/reasoning.py that executes cross-variable compound analysis across 3 or more variables simultaneously.</w:t>
      </w:r>
    </w:p>
    <w:tbl>
      <w:tblPr>
        <w:tblW w:type="auto" w:w="0"/>
        <w:jc w:val="center"/>
        <w:tblLayout w:type="fixed"/>
        <w:tblLook w:firstColumn="1" w:firstRow="1" w:lastColumn="0" w:lastRow="0" w:noHBand="0" w:noVBand="1" w:val="04A0"/>
      </w:tblPr>
      <w:tblGrid>
        <w:gridCol w:w="3264"/>
        <w:gridCol w:w="3264"/>
        <w:gridCol w:w="3264"/>
      </w:tblGrid>
      <w:tr>
        <w:tc>
          <w:tcPr>
            <w:tcW w:type="dxa" w:w="2592"/>
            <w:shd w:fill="1B4D3E"/>
            <w:tcMar>
              <w:top w:w="130" w:type="dxa"/>
              <w:bottom w:w="130" w:type="dxa"/>
              <w:left w:w="160" w:type="dxa"/>
              <w:right w:w="160" w:type="dxa"/>
            </w:tcMar>
          </w:tcPr>
          <w:p>
            <w:pPr>
              <w:jc w:val="left"/>
            </w:pPr>
            <w:r>
              <w:rPr>
                <w:rFonts w:ascii="Arial" w:hAnsi="Arial"/>
                <w:b/>
                <w:color w:val="FFFFFF"/>
                <w:sz w:val="19"/>
              </w:rPr>
              <w:t>Compound Rule</w:t>
            </w:r>
          </w:p>
        </w:tc>
        <w:tc>
          <w:tcPr>
            <w:tcW w:type="dxa" w:w="2592"/>
            <w:shd w:fill="1B4D3E"/>
            <w:tcMar>
              <w:top w:w="130" w:type="dxa"/>
              <w:bottom w:w="130" w:type="dxa"/>
              <w:left w:w="160" w:type="dxa"/>
              <w:right w:w="160" w:type="dxa"/>
            </w:tcMar>
          </w:tcPr>
          <w:p>
            <w:pPr>
              <w:jc w:val="left"/>
            </w:pPr>
            <w:r>
              <w:rPr>
                <w:rFonts w:ascii="Arial" w:hAnsi="Arial"/>
                <w:b/>
                <w:color w:val="FFFFFF"/>
                <w:sz w:val="19"/>
              </w:rPr>
              <w:t>Trigger Condition</w:t>
            </w:r>
          </w:p>
        </w:tc>
        <w:tc>
          <w:tcPr>
            <w:tcW w:type="dxa" w:w="4176"/>
            <w:shd w:fill="1B4D3E"/>
            <w:tcMar>
              <w:top w:w="130" w:type="dxa"/>
              <w:bottom w:w="130" w:type="dxa"/>
              <w:left w:w="160" w:type="dxa"/>
              <w:right w:w="160" w:type="dxa"/>
            </w:tcMar>
          </w:tcPr>
          <w:p>
            <w:pPr>
              <w:jc w:val="left"/>
            </w:pPr>
            <w:r>
              <w:rPr>
                <w:rFonts w:ascii="Arial" w:hAnsi="Arial"/>
                <w:b/>
                <w:color w:val="FFFFFF"/>
                <w:sz w:val="19"/>
              </w:rPr>
              <w:t>Ecological Interpretation &amp; Mechanism</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Arid Heat-Drought Stress</w:t>
              <w:br/>
              <w:t>(Temp + Rain + Moisture)</w:t>
            </w:r>
          </w:p>
        </w:tc>
        <w:tc>
          <w:tcPr>
            <w:tcW w:type="dxa" w:w="2592"/>
            <w:shd w:fill="FFFFFF"/>
            <w:tcMar>
              <w:top w:w="100" w:type="dxa"/>
              <w:bottom w:w="100" w:type="dxa"/>
              <w:left w:w="150" w:type="dxa"/>
              <w:right w:w="150" w:type="dxa"/>
            </w:tcMar>
          </w:tcPr>
          <w:p>
            <w:pPr>
              <w:jc w:val="left"/>
            </w:pPr>
            <w:r/>
            <w:r>
              <w:rPr>
                <w:rFonts w:ascii="Arial" w:hAnsi="Arial"/>
                <w:color w:val="1F2937"/>
                <w:sz w:val="18"/>
              </w:rPr>
              <w:t>Temperature &gt;= 30°C</w:t>
              <w:br/>
              <w:t>Rainfall &lt;= 500 mm</w:t>
              <w:br/>
              <w:t>Soil Moisture &lt;= 30%</w:t>
            </w:r>
          </w:p>
        </w:tc>
        <w:tc>
          <w:tcPr>
            <w:tcW w:type="dxa" w:w="4176"/>
            <w:shd w:fill="FFFFFF"/>
            <w:tcMar>
              <w:top w:w="100" w:type="dxa"/>
              <w:bottom w:w="100" w:type="dxa"/>
              <w:left w:w="150" w:type="dxa"/>
              <w:right w:w="150" w:type="dxa"/>
            </w:tcMar>
          </w:tcPr>
          <w:p>
            <w:pPr>
              <w:jc w:val="left"/>
            </w:pPr>
            <w:r/>
            <w:r>
              <w:rPr>
                <w:rFonts w:ascii="Arial" w:hAnsi="Arial"/>
                <w:color w:val="1F2937"/>
                <w:sz w:val="18"/>
              </w:rPr>
              <w:t>Elevated temperature drives exponential vapor pressure deficit while low rainfall and low soil moisture exhaust plant-available water. Transpiration demand exceeds soil hydraulic conductivity; surface residue shading, mulch, and drought-hardy roots must be prioritized immediately.</w:t>
            </w:r>
          </w:p>
        </w:tc>
      </w:tr>
      <w:tr>
        <w:tc>
          <w:tcPr>
            <w:tcW w:type="dxa" w:w="2592"/>
            <w:shd w:fill="F9FAFB"/>
            <w:tcMar>
              <w:top w:w="100" w:type="dxa"/>
              <w:bottom w:w="100" w:type="dxa"/>
              <w:left w:w="150" w:type="dxa"/>
              <w:right w:w="150" w:type="dxa"/>
            </w:tcMar>
          </w:tcPr>
          <w:p>
            <w:pPr>
              <w:jc w:val="left"/>
            </w:pPr>
            <w:r/>
            <w:r>
              <w:rPr>
                <w:rFonts w:ascii="Arial" w:hAnsi="Arial"/>
                <w:color w:val="1F2937"/>
                <w:sz w:val="18"/>
              </w:rPr>
              <w:t>Biochemical Limitation</w:t>
              <w:br/>
              <w:t>(Soil pH + SOC + Moisture)</w:t>
            </w:r>
          </w:p>
        </w:tc>
        <w:tc>
          <w:tcPr>
            <w:tcW w:type="dxa" w:w="2592"/>
            <w:shd w:fill="F9FAFB"/>
            <w:tcMar>
              <w:top w:w="100" w:type="dxa"/>
              <w:bottom w:w="100" w:type="dxa"/>
              <w:left w:w="150" w:type="dxa"/>
              <w:right w:w="150" w:type="dxa"/>
            </w:tcMar>
          </w:tcPr>
          <w:p>
            <w:pPr>
              <w:jc w:val="left"/>
            </w:pPr>
            <w:r/>
            <w:r>
              <w:rPr>
                <w:rFonts w:ascii="Arial" w:hAnsi="Arial"/>
                <w:color w:val="1F2937"/>
                <w:sz w:val="18"/>
              </w:rPr>
              <w:t>Soil pH &lt; 5.5</w:t>
              <w:br/>
              <w:t>SOC &lt; 1.0%</w:t>
              <w:br/>
              <w:t>Soil Moisture &lt;= 30%</w:t>
            </w:r>
          </w:p>
        </w:tc>
        <w:tc>
          <w:tcPr>
            <w:tcW w:type="dxa" w:w="4176"/>
            <w:shd w:fill="F9FAFB"/>
            <w:tcMar>
              <w:top w:w="100" w:type="dxa"/>
              <w:bottom w:w="100" w:type="dxa"/>
              <w:left w:w="150" w:type="dxa"/>
              <w:right w:w="150" w:type="dxa"/>
            </w:tcMar>
          </w:tcPr>
          <w:p>
            <w:pPr>
              <w:jc w:val="left"/>
            </w:pPr>
            <w:r/>
            <w:r>
              <w:rPr>
                <w:rFonts w:ascii="Arial" w:hAnsi="Arial"/>
                <w:color w:val="1F2937"/>
                <w:sz w:val="18"/>
              </w:rPr>
              <w:t>Strongly acidic conditions induce aluminum toxicity and phosphorus fixation, while depleted SOC eliminates cation exchange capacity and moisture buffering. Liming and organic buffering must precede biological inoculants to allow root establishment.</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Carbon Degradation</w:t>
              <w:br/>
              <w:t>(Temp + SOC + Rainfall)</w:t>
            </w:r>
          </w:p>
        </w:tc>
        <w:tc>
          <w:tcPr>
            <w:tcW w:type="dxa" w:w="2592"/>
            <w:shd w:fill="FFFFFF"/>
            <w:tcMar>
              <w:top w:w="100" w:type="dxa"/>
              <w:bottom w:w="100" w:type="dxa"/>
              <w:left w:w="150" w:type="dxa"/>
              <w:right w:w="150" w:type="dxa"/>
            </w:tcMar>
          </w:tcPr>
          <w:p>
            <w:pPr>
              <w:jc w:val="left"/>
            </w:pPr>
            <w:r/>
            <w:r>
              <w:rPr>
                <w:rFonts w:ascii="Arial" w:hAnsi="Arial"/>
                <w:color w:val="1F2937"/>
                <w:sz w:val="18"/>
              </w:rPr>
              <w:t>Temperature &gt;= 30°C</w:t>
              <w:br/>
              <w:t>SOC &lt; 1.0%</w:t>
              <w:br/>
              <w:t>Rainfall &lt;= 500 mm</w:t>
            </w:r>
          </w:p>
        </w:tc>
        <w:tc>
          <w:tcPr>
            <w:tcW w:type="dxa" w:w="4176"/>
            <w:shd w:fill="FFFFFF"/>
            <w:tcMar>
              <w:top w:w="100" w:type="dxa"/>
              <w:bottom w:w="100" w:type="dxa"/>
              <w:left w:w="150" w:type="dxa"/>
              <w:right w:w="150" w:type="dxa"/>
            </w:tcMar>
          </w:tcPr>
          <w:p>
            <w:pPr>
              <w:jc w:val="left"/>
            </w:pPr>
            <w:r/>
            <w:r>
              <w:rPr>
                <w:rFonts w:ascii="Arial" w:hAnsi="Arial"/>
                <w:color w:val="1F2937"/>
                <w:sz w:val="18"/>
              </w:rPr>
              <w:t>High temperatures accelerate microbial decomposition of organic carbon (Q10 effect) while semi-arid rainfall restricts vegetative biomass regrowth. Soils face rapid organic pool collapse unless continuous mulch and compost additions are supplied.</w:t>
            </w:r>
          </w:p>
        </w:tc>
      </w:tr>
      <w:tr>
        <w:tc>
          <w:tcPr>
            <w:tcW w:type="dxa" w:w="2592"/>
            <w:shd w:fill="F9FAFB"/>
            <w:tcMar>
              <w:top w:w="100" w:type="dxa"/>
              <w:bottom w:w="100" w:type="dxa"/>
              <w:left w:w="150" w:type="dxa"/>
              <w:right w:w="150" w:type="dxa"/>
            </w:tcMar>
          </w:tcPr>
          <w:p>
            <w:pPr>
              <w:jc w:val="left"/>
            </w:pPr>
            <w:r/>
            <w:r>
              <w:rPr>
                <w:rFonts w:ascii="Arial" w:hAnsi="Arial"/>
                <w:color w:val="1F2937"/>
                <w:sz w:val="18"/>
              </w:rPr>
              <w:t>Monoculture Vulnerability</w:t>
              <w:br/>
              <w:t>(Land Use + Moisture + Rain)</w:t>
            </w:r>
          </w:p>
        </w:tc>
        <w:tc>
          <w:tcPr>
            <w:tcW w:type="dxa" w:w="2592"/>
            <w:shd w:fill="F9FAFB"/>
            <w:tcMar>
              <w:top w:w="100" w:type="dxa"/>
              <w:bottom w:w="100" w:type="dxa"/>
              <w:left w:w="150" w:type="dxa"/>
              <w:right w:w="150" w:type="dxa"/>
            </w:tcMar>
          </w:tcPr>
          <w:p>
            <w:pPr>
              <w:jc w:val="left"/>
            </w:pPr>
            <w:r/>
            <w:r>
              <w:rPr>
                <w:rFonts w:ascii="Arial" w:hAnsi="Arial"/>
                <w:color w:val="1F2937"/>
                <w:sz w:val="18"/>
              </w:rPr>
              <w:t>Monoculture land use</w:t>
              <w:br/>
              <w:t>Soil Moisture &lt;= 30%</w:t>
              <w:br/>
              <w:t>Rainfall &lt;= 500 mm</w:t>
            </w:r>
          </w:p>
        </w:tc>
        <w:tc>
          <w:tcPr>
            <w:tcW w:type="dxa" w:w="4176"/>
            <w:shd w:fill="F9FAFB"/>
            <w:tcMar>
              <w:top w:w="100" w:type="dxa"/>
              <w:bottom w:w="100" w:type="dxa"/>
              <w:left w:w="150" w:type="dxa"/>
              <w:right w:w="150" w:type="dxa"/>
            </w:tcMar>
          </w:tcPr>
          <w:p>
            <w:pPr>
              <w:jc w:val="left"/>
            </w:pPr>
            <w:r/>
            <w:r>
              <w:rPr>
                <w:rFonts w:ascii="Arial" w:hAnsi="Arial"/>
                <w:color w:val="1F2937"/>
                <w:sz w:val="18"/>
              </w:rPr>
              <w:t>Continuous single-crop farming under low moisture and low rainfall depletes a single rooting horizon and elevates pathogen vulnerability. Transitioning to multi-species rotations with deep-rooting drought-hardy legumes diversifies water extraction profiles.</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Wetland Eutrophication</w:t>
              <w:br/>
              <w:t>(Wetland + Pollution + Bio)</w:t>
            </w:r>
          </w:p>
        </w:tc>
        <w:tc>
          <w:tcPr>
            <w:tcW w:type="dxa" w:w="2592"/>
            <w:shd w:fill="FFFFFF"/>
            <w:tcMar>
              <w:top w:w="100" w:type="dxa"/>
              <w:bottom w:w="100" w:type="dxa"/>
              <w:left w:w="150" w:type="dxa"/>
              <w:right w:w="150" w:type="dxa"/>
            </w:tcMar>
          </w:tcPr>
          <w:p>
            <w:pPr>
              <w:jc w:val="left"/>
            </w:pPr>
            <w:r/>
            <w:r>
              <w:rPr>
                <w:rFonts w:ascii="Arial" w:hAnsi="Arial"/>
                <w:color w:val="1F2937"/>
                <w:sz w:val="18"/>
              </w:rPr>
              <w:t>Wetland land use</w:t>
              <w:br/>
              <w:t>Pollution = Severe</w:t>
              <w:br/>
              <w:t>Biodiversity Index &lt; 2.0</w:t>
            </w:r>
          </w:p>
        </w:tc>
        <w:tc>
          <w:tcPr>
            <w:tcW w:type="dxa" w:w="4176"/>
            <w:shd w:fill="FFFFFF"/>
            <w:tcMar>
              <w:top w:w="100" w:type="dxa"/>
              <w:bottom w:w="100" w:type="dxa"/>
              <w:left w:w="150" w:type="dxa"/>
              <w:right w:w="150" w:type="dxa"/>
            </w:tcMar>
          </w:tcPr>
          <w:p>
            <w:pPr>
              <w:jc w:val="left"/>
            </w:pPr>
            <w:r/>
            <w:r>
              <w:rPr>
                <w:rFonts w:ascii="Arial" w:hAnsi="Arial"/>
                <w:color w:val="1F2937"/>
                <w:sz w:val="18"/>
              </w:rPr>
              <w:t>Excessive nutrient or chemical loading into degraded wetlands overwhelms biological assimilation capacity, inducing hypoxia and trophic collapse. Constructed buffer cells and native macrophytes are urgent to filter contaminants.</w:t>
            </w:r>
          </w:p>
        </w:tc>
      </w:tr>
    </w:tbl>
    <w:p/>
    <w:p>
      <w:pPr>
        <w:keepNext/>
        <w:spacing w:before="280" w:after="80"/>
      </w:pPr>
      <w:r>
        <w:rPr>
          <w:rFonts w:ascii="Arial" w:hAnsi="Arial"/>
          <w:b/>
          <w:color w:val="1B4D3E"/>
          <w:sz w:val="28"/>
        </w:rPr>
        <w:t>Section 6 — Conversational Intelligence &amp; Incomplete Data</w:t>
      </w:r>
    </w:p>
    <w:p>
      <w:pPr>
        <w:spacing w:after="80"/>
      </w:pPr>
      <w:r>
        <w:t>Real-world environmental consultations rarely begin with a full laboratory report. Darukaa.Earth handles incomplete inputs through an adaptive, multi-turn conversational intelligence architecture:</w:t>
      </w:r>
    </w:p>
    <w:p>
      <w:pPr>
        <w:pStyle w:val="ListBullet"/>
        <w:spacing w:after="50"/>
      </w:pPr>
      <w:r>
        <w:rPr>
          <w:b/>
          <w:color w:val="1F2937"/>
        </w:rPr>
        <w:t xml:space="preserve">Incomplete-Input Detection: </w:t>
      </w:r>
      <w:r>
        <w:rPr>
          <w:color w:val="374151"/>
        </w:rPr>
        <w:t>When fewer than 4 critical variables are present, the system does not issue an ungrounded definitive prescription. It leads with 2–3 targeted clarifying questions requesting the most ecologically decisive missing metrics.</w:t>
      </w:r>
    </w:p>
    <w:p>
      <w:pPr>
        <w:pStyle w:val="ListBullet"/>
        <w:spacing w:after="50"/>
      </w:pPr>
      <w:r>
        <w:rPr>
          <w:b/>
          <w:color w:val="1F2937"/>
        </w:rPr>
        <w:t xml:space="preserve">Scientific Contextualization: </w:t>
      </w:r>
      <w:r>
        <w:rPr>
          <w:color w:val="374151"/>
        </w:rPr>
        <w:t>Each clarifying question explicitly explains WHY the missing parameter matters scientifically (e.g. 'What is your soil pH? Crucial because pH below 5.5 triggers aluminum toxicity while extreme pH limits phosphorus availability').</w:t>
      </w:r>
    </w:p>
    <w:p>
      <w:pPr>
        <w:pStyle w:val="ListBullet"/>
        <w:spacing w:after="50"/>
      </w:pPr>
      <w:r>
        <w:rPr>
          <w:b/>
          <w:color w:val="1F2937"/>
        </w:rPr>
        <w:t xml:space="preserve">Provisional Guidance: </w:t>
      </w:r>
      <w:r>
        <w:rPr>
          <w:color w:val="374151"/>
        </w:rPr>
        <w:t>Even when data is incomplete, the assistant provides provisional, high-level guidance grounded in what is known, ensuring the user immediately receives actionable direction.</w:t>
      </w:r>
    </w:p>
    <w:p>
      <w:pPr>
        <w:pStyle w:val="ListBullet"/>
        <w:spacing w:after="50"/>
      </w:pPr>
      <w:r>
        <w:rPr>
          <w:b/>
          <w:color w:val="1F2937"/>
        </w:rPr>
        <w:t xml:space="preserve">Progressive Context Merging &amp; Session Isolation: </w:t>
      </w:r>
      <w:r>
        <w:rPr>
          <w:color w:val="374151"/>
        </w:rPr>
        <w:t>Every session is tracked via a unique conversation_id UUID. The ConversationManager maintains an in-memory history (up to 20 turns) and dynamically merges new environmental parameters provided in subsequent turns with previously stored data.</w:t>
      </w:r>
    </w:p>
    <w:p>
      <w:pPr>
        <w:keepNext/>
        <w:spacing w:before="200" w:after="60"/>
      </w:pPr>
      <w:r>
        <w:rPr>
          <w:rFonts w:ascii="Arial" w:hAnsi="Arial"/>
          <w:b/>
          <w:color w:val="0D9488"/>
          <w:sz w:val="23"/>
        </w:rPr>
        <w:t>Example Multi-Turn Progression:</w:t>
      </w:r>
    </w:p>
    <w:p>
      <w:pPr>
        <w:spacing w:after="80"/>
      </w:pPr>
      <w:r>
        <w:t>Turn 1 — Incomplete Input: User asks: 'Biodiversity is declining on my land.'</w:t>
        <w:br/>
        <w:t>Assistant Response: Detects missing variables. Generates 3 clarifying questions asking for soil pH/fertility, annual rainfall/moisture, and cropping history, while providing provisional guidance on native hedgerows and general habitat restoration.</w:t>
        <w:br/>
        <w:br/>
        <w:t>Turn 2 — Follow-up Context: User replies: 'My soil pH is 5.2 and I practice continuous wheat monoculture.'</w:t>
        <w:br/>
        <w:t>Assistant Response: Dynamically merges the new parameters (pH 5.2, wheat monoculture) with the earlier context. It now fires the Monoculture Vulnerability rule and delivers concrete, multi-variable recommendations: liming to address acidity, followed by diversified crop rotations with deep-rooting legumes.</w:t>
      </w:r>
    </w:p>
    <w:p>
      <w:pPr>
        <w:keepNext/>
        <w:spacing w:before="280" w:after="80"/>
      </w:pPr>
      <w:r>
        <w:rPr>
          <w:rFonts w:ascii="Arial" w:hAnsi="Arial"/>
          <w:b/>
          <w:color w:val="1B4D3E"/>
          <w:sz w:val="28"/>
        </w:rPr>
        <w:t>Section 7 — Evidence-Backed Recommendations</w:t>
      </w:r>
    </w:p>
    <w:p>
      <w:pPr>
        <w:spacing w:after="80"/>
      </w:pPr>
      <w:r>
        <w:t>Every recommendation generated by Darukaa.Earth is parsed into a standardized 7-field structure by the backend regex parser (_parse_recommendations_from_response in src/conversation.py):</w:t>
      </w:r>
    </w:p>
    <w:p>
      <w:pPr>
        <w:pStyle w:val="ListBullet"/>
        <w:spacing w:after="50"/>
      </w:pPr>
      <w:r>
        <w:rPr>
          <w:b/>
          <w:color w:val="1F2937"/>
        </w:rPr>
        <w:t xml:space="preserve">1. Action: </w:t>
      </w:r>
      <w:r>
        <w:rPr>
          <w:color w:val="374151"/>
        </w:rPr>
        <w:t>Concrete, non-obvious ecological or agricultural intervention.</w:t>
      </w:r>
    </w:p>
    <w:p>
      <w:pPr>
        <w:pStyle w:val="ListBullet"/>
        <w:spacing w:after="50"/>
      </w:pPr>
      <w:r>
        <w:rPr>
          <w:b/>
          <w:color w:val="1F2937"/>
        </w:rPr>
        <w:t xml:space="preserve">2. Scientific Basis: </w:t>
      </w:r>
      <w:r>
        <w:rPr>
          <w:color w:val="374151"/>
        </w:rPr>
        <w:t>The biogeochemical, hydrological, or biological mechanism explaining why the action works.</w:t>
      </w:r>
    </w:p>
    <w:p>
      <w:pPr>
        <w:pStyle w:val="ListBullet"/>
        <w:spacing w:after="50"/>
      </w:pPr>
      <w:r>
        <w:rPr>
          <w:b/>
          <w:color w:val="1F2937"/>
        </w:rPr>
        <w:t xml:space="preserve">3. Metrics Affected: </w:t>
      </w:r>
      <w:r>
        <w:rPr>
          <w:color w:val="374151"/>
        </w:rPr>
        <w:t>Specific environmental variables positively impacted.</w:t>
      </w:r>
    </w:p>
    <w:p>
      <w:pPr>
        <w:pStyle w:val="ListBullet"/>
        <w:spacing w:after="50"/>
      </w:pPr>
      <w:r>
        <w:rPr>
          <w:b/>
          <w:color w:val="1F2937"/>
        </w:rPr>
        <w:t xml:space="preserve">4. Time Horizon: </w:t>
      </w:r>
      <w:r>
        <w:rPr>
          <w:color w:val="374151"/>
        </w:rPr>
        <w:t>Scientifically realistic expected turnaround time.</w:t>
      </w:r>
    </w:p>
    <w:p>
      <w:pPr>
        <w:pStyle w:val="ListBullet"/>
        <w:spacing w:after="50"/>
      </w:pPr>
      <w:r>
        <w:rPr>
          <w:b/>
          <w:color w:val="1F2937"/>
        </w:rPr>
        <w:t xml:space="preserve">5. Measurable Improvement: </w:t>
      </w:r>
      <w:r>
        <w:rPr>
          <w:color w:val="374151"/>
        </w:rPr>
        <w:t>Evidence-grounded quantitative or qualitative estimate.</w:t>
      </w:r>
    </w:p>
    <w:p>
      <w:pPr>
        <w:pStyle w:val="ListBullet"/>
        <w:spacing w:after="50"/>
      </w:pPr>
      <w:r>
        <w:rPr>
          <w:b/>
          <w:color w:val="1F2937"/>
        </w:rPr>
        <w:t xml:space="preserve">6. Confidence: </w:t>
      </w:r>
      <w:r>
        <w:rPr>
          <w:color w:val="374151"/>
        </w:rPr>
        <w:t>High, Moderate, or Low based on peer-reviewed literature consensus.</w:t>
      </w:r>
    </w:p>
    <w:p>
      <w:pPr>
        <w:pStyle w:val="ListBullet"/>
        <w:spacing w:after="50"/>
      </w:pPr>
      <w:r>
        <w:rPr>
          <w:b/>
          <w:color w:val="1F2937"/>
        </w:rPr>
        <w:t xml:space="preserve">7. Evidence / Source: </w:t>
      </w:r>
      <w:r>
        <w:rPr>
          <w:color w:val="374151"/>
        </w:rPr>
        <w:t>Primary scientific publication or authoritative institutional report.</w:t>
      </w:r>
    </w:p>
    <w:p>
      <w:pPr>
        <w:keepNext/>
        <w:spacing w:before="200" w:after="60"/>
      </w:pPr>
      <w:r>
        <w:rPr>
          <w:rFonts w:ascii="Arial" w:hAnsi="Arial"/>
          <w:b/>
          <w:color w:val="0D9488"/>
          <w:sz w:val="23"/>
        </w:rPr>
        <w:t>Live Benchmark Example (Arid Wheat Monoculture Scenario):</w:t>
      </w:r>
    </w:p>
    <w:p>
      <w:pPr>
        <w:pStyle w:val="ListBullet"/>
        <w:spacing w:after="50"/>
      </w:pPr>
      <w:r>
        <w:rPr>
          <w:b/>
          <w:color w:val="1F2937"/>
        </w:rPr>
        <w:t xml:space="preserve">Action: </w:t>
      </w:r>
      <w:r>
        <w:rPr>
          <w:color w:val="374151"/>
        </w:rPr>
        <w:t>Apply agricultural limestone or dolomitic lime based on soil buffering capacity tests to raise soil pH toward the optimal 6.0–7.0 range.</w:t>
      </w:r>
    </w:p>
    <w:p>
      <w:pPr>
        <w:pStyle w:val="ListBullet"/>
        <w:spacing w:after="50"/>
      </w:pPr>
      <w:r>
        <w:rPr>
          <w:b/>
          <w:color w:val="1F2937"/>
        </w:rPr>
        <w:t xml:space="preserve">Scientific Basis: </w:t>
      </w:r>
      <w:r>
        <w:rPr>
          <w:color w:val="374151"/>
        </w:rPr>
        <w:t>Lime supplies carbonate ions that neutralize hydrogen ion concentration. Raising pH above 5.5 precipitates toxic soluble aluminum ions and unlocks phosphorus availability, restoring favorable conditions for soil microbes.</w:t>
      </w:r>
    </w:p>
    <w:p>
      <w:pPr>
        <w:pStyle w:val="ListBullet"/>
        <w:spacing w:after="50"/>
      </w:pPr>
      <w:r>
        <w:rPr>
          <w:b/>
          <w:color w:val="1F2937"/>
        </w:rPr>
        <w:t xml:space="preserve">Metrics Affected: </w:t>
      </w:r>
      <w:r>
        <w:rPr>
          <w:color w:val="374151"/>
        </w:rPr>
        <w:t>soil_ph, aluminum_toxicity_reduction, nutrient_availability, microbial_activity</w:t>
      </w:r>
    </w:p>
    <w:p>
      <w:pPr>
        <w:pStyle w:val="ListBullet"/>
        <w:spacing w:after="50"/>
      </w:pPr>
      <w:r>
        <w:rPr>
          <w:b/>
          <w:color w:val="1F2937"/>
        </w:rPr>
        <w:t xml:space="preserve">Time Horizon: </w:t>
      </w:r>
      <w:r>
        <w:rPr>
          <w:color w:val="374151"/>
        </w:rPr>
        <w:t>3–6 months for initial pH change; 1–2 years for full equilibrium depending on particle size and soil buffering capacity.</w:t>
      </w:r>
    </w:p>
    <w:p>
      <w:pPr>
        <w:pStyle w:val="ListBullet"/>
        <w:spacing w:after="50"/>
      </w:pPr>
      <w:r>
        <w:rPr>
          <w:b/>
          <w:color w:val="1F2937"/>
        </w:rPr>
        <w:t xml:space="preserve">Measurable Improvement: </w:t>
      </w:r>
      <w:r>
        <w:rPr>
          <w:color w:val="374151"/>
        </w:rPr>
        <w:t>Raises soil pH toward target range, reducing exchangeable aluminum below critical thresholds and improving phosphorus bioavailability; response is site-specific based on buffering capacity.</w:t>
      </w:r>
    </w:p>
    <w:p>
      <w:pPr>
        <w:pStyle w:val="ListBullet"/>
        <w:spacing w:after="50"/>
      </w:pPr>
      <w:r>
        <w:rPr>
          <w:b/>
          <w:color w:val="1F2937"/>
        </w:rPr>
        <w:t xml:space="preserve">Confidence: </w:t>
      </w:r>
      <w:r>
        <w:rPr>
          <w:color w:val="374151"/>
        </w:rPr>
        <w:t>High</w:t>
      </w:r>
    </w:p>
    <w:p>
      <w:pPr>
        <w:pStyle w:val="ListBullet"/>
        <w:spacing w:after="50"/>
      </w:pPr>
      <w:r>
        <w:rPr>
          <w:b/>
          <w:color w:val="1F2937"/>
        </w:rPr>
        <w:t xml:space="preserve">Evidence: </w:t>
      </w:r>
      <w:r>
        <w:rPr>
          <w:color w:val="374151"/>
        </w:rPr>
        <w:t>Brady, N.C. &amp; Weil, R.R. (2016) The Nature and Properties of Soils, 15th Edition; USDA-NRCS Soil Quality Indicators.</w:t>
      </w:r>
    </w:p>
    <w:tbl>
      <w:tblPr>
        <w:tblW w:type="auto" w:w="0"/>
        <w:jc w:val="center"/>
        <w:tblLook w:firstColumn="1" w:firstRow="1" w:lastColumn="0" w:lastRow="0" w:noHBand="0" w:noVBand="1" w:val="04A0"/>
      </w:tblPr>
      <w:tblGrid>
        <w:gridCol w:w="9792"/>
      </w:tblGrid>
      <w:tr>
        <w:tc>
          <w:tcPr>
            <w:tcW w:type="dxa" w:w="9360"/>
            <w:shd w:fill="F0FDF4"/>
            <w:tcMar>
              <w:top w:w="120" w:type="dxa"/>
              <w:bottom w:w="120" w:type="dxa"/>
              <w:left w:w="180" w:type="dxa"/>
              <w:right w:w="180" w:type="dxa"/>
            </w:tcMar>
            <w:tcBorders>
              <w:top w:val="none"/>
              <w:left w:val="single" w:sz="20" w:space="0" w:color="1B4D3E"/>
              <w:bottom w:val="none"/>
              <w:right w:val="none"/>
            </w:tcBorders>
          </w:tcPr>
          <w:p>
            <w:r>
              <w:rPr>
                <w:rFonts w:ascii="Arial" w:hAnsi="Arial"/>
                <w:b/>
                <w:color w:val="1B4D3E"/>
                <w:sz w:val="19"/>
              </w:rPr>
              <w:t xml:space="preserve">[SCIENTIFIC INTEGRITY ENFORCEMENT] </w:t>
            </w:r>
            <w:r>
              <w:rPr>
                <w:rFonts w:ascii="Arial" w:hAnsi="Arial"/>
                <w:color w:val="1F2937"/>
                <w:sz w:val="18"/>
              </w:rPr>
              <w:t>Numerical Precision Rule: Quantitative figures are included ONLY when directly backed by retrieved literature (e.g. 5–10 tonnes/ha/year compost application rate; 30–50% drip irrigation water savings over flood irrigation; 40–80% wetland nitrate removal). When the underlying process is texture-dependent (such as water retention gains from SOC or soil buffering stabilization), qualitative wording is strictly enforced to prevent false precision.</w:t>
            </w:r>
          </w:p>
        </w:tc>
      </w:tr>
    </w:tbl>
    <w:p/>
    <w:p>
      <w:pPr>
        <w:keepNext/>
        <w:spacing w:before="280" w:after="80"/>
      </w:pPr>
      <w:r>
        <w:rPr>
          <w:rFonts w:ascii="Arial" w:hAnsi="Arial"/>
          <w:b/>
          <w:color w:val="1B4D3E"/>
          <w:sz w:val="28"/>
        </w:rPr>
        <w:t>Section 8 — Input / Output Formats &amp; API Endpoints</w:t>
      </w:r>
    </w:p>
    <w:p>
      <w:pPr>
        <w:spacing w:after="80"/>
      </w:pPr>
      <w:r>
        <w:t>The system accepts both unstructured natural language messages and structured environmental data. The FastAPI backend validates all inputs via the EnvironmentalData Pydantic model supporting 14 distinct parameters:</w:t>
      </w:r>
    </w:p>
    <w:tbl>
      <w:tblPr>
        <w:tblW w:type="auto" w:w="0"/>
        <w:jc w:val="center"/>
        <w:tblLayout w:type="fixed"/>
        <w:tblLook w:firstColumn="1" w:firstRow="1" w:lastColumn="0" w:lastRow="0" w:noHBand="0" w:noVBand="1" w:val="04A0"/>
      </w:tblPr>
      <w:tblGrid>
        <w:gridCol w:w="3264"/>
        <w:gridCol w:w="3264"/>
        <w:gridCol w:w="3264"/>
      </w:tblGrid>
      <w:tr>
        <w:tc>
          <w:tcPr>
            <w:tcW w:type="dxa" w:w="2736"/>
            <w:shd w:fill="1B4D3E"/>
            <w:tcMar>
              <w:top w:w="130" w:type="dxa"/>
              <w:bottom w:w="130" w:type="dxa"/>
              <w:left w:w="160" w:type="dxa"/>
              <w:right w:w="160" w:type="dxa"/>
            </w:tcMar>
          </w:tcPr>
          <w:p>
            <w:pPr>
              <w:jc w:val="left"/>
            </w:pPr>
            <w:r>
              <w:rPr>
                <w:rFonts w:ascii="Arial" w:hAnsi="Arial"/>
                <w:b/>
                <w:color w:val="FFFFFF"/>
                <w:sz w:val="19"/>
              </w:rPr>
              <w:t>Parameter Field</w:t>
            </w:r>
          </w:p>
        </w:tc>
        <w:tc>
          <w:tcPr>
            <w:tcW w:type="dxa" w:w="1872"/>
            <w:shd w:fill="1B4D3E"/>
            <w:tcMar>
              <w:top w:w="130" w:type="dxa"/>
              <w:bottom w:w="130" w:type="dxa"/>
              <w:left w:w="160" w:type="dxa"/>
              <w:right w:w="160" w:type="dxa"/>
            </w:tcMar>
          </w:tcPr>
          <w:p>
            <w:pPr>
              <w:jc w:val="left"/>
            </w:pPr>
            <w:r>
              <w:rPr>
                <w:rFonts w:ascii="Arial" w:hAnsi="Arial"/>
                <w:b/>
                <w:color w:val="FFFFFF"/>
                <w:sz w:val="19"/>
              </w:rPr>
              <w:t>Data Type</w:t>
            </w:r>
          </w:p>
        </w:tc>
        <w:tc>
          <w:tcPr>
            <w:tcW w:type="dxa" w:w="4752"/>
            <w:shd w:fill="1B4D3E"/>
            <w:tcMar>
              <w:top w:w="130" w:type="dxa"/>
              <w:bottom w:w="130" w:type="dxa"/>
              <w:left w:w="160" w:type="dxa"/>
              <w:right w:w="160" w:type="dxa"/>
            </w:tcMar>
          </w:tcPr>
          <w:p>
            <w:pPr>
              <w:jc w:val="left"/>
            </w:pPr>
            <w:r>
              <w:rPr>
                <w:rFonts w:ascii="Arial" w:hAnsi="Arial"/>
                <w:b/>
                <w:color w:val="FFFFFF"/>
                <w:sz w:val="19"/>
              </w:rPr>
              <w:t>Agronomic / Ecological Description</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soil_organic_carbon</w:t>
            </w:r>
          </w:p>
        </w:tc>
        <w:tc>
          <w:tcPr>
            <w:tcW w:type="dxa" w:w="1872"/>
            <w:shd w:fill="FFFFFF"/>
            <w:tcMar>
              <w:top w:w="100" w:type="dxa"/>
              <w:bottom w:w="100" w:type="dxa"/>
              <w:left w:w="150" w:type="dxa"/>
              <w:right w:w="150" w:type="dxa"/>
            </w:tcMar>
          </w:tcPr>
          <w:p>
            <w:pPr>
              <w:jc w:val="left"/>
            </w:pPr>
            <w:r/>
            <w:r>
              <w:rPr>
                <w:rFonts w:ascii="Arial" w:hAnsi="Arial"/>
                <w:color w:val="1F2937"/>
                <w:sz w:val="18"/>
              </w:rPr>
              <w:t>float (%)</w:t>
            </w:r>
          </w:p>
        </w:tc>
        <w:tc>
          <w:tcPr>
            <w:tcW w:type="dxa" w:w="4752"/>
            <w:shd w:fill="FFFFFF"/>
            <w:tcMar>
              <w:top w:w="100" w:type="dxa"/>
              <w:bottom w:w="100" w:type="dxa"/>
              <w:left w:w="150" w:type="dxa"/>
              <w:right w:w="150" w:type="dxa"/>
            </w:tcMar>
          </w:tcPr>
          <w:p>
            <w:pPr>
              <w:jc w:val="left"/>
            </w:pPr>
            <w:r/>
            <w:r>
              <w:rPr>
                <w:rFonts w:ascii="Arial" w:hAnsi="Arial"/>
                <w:color w:val="1F2937"/>
                <w:sz w:val="18"/>
              </w:rPr>
              <w:t>Soil organic carbon percentage (e.g., 0.3, 1.2)</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soil_ph</w:t>
            </w:r>
          </w:p>
        </w:tc>
        <w:tc>
          <w:tcPr>
            <w:tcW w:type="dxa" w:w="1872"/>
            <w:shd w:fill="F9FAFB"/>
            <w:tcMar>
              <w:top w:w="100" w:type="dxa"/>
              <w:bottom w:w="100" w:type="dxa"/>
              <w:left w:w="150" w:type="dxa"/>
              <w:right w:w="150" w:type="dxa"/>
            </w:tcMar>
          </w:tcPr>
          <w:p>
            <w:pPr>
              <w:jc w:val="left"/>
            </w:pPr>
            <w:r/>
            <w:r>
              <w:rPr>
                <w:rFonts w:ascii="Arial" w:hAnsi="Arial"/>
                <w:color w:val="1F2937"/>
                <w:sz w:val="18"/>
              </w:rPr>
              <w:t>float (0–14)</w:t>
            </w:r>
          </w:p>
        </w:tc>
        <w:tc>
          <w:tcPr>
            <w:tcW w:type="dxa" w:w="4752"/>
            <w:shd w:fill="F9FAFB"/>
            <w:tcMar>
              <w:top w:w="100" w:type="dxa"/>
              <w:bottom w:w="100" w:type="dxa"/>
              <w:left w:w="150" w:type="dxa"/>
              <w:right w:w="150" w:type="dxa"/>
            </w:tcMar>
          </w:tcPr>
          <w:p>
            <w:pPr>
              <w:jc w:val="left"/>
            </w:pPr>
            <w:r/>
            <w:r>
              <w:rPr>
                <w:rFonts w:ascii="Arial" w:hAnsi="Arial"/>
                <w:color w:val="1F2937"/>
                <w:sz w:val="18"/>
              </w:rPr>
              <w:t>Soil pH value (e.g., 5.0, 6.8)</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soil_moisture</w:t>
            </w:r>
          </w:p>
        </w:tc>
        <w:tc>
          <w:tcPr>
            <w:tcW w:type="dxa" w:w="1872"/>
            <w:shd w:fill="FFFFFF"/>
            <w:tcMar>
              <w:top w:w="100" w:type="dxa"/>
              <w:bottom w:w="100" w:type="dxa"/>
              <w:left w:w="150" w:type="dxa"/>
              <w:right w:w="150" w:type="dxa"/>
            </w:tcMar>
          </w:tcPr>
          <w:p>
            <w:pPr>
              <w:jc w:val="left"/>
            </w:pPr>
            <w:r/>
            <w:r>
              <w:rPr>
                <w:rFonts w:ascii="Arial" w:hAnsi="Arial"/>
                <w:color w:val="1F2937"/>
                <w:sz w:val="18"/>
              </w:rPr>
              <w:t>float (%)</w:t>
            </w:r>
          </w:p>
        </w:tc>
        <w:tc>
          <w:tcPr>
            <w:tcW w:type="dxa" w:w="4752"/>
            <w:shd w:fill="FFFFFF"/>
            <w:tcMar>
              <w:top w:w="100" w:type="dxa"/>
              <w:bottom w:w="100" w:type="dxa"/>
              <w:left w:w="150" w:type="dxa"/>
              <w:right w:w="150" w:type="dxa"/>
            </w:tcMar>
          </w:tcPr>
          <w:p>
            <w:pPr>
              <w:jc w:val="left"/>
            </w:pPr>
            <w:r/>
            <w:r>
              <w:rPr>
                <w:rFonts w:ascii="Arial" w:hAnsi="Arial"/>
                <w:color w:val="1F2937"/>
                <w:sz w:val="18"/>
              </w:rPr>
              <w:t>Soil moisture percentage (raw volumetric or % FC)</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rainfall</w:t>
            </w:r>
          </w:p>
        </w:tc>
        <w:tc>
          <w:tcPr>
            <w:tcW w:type="dxa" w:w="1872"/>
            <w:shd w:fill="F9FAFB"/>
            <w:tcMar>
              <w:top w:w="100" w:type="dxa"/>
              <w:bottom w:w="100" w:type="dxa"/>
              <w:left w:w="150" w:type="dxa"/>
              <w:right w:w="150" w:type="dxa"/>
            </w:tcMar>
          </w:tcPr>
          <w:p>
            <w:pPr>
              <w:jc w:val="left"/>
            </w:pPr>
            <w:r/>
            <w:r>
              <w:rPr>
                <w:rFonts w:ascii="Arial" w:hAnsi="Arial"/>
                <w:color w:val="1F2937"/>
                <w:sz w:val="18"/>
              </w:rPr>
              <w:t>float (mm/yr)</w:t>
            </w:r>
          </w:p>
        </w:tc>
        <w:tc>
          <w:tcPr>
            <w:tcW w:type="dxa" w:w="4752"/>
            <w:shd w:fill="F9FAFB"/>
            <w:tcMar>
              <w:top w:w="100" w:type="dxa"/>
              <w:bottom w:w="100" w:type="dxa"/>
              <w:left w:w="150" w:type="dxa"/>
              <w:right w:w="150" w:type="dxa"/>
            </w:tcMar>
          </w:tcPr>
          <w:p>
            <w:pPr>
              <w:jc w:val="left"/>
            </w:pPr>
            <w:r/>
            <w:r>
              <w:rPr>
                <w:rFonts w:ascii="Arial" w:hAnsi="Arial"/>
                <w:color w:val="1F2937"/>
                <w:sz w:val="18"/>
              </w:rPr>
              <w:t>Mean annual precipitation (e.g., 350, 1200)</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temperature</w:t>
            </w:r>
          </w:p>
        </w:tc>
        <w:tc>
          <w:tcPr>
            <w:tcW w:type="dxa" w:w="1872"/>
            <w:shd w:fill="FFFFFF"/>
            <w:tcMar>
              <w:top w:w="100" w:type="dxa"/>
              <w:bottom w:w="100" w:type="dxa"/>
              <w:left w:w="150" w:type="dxa"/>
              <w:right w:w="150" w:type="dxa"/>
            </w:tcMar>
          </w:tcPr>
          <w:p>
            <w:pPr>
              <w:jc w:val="left"/>
            </w:pPr>
            <w:r/>
            <w:r>
              <w:rPr>
                <w:rFonts w:ascii="Arial" w:hAnsi="Arial"/>
                <w:color w:val="1F2937"/>
                <w:sz w:val="18"/>
              </w:rPr>
              <w:t>float (°C)</w:t>
            </w:r>
          </w:p>
        </w:tc>
        <w:tc>
          <w:tcPr>
            <w:tcW w:type="dxa" w:w="4752"/>
            <w:shd w:fill="FFFFFF"/>
            <w:tcMar>
              <w:top w:w="100" w:type="dxa"/>
              <w:bottom w:w="100" w:type="dxa"/>
              <w:left w:w="150" w:type="dxa"/>
              <w:right w:w="150" w:type="dxa"/>
            </w:tcMar>
          </w:tcPr>
          <w:p>
            <w:pPr>
              <w:jc w:val="left"/>
            </w:pPr>
            <w:r/>
            <w:r>
              <w:rPr>
                <w:rFonts w:ascii="Arial" w:hAnsi="Arial"/>
                <w:color w:val="1F2937"/>
                <w:sz w:val="18"/>
              </w:rPr>
              <w:t>Average ambient temperature (e.g., 28.5)</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land_use</w:t>
            </w:r>
          </w:p>
        </w:tc>
        <w:tc>
          <w:tcPr>
            <w:tcW w:type="dxa" w:w="1872"/>
            <w:shd w:fill="F9FAFB"/>
            <w:tcMar>
              <w:top w:w="100" w:type="dxa"/>
              <w:bottom w:w="100" w:type="dxa"/>
              <w:left w:w="150" w:type="dxa"/>
              <w:right w:w="150" w:type="dxa"/>
            </w:tcMar>
          </w:tcPr>
          <w:p>
            <w:pPr>
              <w:jc w:val="left"/>
            </w:pPr>
            <w:r/>
            <w:r>
              <w:rPr>
                <w:rFonts w:ascii="Arial" w:hAnsi="Arial"/>
                <w:color w:val="1F2937"/>
                <w:sz w:val="18"/>
              </w:rPr>
              <w:t>str</w:t>
            </w:r>
          </w:p>
        </w:tc>
        <w:tc>
          <w:tcPr>
            <w:tcW w:type="dxa" w:w="4752"/>
            <w:shd w:fill="F9FAFB"/>
            <w:tcMar>
              <w:top w:w="100" w:type="dxa"/>
              <w:bottom w:w="100" w:type="dxa"/>
              <w:left w:w="150" w:type="dxa"/>
              <w:right w:w="150" w:type="dxa"/>
            </w:tcMar>
          </w:tcPr>
          <w:p>
            <w:pPr>
              <w:jc w:val="left"/>
            </w:pPr>
            <w:r/>
            <w:r>
              <w:rPr>
                <w:rFonts w:ascii="Arial" w:hAnsi="Arial"/>
                <w:color w:val="1F2937"/>
                <w:sz w:val="18"/>
              </w:rPr>
              <w:t>Land management type (e.g., 'wheat monoculture', 'agroforestry')</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crop_type</w:t>
            </w:r>
          </w:p>
        </w:tc>
        <w:tc>
          <w:tcPr>
            <w:tcW w:type="dxa" w:w="1872"/>
            <w:shd w:fill="FFFFFF"/>
            <w:tcMar>
              <w:top w:w="100" w:type="dxa"/>
              <w:bottom w:w="100" w:type="dxa"/>
              <w:left w:w="150" w:type="dxa"/>
              <w:right w:w="150" w:type="dxa"/>
            </w:tcMar>
          </w:tcPr>
          <w:p>
            <w:pPr>
              <w:jc w:val="left"/>
            </w:pPr>
            <w:r/>
            <w:r>
              <w:rPr>
                <w:rFonts w:ascii="Arial" w:hAnsi="Arial"/>
                <w:color w:val="1F2937"/>
                <w:sz w:val="18"/>
              </w:rPr>
              <w:t>str</w:t>
            </w:r>
          </w:p>
        </w:tc>
        <w:tc>
          <w:tcPr>
            <w:tcW w:type="dxa" w:w="4752"/>
            <w:shd w:fill="FFFFFF"/>
            <w:tcMar>
              <w:top w:w="100" w:type="dxa"/>
              <w:bottom w:w="100" w:type="dxa"/>
              <w:left w:w="150" w:type="dxa"/>
              <w:right w:w="150" w:type="dxa"/>
            </w:tcMar>
          </w:tcPr>
          <w:p>
            <w:pPr>
              <w:jc w:val="left"/>
            </w:pPr>
            <w:r/>
            <w:r>
              <w:rPr>
                <w:rFonts w:ascii="Arial" w:hAnsi="Arial"/>
                <w:color w:val="1F2937"/>
                <w:sz w:val="18"/>
              </w:rPr>
              <w:t>Specific crop under cultivation (e.g., 'wheat', 'rice')</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biodiversity_index</w:t>
            </w:r>
          </w:p>
        </w:tc>
        <w:tc>
          <w:tcPr>
            <w:tcW w:type="dxa" w:w="1872"/>
            <w:shd w:fill="F9FAFB"/>
            <w:tcMar>
              <w:top w:w="100" w:type="dxa"/>
              <w:bottom w:w="100" w:type="dxa"/>
              <w:left w:w="150" w:type="dxa"/>
              <w:right w:w="150" w:type="dxa"/>
            </w:tcMar>
          </w:tcPr>
          <w:p>
            <w:pPr>
              <w:jc w:val="left"/>
            </w:pPr>
            <w:r/>
            <w:r>
              <w:rPr>
                <w:rFonts w:ascii="Arial" w:hAnsi="Arial"/>
                <w:color w:val="1F2937"/>
                <w:sz w:val="18"/>
              </w:rPr>
              <w:t>float (0–10)</w:t>
            </w:r>
          </w:p>
        </w:tc>
        <w:tc>
          <w:tcPr>
            <w:tcW w:type="dxa" w:w="4752"/>
            <w:shd w:fill="F9FAFB"/>
            <w:tcMar>
              <w:top w:w="100" w:type="dxa"/>
              <w:bottom w:w="100" w:type="dxa"/>
              <w:left w:w="150" w:type="dxa"/>
              <w:right w:w="150" w:type="dxa"/>
            </w:tcMar>
          </w:tcPr>
          <w:p>
            <w:pPr>
              <w:jc w:val="left"/>
            </w:pPr>
            <w:r/>
            <w:r>
              <w:rPr>
                <w:rFonts w:ascii="Arial" w:hAnsi="Arial"/>
                <w:color w:val="1F2937"/>
                <w:sz w:val="18"/>
              </w:rPr>
              <w:t>Shannon biodiversity diversity index</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pollution_level</w:t>
            </w:r>
          </w:p>
        </w:tc>
        <w:tc>
          <w:tcPr>
            <w:tcW w:type="dxa" w:w="1872"/>
            <w:shd w:fill="FFFFFF"/>
            <w:tcMar>
              <w:top w:w="100" w:type="dxa"/>
              <w:bottom w:w="100" w:type="dxa"/>
              <w:left w:w="150" w:type="dxa"/>
              <w:right w:w="150" w:type="dxa"/>
            </w:tcMar>
          </w:tcPr>
          <w:p>
            <w:pPr>
              <w:jc w:val="left"/>
            </w:pPr>
            <w:r/>
            <w:r>
              <w:rPr>
                <w:rFonts w:ascii="Arial" w:hAnsi="Arial"/>
                <w:color w:val="1F2937"/>
                <w:sz w:val="18"/>
              </w:rPr>
              <w:t>str</w:t>
            </w:r>
          </w:p>
        </w:tc>
        <w:tc>
          <w:tcPr>
            <w:tcW w:type="dxa" w:w="4752"/>
            <w:shd w:fill="FFFFFF"/>
            <w:tcMar>
              <w:top w:w="100" w:type="dxa"/>
              <w:bottom w:w="100" w:type="dxa"/>
              <w:left w:w="150" w:type="dxa"/>
              <w:right w:w="150" w:type="dxa"/>
            </w:tcMar>
          </w:tcPr>
          <w:p>
            <w:pPr>
              <w:jc w:val="left"/>
            </w:pPr>
            <w:r/>
            <w:r>
              <w:rPr>
                <w:rFonts w:ascii="Arial" w:hAnsi="Arial"/>
                <w:color w:val="1F2937"/>
                <w:sz w:val="18"/>
              </w:rPr>
              <w:t>Categorical rating: 'low', 'moderate', 'high', 'severe'</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deforestation_rate</w:t>
            </w:r>
          </w:p>
        </w:tc>
        <w:tc>
          <w:tcPr>
            <w:tcW w:type="dxa" w:w="1872"/>
            <w:shd w:fill="F9FAFB"/>
            <w:tcMar>
              <w:top w:w="100" w:type="dxa"/>
              <w:bottom w:w="100" w:type="dxa"/>
              <w:left w:w="150" w:type="dxa"/>
              <w:right w:w="150" w:type="dxa"/>
            </w:tcMar>
          </w:tcPr>
          <w:p>
            <w:pPr>
              <w:jc w:val="left"/>
            </w:pPr>
            <w:r/>
            <w:r>
              <w:rPr>
                <w:rFonts w:ascii="Arial" w:hAnsi="Arial"/>
                <w:color w:val="1F2937"/>
                <w:sz w:val="18"/>
              </w:rPr>
              <w:t>float (%/yr)</w:t>
            </w:r>
          </w:p>
        </w:tc>
        <w:tc>
          <w:tcPr>
            <w:tcW w:type="dxa" w:w="4752"/>
            <w:shd w:fill="F9FAFB"/>
            <w:tcMar>
              <w:top w:w="100" w:type="dxa"/>
              <w:bottom w:w="100" w:type="dxa"/>
              <w:left w:w="150" w:type="dxa"/>
              <w:right w:w="150" w:type="dxa"/>
            </w:tcMar>
          </w:tcPr>
          <w:p>
            <w:pPr>
              <w:jc w:val="left"/>
            </w:pPr>
            <w:r/>
            <w:r>
              <w:rPr>
                <w:rFonts w:ascii="Arial" w:hAnsi="Arial"/>
                <w:color w:val="1F2937"/>
                <w:sz w:val="18"/>
              </w:rPr>
              <w:t>Annual rate of tree canopy loss</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region</w:t>
            </w:r>
          </w:p>
        </w:tc>
        <w:tc>
          <w:tcPr>
            <w:tcW w:type="dxa" w:w="1872"/>
            <w:shd w:fill="FFFFFF"/>
            <w:tcMar>
              <w:top w:w="100" w:type="dxa"/>
              <w:bottom w:w="100" w:type="dxa"/>
              <w:left w:w="150" w:type="dxa"/>
              <w:right w:w="150" w:type="dxa"/>
            </w:tcMar>
          </w:tcPr>
          <w:p>
            <w:pPr>
              <w:jc w:val="left"/>
            </w:pPr>
            <w:r/>
            <w:r>
              <w:rPr>
                <w:rFonts w:ascii="Arial" w:hAnsi="Arial"/>
                <w:color w:val="1F2937"/>
                <w:sz w:val="18"/>
              </w:rPr>
              <w:t>str</w:t>
            </w:r>
          </w:p>
        </w:tc>
        <w:tc>
          <w:tcPr>
            <w:tcW w:type="dxa" w:w="4752"/>
            <w:shd w:fill="FFFFFF"/>
            <w:tcMar>
              <w:top w:w="100" w:type="dxa"/>
              <w:bottom w:w="100" w:type="dxa"/>
              <w:left w:w="150" w:type="dxa"/>
              <w:right w:w="150" w:type="dxa"/>
            </w:tcMar>
          </w:tcPr>
          <w:p>
            <w:pPr>
              <w:jc w:val="left"/>
            </w:pPr>
            <w:r/>
            <w:r>
              <w:rPr>
                <w:rFonts w:ascii="Arial" w:hAnsi="Arial"/>
                <w:color w:val="1F2937"/>
                <w:sz w:val="18"/>
              </w:rPr>
              <w:t>Geographic region (e.g., 'Semi-arid Deccan', 'Indo-Gangetic')</w:t>
            </w:r>
          </w:p>
        </w:tc>
      </w:tr>
      <w:tr>
        <w:tc>
          <w:tcPr>
            <w:tcW w:type="dxa" w:w="2736"/>
            <w:shd w:fill="F9FAFB"/>
            <w:tcMar>
              <w:top w:w="100" w:type="dxa"/>
              <w:bottom w:w="100" w:type="dxa"/>
              <w:left w:w="150" w:type="dxa"/>
              <w:right w:w="150" w:type="dxa"/>
            </w:tcMar>
          </w:tcPr>
          <w:p>
            <w:pPr>
              <w:jc w:val="left"/>
            </w:pPr>
            <w:r/>
            <w:r>
              <w:rPr>
                <w:rFonts w:ascii="Arial" w:hAnsi="Arial"/>
                <w:color w:val="1F2937"/>
                <w:sz w:val="18"/>
              </w:rPr>
              <w:t>latitude / longitude</w:t>
            </w:r>
          </w:p>
        </w:tc>
        <w:tc>
          <w:tcPr>
            <w:tcW w:type="dxa" w:w="1872"/>
            <w:shd w:fill="F9FAFB"/>
            <w:tcMar>
              <w:top w:w="100" w:type="dxa"/>
              <w:bottom w:w="100" w:type="dxa"/>
              <w:left w:w="150" w:type="dxa"/>
              <w:right w:w="150" w:type="dxa"/>
            </w:tcMar>
          </w:tcPr>
          <w:p>
            <w:pPr>
              <w:jc w:val="left"/>
            </w:pPr>
            <w:r/>
            <w:r>
              <w:rPr>
                <w:rFonts w:ascii="Arial" w:hAnsi="Arial"/>
                <w:color w:val="1F2937"/>
                <w:sz w:val="18"/>
              </w:rPr>
              <w:t>float</w:t>
            </w:r>
          </w:p>
        </w:tc>
        <w:tc>
          <w:tcPr>
            <w:tcW w:type="dxa" w:w="4752"/>
            <w:shd w:fill="F9FAFB"/>
            <w:tcMar>
              <w:top w:w="100" w:type="dxa"/>
              <w:bottom w:w="100" w:type="dxa"/>
              <w:left w:w="150" w:type="dxa"/>
              <w:right w:w="150" w:type="dxa"/>
            </w:tcMar>
          </w:tcPr>
          <w:p>
            <w:pPr>
              <w:jc w:val="left"/>
            </w:pPr>
            <w:r/>
            <w:r>
              <w:rPr>
                <w:rFonts w:ascii="Arial" w:hAnsi="Arial"/>
                <w:color w:val="1F2937"/>
                <w:sz w:val="18"/>
              </w:rPr>
              <w:t>Bonus geospatial coordinates for location binding</w:t>
            </w:r>
          </w:p>
        </w:tc>
      </w:tr>
      <w:tr>
        <w:tc>
          <w:tcPr>
            <w:tcW w:type="dxa" w:w="2736"/>
            <w:shd w:fill="FFFFFF"/>
            <w:tcMar>
              <w:top w:w="100" w:type="dxa"/>
              <w:bottom w:w="100" w:type="dxa"/>
              <w:left w:w="150" w:type="dxa"/>
              <w:right w:w="150" w:type="dxa"/>
            </w:tcMar>
          </w:tcPr>
          <w:p>
            <w:pPr>
              <w:jc w:val="left"/>
            </w:pPr>
            <w:r/>
            <w:r>
              <w:rPr>
                <w:rFonts w:ascii="Arial" w:hAnsi="Arial"/>
                <w:color w:val="1F2937"/>
                <w:sz w:val="18"/>
              </w:rPr>
              <w:t>additional_notes</w:t>
            </w:r>
          </w:p>
        </w:tc>
        <w:tc>
          <w:tcPr>
            <w:tcW w:type="dxa" w:w="1872"/>
            <w:shd w:fill="FFFFFF"/>
            <w:tcMar>
              <w:top w:w="100" w:type="dxa"/>
              <w:bottom w:w="100" w:type="dxa"/>
              <w:left w:w="150" w:type="dxa"/>
              <w:right w:w="150" w:type="dxa"/>
            </w:tcMar>
          </w:tcPr>
          <w:p>
            <w:pPr>
              <w:jc w:val="left"/>
            </w:pPr>
            <w:r/>
            <w:r>
              <w:rPr>
                <w:rFonts w:ascii="Arial" w:hAnsi="Arial"/>
                <w:color w:val="1F2937"/>
                <w:sz w:val="18"/>
              </w:rPr>
              <w:t>str</w:t>
            </w:r>
          </w:p>
        </w:tc>
        <w:tc>
          <w:tcPr>
            <w:tcW w:type="dxa" w:w="4752"/>
            <w:shd w:fill="FFFFFF"/>
            <w:tcMar>
              <w:top w:w="100" w:type="dxa"/>
              <w:bottom w:w="100" w:type="dxa"/>
              <w:left w:w="150" w:type="dxa"/>
              <w:right w:w="150" w:type="dxa"/>
            </w:tcMar>
          </w:tcPr>
          <w:p>
            <w:pPr>
              <w:jc w:val="left"/>
            </w:pPr>
            <w:r/>
            <w:r>
              <w:rPr>
                <w:rFonts w:ascii="Arial" w:hAnsi="Arial"/>
                <w:color w:val="1F2937"/>
                <w:sz w:val="18"/>
              </w:rPr>
              <w:t>Supplemental field observations or management history</w:t>
            </w:r>
          </w:p>
        </w:tc>
      </w:tr>
    </w:tbl>
    <w:p/>
    <w:p>
      <w:pPr>
        <w:keepNext/>
        <w:spacing w:before="200" w:after="60"/>
      </w:pPr>
      <w:r>
        <w:rPr>
          <w:rFonts w:ascii="Arial" w:hAnsi="Arial"/>
          <w:b/>
          <w:color w:val="0D9488"/>
          <w:sz w:val="23"/>
        </w:rPr>
        <w:t>FastAPI Endpoints (app/api.py):</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296"/>
            <w:shd w:fill="1B4D3E"/>
            <w:tcMar>
              <w:top w:w="130" w:type="dxa"/>
              <w:bottom w:w="130" w:type="dxa"/>
              <w:left w:w="160" w:type="dxa"/>
              <w:right w:w="160" w:type="dxa"/>
            </w:tcMar>
          </w:tcPr>
          <w:p>
            <w:pPr>
              <w:jc w:val="left"/>
            </w:pPr>
            <w:r>
              <w:rPr>
                <w:rFonts w:ascii="Arial" w:hAnsi="Arial"/>
                <w:b/>
                <w:color w:val="FFFFFF"/>
                <w:sz w:val="19"/>
              </w:rPr>
              <w:t>Method</w:t>
            </w:r>
          </w:p>
        </w:tc>
        <w:tc>
          <w:tcPr>
            <w:tcW w:type="dxa" w:w="2592"/>
            <w:shd w:fill="1B4D3E"/>
            <w:tcMar>
              <w:top w:w="130" w:type="dxa"/>
              <w:bottom w:w="130" w:type="dxa"/>
              <w:left w:w="160" w:type="dxa"/>
              <w:right w:w="160" w:type="dxa"/>
            </w:tcMar>
          </w:tcPr>
          <w:p>
            <w:pPr>
              <w:jc w:val="left"/>
            </w:pPr>
            <w:r>
              <w:rPr>
                <w:rFonts w:ascii="Arial" w:hAnsi="Arial"/>
                <w:b/>
                <w:color w:val="FFFFFF"/>
                <w:sz w:val="19"/>
              </w:rPr>
              <w:t>Endpoint</w:t>
            </w:r>
          </w:p>
        </w:tc>
        <w:tc>
          <w:tcPr>
            <w:tcW w:type="dxa" w:w="2160"/>
            <w:shd w:fill="1B4D3E"/>
            <w:tcMar>
              <w:top w:w="130" w:type="dxa"/>
              <w:bottom w:w="130" w:type="dxa"/>
              <w:left w:w="160" w:type="dxa"/>
              <w:right w:w="160" w:type="dxa"/>
            </w:tcMar>
          </w:tcPr>
          <w:p>
            <w:pPr>
              <w:jc w:val="left"/>
            </w:pPr>
            <w:r>
              <w:rPr>
                <w:rFonts w:ascii="Arial" w:hAnsi="Arial"/>
                <w:b/>
                <w:color w:val="FFFFFF"/>
                <w:sz w:val="19"/>
              </w:rPr>
              <w:t>Function</w:t>
            </w:r>
          </w:p>
        </w:tc>
        <w:tc>
          <w:tcPr>
            <w:tcW w:type="dxa" w:w="3312"/>
            <w:shd w:fill="1B4D3E"/>
            <w:tcMar>
              <w:top w:w="130" w:type="dxa"/>
              <w:bottom w:w="130" w:type="dxa"/>
              <w:left w:w="160" w:type="dxa"/>
              <w:right w:w="160" w:type="dxa"/>
            </w:tcMar>
          </w:tcPr>
          <w:p>
            <w:pPr>
              <w:jc w:val="left"/>
            </w:pPr>
            <w:r>
              <w:rPr>
                <w:rFonts w:ascii="Arial" w:hAnsi="Arial"/>
                <w:b/>
                <w:color w:val="FFFFFF"/>
                <w:sz w:val="19"/>
              </w:rPr>
              <w:t>Response Structure</w:t>
            </w:r>
          </w:p>
        </w:tc>
      </w:tr>
      <w:tr>
        <w:tc>
          <w:tcPr>
            <w:tcW w:type="dxa" w:w="1296"/>
            <w:shd w:fill="FFFFFF"/>
            <w:tcMar>
              <w:top w:w="100" w:type="dxa"/>
              <w:bottom w:w="100" w:type="dxa"/>
              <w:left w:w="150" w:type="dxa"/>
              <w:right w:w="150" w:type="dxa"/>
            </w:tcMar>
          </w:tcPr>
          <w:p>
            <w:pPr>
              <w:jc w:val="left"/>
            </w:pPr>
            <w:r/>
            <w:r>
              <w:rPr>
                <w:rFonts w:ascii="Arial" w:hAnsi="Arial"/>
                <w:color w:val="1F2937"/>
                <w:sz w:val="18"/>
              </w:rPr>
              <w:t>GET</w:t>
            </w:r>
          </w:p>
        </w:tc>
        <w:tc>
          <w:tcPr>
            <w:tcW w:type="dxa" w:w="2592"/>
            <w:shd w:fill="FFFFFF"/>
            <w:tcMar>
              <w:top w:w="100" w:type="dxa"/>
              <w:bottom w:w="100" w:type="dxa"/>
              <w:left w:w="150" w:type="dxa"/>
              <w:right w:w="150" w:type="dxa"/>
            </w:tcMar>
          </w:tcPr>
          <w:p>
            <w:pPr>
              <w:jc w:val="left"/>
            </w:pPr>
            <w:r/>
            <w:r>
              <w:rPr>
                <w:rFonts w:ascii="Arial" w:hAnsi="Arial"/>
                <w:color w:val="1F2937"/>
                <w:sz w:val="18"/>
              </w:rPr>
              <w:t>/health</w:t>
            </w:r>
          </w:p>
        </w:tc>
        <w:tc>
          <w:tcPr>
            <w:tcW w:type="dxa" w:w="2160"/>
            <w:shd w:fill="FFFFFF"/>
            <w:tcMar>
              <w:top w:w="100" w:type="dxa"/>
              <w:bottom w:w="100" w:type="dxa"/>
              <w:left w:w="150" w:type="dxa"/>
              <w:right w:w="150" w:type="dxa"/>
            </w:tcMar>
          </w:tcPr>
          <w:p>
            <w:pPr>
              <w:jc w:val="left"/>
            </w:pPr>
            <w:r/>
            <w:r>
              <w:rPr>
                <w:rFonts w:ascii="Arial" w:hAnsi="Arial"/>
                <w:color w:val="1F2937"/>
                <w:sz w:val="18"/>
              </w:rPr>
              <w:t>Health &amp; Index Status</w:t>
            </w:r>
          </w:p>
        </w:tc>
        <w:tc>
          <w:tcPr>
            <w:tcW w:type="dxa" w:w="3312"/>
            <w:shd w:fill="FFFFFF"/>
            <w:tcMar>
              <w:top w:w="100" w:type="dxa"/>
              <w:bottom w:w="100" w:type="dxa"/>
              <w:left w:w="150" w:type="dxa"/>
              <w:right w:w="150" w:type="dxa"/>
            </w:tcMar>
          </w:tcPr>
          <w:p>
            <w:pPr>
              <w:jc w:val="left"/>
            </w:pPr>
            <w:r/>
            <w:r>
              <w:rPr>
                <w:rFonts w:ascii="Arial" w:hAnsi="Arial"/>
                <w:color w:val="1F2937"/>
                <w:sz w:val="18"/>
              </w:rPr>
              <w:t>Returns {'status': 'healthy', 'knowledge_base': {'count': 57}}</w:t>
            </w:r>
          </w:p>
        </w:tc>
      </w:tr>
      <w:tr>
        <w:tc>
          <w:tcPr>
            <w:tcW w:type="dxa" w:w="1296"/>
            <w:shd w:fill="F9FAFB"/>
            <w:tcMar>
              <w:top w:w="100" w:type="dxa"/>
              <w:bottom w:w="100" w:type="dxa"/>
              <w:left w:w="150" w:type="dxa"/>
              <w:right w:w="150" w:type="dxa"/>
            </w:tcMar>
          </w:tcPr>
          <w:p>
            <w:pPr>
              <w:jc w:val="left"/>
            </w:pPr>
            <w:r/>
            <w:r>
              <w:rPr>
                <w:rFonts w:ascii="Arial" w:hAnsi="Arial"/>
                <w:color w:val="1F2937"/>
                <w:sz w:val="18"/>
              </w:rPr>
              <w:t>POST</w:t>
            </w:r>
          </w:p>
        </w:tc>
        <w:tc>
          <w:tcPr>
            <w:tcW w:type="dxa" w:w="2592"/>
            <w:shd w:fill="F9FAFB"/>
            <w:tcMar>
              <w:top w:w="100" w:type="dxa"/>
              <w:bottom w:w="100" w:type="dxa"/>
              <w:left w:w="150" w:type="dxa"/>
              <w:right w:w="150" w:type="dxa"/>
            </w:tcMar>
          </w:tcPr>
          <w:p>
            <w:pPr>
              <w:jc w:val="left"/>
            </w:pPr>
            <w:r/>
            <w:r>
              <w:rPr>
                <w:rFonts w:ascii="Arial" w:hAnsi="Arial"/>
                <w:color w:val="1F2937"/>
                <w:sz w:val="18"/>
              </w:rPr>
              <w:t>/chat</w:t>
            </w:r>
          </w:p>
        </w:tc>
        <w:tc>
          <w:tcPr>
            <w:tcW w:type="dxa" w:w="2160"/>
            <w:shd w:fill="F9FAFB"/>
            <w:tcMar>
              <w:top w:w="100" w:type="dxa"/>
              <w:bottom w:w="100" w:type="dxa"/>
              <w:left w:w="150" w:type="dxa"/>
              <w:right w:w="150" w:type="dxa"/>
            </w:tcMar>
          </w:tcPr>
          <w:p>
            <w:pPr>
              <w:jc w:val="left"/>
            </w:pPr>
            <w:r/>
            <w:r>
              <w:rPr>
                <w:rFonts w:ascii="Arial" w:hAnsi="Arial"/>
                <w:color w:val="1F2937"/>
                <w:sz w:val="18"/>
              </w:rPr>
              <w:t>Synchronous Chat</w:t>
            </w:r>
          </w:p>
        </w:tc>
        <w:tc>
          <w:tcPr>
            <w:tcW w:type="dxa" w:w="3312"/>
            <w:shd w:fill="F9FAFB"/>
            <w:tcMar>
              <w:top w:w="100" w:type="dxa"/>
              <w:bottom w:w="100" w:type="dxa"/>
              <w:left w:w="150" w:type="dxa"/>
              <w:right w:w="150" w:type="dxa"/>
            </w:tcMar>
          </w:tcPr>
          <w:p>
            <w:pPr>
              <w:jc w:val="left"/>
            </w:pPr>
            <w:r/>
            <w:r>
              <w:rPr>
                <w:rFonts w:ascii="Arial" w:hAnsi="Arial"/>
                <w:color w:val="1F2937"/>
                <w:sz w:val="18"/>
              </w:rPr>
              <w:t>Accepts ChatRequest (message, conversation_id, environmental_data); returns complete ChatResponse JSON.</w:t>
            </w:r>
          </w:p>
        </w:tc>
      </w:tr>
      <w:tr>
        <w:tc>
          <w:tcPr>
            <w:tcW w:type="dxa" w:w="1296"/>
            <w:shd w:fill="FFFFFF"/>
            <w:tcMar>
              <w:top w:w="100" w:type="dxa"/>
              <w:bottom w:w="100" w:type="dxa"/>
              <w:left w:w="150" w:type="dxa"/>
              <w:right w:w="150" w:type="dxa"/>
            </w:tcMar>
          </w:tcPr>
          <w:p>
            <w:pPr>
              <w:jc w:val="left"/>
            </w:pPr>
            <w:r/>
            <w:r>
              <w:rPr>
                <w:rFonts w:ascii="Arial" w:hAnsi="Arial"/>
                <w:color w:val="1F2937"/>
                <w:sz w:val="18"/>
              </w:rPr>
              <w:t>POST</w:t>
            </w:r>
          </w:p>
        </w:tc>
        <w:tc>
          <w:tcPr>
            <w:tcW w:type="dxa" w:w="2592"/>
            <w:shd w:fill="FFFFFF"/>
            <w:tcMar>
              <w:top w:w="100" w:type="dxa"/>
              <w:bottom w:w="100" w:type="dxa"/>
              <w:left w:w="150" w:type="dxa"/>
              <w:right w:w="150" w:type="dxa"/>
            </w:tcMar>
          </w:tcPr>
          <w:p>
            <w:pPr>
              <w:jc w:val="left"/>
            </w:pPr>
            <w:r/>
            <w:r>
              <w:rPr>
                <w:rFonts w:ascii="Arial" w:hAnsi="Arial"/>
                <w:color w:val="1F2937"/>
                <w:sz w:val="18"/>
              </w:rPr>
              <w:t>/chat/stream</w:t>
            </w:r>
          </w:p>
        </w:tc>
        <w:tc>
          <w:tcPr>
            <w:tcW w:type="dxa" w:w="2160"/>
            <w:shd w:fill="FFFFFF"/>
            <w:tcMar>
              <w:top w:w="100" w:type="dxa"/>
              <w:bottom w:w="100" w:type="dxa"/>
              <w:left w:w="150" w:type="dxa"/>
              <w:right w:w="150" w:type="dxa"/>
            </w:tcMar>
          </w:tcPr>
          <w:p>
            <w:pPr>
              <w:jc w:val="left"/>
            </w:pPr>
            <w:r/>
            <w:r>
              <w:rPr>
                <w:rFonts w:ascii="Arial" w:hAnsi="Arial"/>
                <w:color w:val="1F2937"/>
                <w:sz w:val="18"/>
              </w:rPr>
              <w:t>Streaming Chat</w:t>
            </w:r>
          </w:p>
        </w:tc>
        <w:tc>
          <w:tcPr>
            <w:tcW w:type="dxa" w:w="3312"/>
            <w:shd w:fill="FFFFFF"/>
            <w:tcMar>
              <w:top w:w="100" w:type="dxa"/>
              <w:bottom w:w="100" w:type="dxa"/>
              <w:left w:w="150" w:type="dxa"/>
              <w:right w:w="150" w:type="dxa"/>
            </w:tcMar>
          </w:tcPr>
          <w:p>
            <w:pPr>
              <w:jc w:val="left"/>
            </w:pPr>
            <w:r/>
            <w:r>
              <w:rPr>
                <w:rFonts w:ascii="Arial" w:hAnsi="Arial"/>
                <w:color w:val="1F2937"/>
                <w:sz w:val="18"/>
              </w:rPr>
              <w:t>Streams progressive token chunks via NDJSON ('chunk' events) followed by final structured payload.</w:t>
            </w:r>
          </w:p>
        </w:tc>
      </w:tr>
      <w:tr>
        <w:tc>
          <w:tcPr>
            <w:tcW w:type="dxa" w:w="1296"/>
            <w:shd w:fill="F9FAFB"/>
            <w:tcMar>
              <w:top w:w="100" w:type="dxa"/>
              <w:bottom w:w="100" w:type="dxa"/>
              <w:left w:w="150" w:type="dxa"/>
              <w:right w:w="150" w:type="dxa"/>
            </w:tcMar>
          </w:tcPr>
          <w:p>
            <w:pPr>
              <w:jc w:val="left"/>
            </w:pPr>
            <w:r/>
            <w:r>
              <w:rPr>
                <w:rFonts w:ascii="Arial" w:hAnsi="Arial"/>
                <w:color w:val="1F2937"/>
                <w:sz w:val="18"/>
              </w:rPr>
              <w:t>POST</w:t>
            </w:r>
          </w:p>
        </w:tc>
        <w:tc>
          <w:tcPr>
            <w:tcW w:type="dxa" w:w="2592"/>
            <w:shd w:fill="F9FAFB"/>
            <w:tcMar>
              <w:top w:w="100" w:type="dxa"/>
              <w:bottom w:w="100" w:type="dxa"/>
              <w:left w:w="150" w:type="dxa"/>
              <w:right w:w="150" w:type="dxa"/>
            </w:tcMar>
          </w:tcPr>
          <w:p>
            <w:pPr>
              <w:jc w:val="left"/>
            </w:pPr>
            <w:r/>
            <w:r>
              <w:rPr>
                <w:rFonts w:ascii="Arial" w:hAnsi="Arial"/>
                <w:color w:val="1F2937"/>
                <w:sz w:val="18"/>
              </w:rPr>
              <w:t>/chat/{id}/clear</w:t>
            </w:r>
          </w:p>
        </w:tc>
        <w:tc>
          <w:tcPr>
            <w:tcW w:type="dxa" w:w="2160"/>
            <w:shd w:fill="F9FAFB"/>
            <w:tcMar>
              <w:top w:w="100" w:type="dxa"/>
              <w:bottom w:w="100" w:type="dxa"/>
              <w:left w:w="150" w:type="dxa"/>
              <w:right w:w="150" w:type="dxa"/>
            </w:tcMar>
          </w:tcPr>
          <w:p>
            <w:pPr>
              <w:jc w:val="left"/>
            </w:pPr>
            <w:r/>
            <w:r>
              <w:rPr>
                <w:rFonts w:ascii="Arial" w:hAnsi="Arial"/>
                <w:color w:val="1F2937"/>
                <w:sz w:val="18"/>
              </w:rPr>
              <w:t>Clear Session</w:t>
            </w:r>
          </w:p>
        </w:tc>
        <w:tc>
          <w:tcPr>
            <w:tcW w:type="dxa" w:w="3312"/>
            <w:shd w:fill="F9FAFB"/>
            <w:tcMar>
              <w:top w:w="100" w:type="dxa"/>
              <w:bottom w:w="100" w:type="dxa"/>
              <w:left w:w="150" w:type="dxa"/>
              <w:right w:w="150" w:type="dxa"/>
            </w:tcMar>
          </w:tcPr>
          <w:p>
            <w:pPr>
              <w:jc w:val="left"/>
            </w:pPr>
            <w:r/>
            <w:r>
              <w:rPr>
                <w:rFonts w:ascii="Arial" w:hAnsi="Arial"/>
                <w:color w:val="1F2937"/>
                <w:sz w:val="18"/>
              </w:rPr>
              <w:t>Flushes conversation history and accumulated parameters for the given conversation ID.</w:t>
            </w:r>
          </w:p>
        </w:tc>
      </w:tr>
      <w:tr>
        <w:tc>
          <w:tcPr>
            <w:tcW w:type="dxa" w:w="1296"/>
            <w:shd w:fill="FFFFFF"/>
            <w:tcMar>
              <w:top w:w="100" w:type="dxa"/>
              <w:bottom w:w="100" w:type="dxa"/>
              <w:left w:w="150" w:type="dxa"/>
              <w:right w:w="150" w:type="dxa"/>
            </w:tcMar>
          </w:tcPr>
          <w:p>
            <w:pPr>
              <w:jc w:val="left"/>
            </w:pPr>
            <w:r/>
            <w:r>
              <w:rPr>
                <w:rFonts w:ascii="Arial" w:hAnsi="Arial"/>
                <w:color w:val="1F2937"/>
                <w:sz w:val="18"/>
              </w:rPr>
              <w:t>POST</w:t>
            </w:r>
          </w:p>
        </w:tc>
        <w:tc>
          <w:tcPr>
            <w:tcW w:type="dxa" w:w="2592"/>
            <w:shd w:fill="FFFFFF"/>
            <w:tcMar>
              <w:top w:w="100" w:type="dxa"/>
              <w:bottom w:w="100" w:type="dxa"/>
              <w:left w:w="150" w:type="dxa"/>
              <w:right w:w="150" w:type="dxa"/>
            </w:tcMar>
          </w:tcPr>
          <w:p>
            <w:pPr>
              <w:jc w:val="left"/>
            </w:pPr>
            <w:r/>
            <w:r>
              <w:rPr>
                <w:rFonts w:ascii="Arial" w:hAnsi="Arial"/>
                <w:color w:val="1F2937"/>
                <w:sz w:val="18"/>
              </w:rPr>
              <w:t>/admin/rebuild-index</w:t>
            </w:r>
          </w:p>
        </w:tc>
        <w:tc>
          <w:tcPr>
            <w:tcW w:type="dxa" w:w="2160"/>
            <w:shd w:fill="FFFFFF"/>
            <w:tcMar>
              <w:top w:w="100" w:type="dxa"/>
              <w:bottom w:w="100" w:type="dxa"/>
              <w:left w:w="150" w:type="dxa"/>
              <w:right w:w="150" w:type="dxa"/>
            </w:tcMar>
          </w:tcPr>
          <w:p>
            <w:pPr>
              <w:jc w:val="left"/>
            </w:pPr>
            <w:r/>
            <w:r>
              <w:rPr>
                <w:rFonts w:ascii="Arial" w:hAnsi="Arial"/>
                <w:color w:val="1F2937"/>
                <w:sz w:val="18"/>
              </w:rPr>
              <w:t>Admin Reindex</w:t>
            </w:r>
          </w:p>
        </w:tc>
        <w:tc>
          <w:tcPr>
            <w:tcW w:type="dxa" w:w="3312"/>
            <w:shd w:fill="FFFFFF"/>
            <w:tcMar>
              <w:top w:w="100" w:type="dxa"/>
              <w:bottom w:w="100" w:type="dxa"/>
              <w:left w:w="150" w:type="dxa"/>
              <w:right w:w="150" w:type="dxa"/>
            </w:tcMar>
          </w:tcPr>
          <w:p>
            <w:pPr>
              <w:jc w:val="left"/>
            </w:pPr>
            <w:r/>
            <w:r>
              <w:rPr>
                <w:rFonts w:ascii="Arial" w:hAnsi="Arial"/>
                <w:color w:val="1F2937"/>
                <w:sz w:val="18"/>
              </w:rPr>
              <w:t>Forces re-ingestion and re-indexing of knowledge.json into ChromaDB.</w:t>
            </w:r>
          </w:p>
        </w:tc>
      </w:tr>
    </w:tbl>
    <w:p/>
    <w:p>
      <w:pPr>
        <w:keepNext/>
        <w:spacing w:before="280" w:after="80"/>
      </w:pPr>
      <w:r>
        <w:rPr>
          <w:rFonts w:ascii="Arial" w:hAnsi="Arial"/>
          <w:b/>
          <w:color w:val="1B4D3E"/>
          <w:sz w:val="28"/>
        </w:rPr>
        <w:t>Section 9 — Database &amp; Knowledge Schema</w:t>
      </w:r>
    </w:p>
    <w:p>
      <w:pPr>
        <w:spacing w:after="80"/>
      </w:pPr>
      <w:r>
        <w:t>Scientific knowledge is maintained in a normalized JSON catalog in data/environmental_data/knowledge.json. A simplified representative entry is illustrated below:</w:t>
      </w:r>
    </w:p>
    <w:tbl>
      <w:tblPr>
        <w:tblW w:type="auto" w:w="0"/>
        <w:jc w:val="center"/>
        <w:tblLook w:firstColumn="1" w:firstRow="1" w:lastColumn="0" w:lastRow="0" w:noHBand="0" w:noVBand="1" w:val="04A0"/>
      </w:tblPr>
      <w:tblGrid>
        <w:gridCol w:w="9792"/>
      </w:tblGrid>
      <w:tr>
        <w:tc>
          <w:tcPr>
            <w:tcW w:type="dxa" w:w="9360"/>
            <w:shd w:fill="F3F4F6"/>
            <w:tcMar>
              <w:top w:w="100" w:type="dxa"/>
              <w:bottom w:w="100" w:type="dxa"/>
              <w:left w:w="150" w:type="dxa"/>
              <w:right w:w="150" w:type="dxa"/>
            </w:tcMar>
          </w:tcPr>
          <w:p>
            <w:pPr>
              <w:spacing w:line="276" w:lineRule="auto" w:before="0" w:after="0"/>
            </w:pPr>
            <w:r>
              <w:rPr>
                <w:rFonts w:ascii="Consolas" w:hAnsi="Consolas"/>
                <w:color w:val="111827"/>
                <w:sz w:val="17"/>
              </w:rPr>
              <w:t>{</w:t>
              <w:br/>
              <w:t xml:space="preserve">  "id": "soc_001",</w:t>
              <w:br/>
              <w:t xml:space="preserve">  "topic": "soil organic carbon",</w:t>
              <w:br/>
              <w:t xml:space="preserve">  "category": "soil_health",</w:t>
              <w:br/>
              <w:t xml:space="preserve">  "environmental_variables": ["soil_organic_carbon", "soil_health", "biodiversity", "water_retention"],</w:t>
              <w:br/>
              <w:t xml:space="preserve">  "knowledge": "Soil organic carbon (SOC) is a key indicator of soil health. SOC levels below 1% are considered degraded...",</w:t>
              <w:br/>
              <w:t xml:space="preserve">  "thresholds": {</w:t>
              <w:br/>
              <w:t xml:space="preserve">    "critical_low": 0.5, "low": 1.0, "moderate": 2.0, "good": 3.0, "excellent": 5.0, "unit": "percent"</w:t>
              <w:br/>
              <w:t xml:space="preserve">  },</w:t>
              <w:br/>
              <w:t xml:space="preserve">  "interactions": {</w:t>
              <w:br/>
              <w:t xml:space="preserve">    "soil_ph": "SOC decomposition rates are affected by pH; extreme pH slows organic matter turnover",</w:t>
              <w:br/>
              <w:t xml:space="preserve">    "soil_moisture": "Adequate moisture promotes microbial decomposition and SOC cycling",</w:t>
              <w:br/>
              <w:t xml:space="preserve">    "temperature": "Higher temperatures generally accelerate SOC decomposition (Q10 effect)"</w:t>
              <w:br/>
              <w:t xml:space="preserve">  },</w:t>
              <w:br/>
              <w:t xml:space="preserve">  "recommended_actions": [</w:t>
              <w:br/>
              <w:t xml:space="preserve">    {</w:t>
              <w:br/>
              <w:t xml:space="preserve">      "action": "Implement cover cropping with legume-grass mixtures",</w:t>
              <w:br/>
              <w:t xml:space="preserve">      "scientific_basis": "Cover crops add biomass and root exudates, increasing SOC through biological inputs...",</w:t>
              <w:br/>
              <w:t xml:space="preserve">      "metrics_affected": ["soil_organic_carbon", "soil_biodiversity", "nitrogen_cycling"],</w:t>
              <w:br/>
              <w:t xml:space="preserve">      "time_horizon": "1-3 years for measurable SOC increase; 5+ years for significant improvement",</w:t>
              <w:br/>
              <w:t xml:space="preserve">      "confidence": "high",</w:t>
              <w:br/>
              <w:t xml:space="preserve">      "measurable_improvement": "Measurable SOC accumulation in topsoil over 3-5 years; reduces fertilizer needs"</w:t>
              <w:br/>
              <w:t xml:space="preserve">    }</w:t>
              <w:br/>
              <w:t xml:space="preserve">  ],</w:t>
              <w:br/>
              <w:t xml:space="preserve">  "source": "FAO Global Soil Organic Carbon Map (GSOCmap); Lal, R. (2004) Science; Brady &amp; Weil (2016)"</w:t>
              <w:br/>
              <w:t>}</w:t>
            </w:r>
          </w:p>
        </w:tc>
      </w:tr>
    </w:tbl>
    <w:p/>
    <w:p>
      <w:pPr>
        <w:spacing w:after="80"/>
      </w:pPr>
      <w:r>
        <w:t>ChromaDB's Role: ChromaDB operates in persistent embedded mode (chromadb.PersistentClient), indexing the 57 chunks derived from knowledge.json using cosine distance. It acts as an authoritative scientific boundary, supplying retrieved evidence chunks that constrain the generative model.</w:t>
      </w:r>
    </w:p>
    <w:p>
      <w:pPr>
        <w:keepNext/>
        <w:spacing w:before="280" w:after="80"/>
      </w:pPr>
      <w:r>
        <w:rPr>
          <w:rFonts w:ascii="Arial" w:hAnsi="Arial"/>
          <w:b/>
          <w:color w:val="1B4D3E"/>
          <w:sz w:val="28"/>
        </w:rPr>
        <w:t>Section 10 — Local Setup &amp; Execution Guide</w:t>
      </w:r>
    </w:p>
    <w:p>
      <w:pPr>
        <w:spacing w:after="80"/>
      </w:pPr>
      <w:r>
        <w:t>To run the complete system locally, follow these verified setup steps:</w:t>
      </w:r>
    </w:p>
    <w:tbl>
      <w:tblPr>
        <w:tblW w:type="auto" w:w="0"/>
        <w:jc w:val="center"/>
        <w:tblLook w:firstColumn="1" w:firstRow="1" w:lastColumn="0" w:lastRow="0" w:noHBand="0" w:noVBand="1" w:val="04A0"/>
      </w:tblPr>
      <w:tblGrid>
        <w:gridCol w:w="9792"/>
      </w:tblGrid>
      <w:tr>
        <w:tc>
          <w:tcPr>
            <w:tcW w:type="dxa" w:w="9360"/>
            <w:shd w:fill="F3F4F6"/>
            <w:tcMar>
              <w:top w:w="100" w:type="dxa"/>
              <w:bottom w:w="100" w:type="dxa"/>
              <w:left w:w="150" w:type="dxa"/>
              <w:right w:w="150" w:type="dxa"/>
            </w:tcMar>
          </w:tcPr>
          <w:p>
            <w:pPr>
              <w:spacing w:line="276" w:lineRule="auto" w:before="0" w:after="0"/>
            </w:pPr>
            <w:r>
              <w:rPr>
                <w:rFonts w:ascii="Consolas" w:hAnsi="Consolas"/>
                <w:color w:val="111827"/>
                <w:sz w:val="17"/>
              </w:rPr>
              <w:t># 1. Clone the public repository</w:t>
              <w:br/>
              <w:t>git clone https://github.com/Shivaram7-29/darukaa-biodiversity-ai.git</w:t>
              <w:br/>
              <w:t>cd darukaa-biodiversity-ai</w:t>
              <w:br/>
              <w:br/>
              <w:t># 2. Create and activate a Python 3.12 virtual environment</w:t>
              <w:br/>
              <w:t># On Windows:</w:t>
              <w:br/>
              <w:t>python -m venv .venv</w:t>
              <w:br/>
              <w:t>.venv\Scripts\activate</w:t>
              <w:br/>
              <w:t># On Linux / macOS:</w:t>
              <w:br/>
              <w:t># python3 -m venv .venv &amp;&amp; source .venv/bin/activate</w:t>
              <w:br/>
              <w:br/>
              <w:t># 3. Install required dependencies</w:t>
              <w:br/>
              <w:t>pip install -r requirements.txt</w:t>
              <w:br/>
              <w:br/>
              <w:t># 4. Configure environment variables (.env)</w:t>
              <w:br/>
              <w:t># Create a .env file in the project root with your Google Gemini API key:</w:t>
              <w:br/>
              <w:t>GOOGLE_API_KEY=your_actual_gemini_api_key_here</w:t>
              <w:br/>
              <w:t>GEMINI_MODEL=gemini-3.5-flash-lite</w:t>
              <w:br/>
              <w:t>BACKEND_URL=http://localhost:8000</w:t>
              <w:br/>
              <w:br/>
              <w:t># 5. Start the FastAPI backend server (Terminal 1)</w:t>
              <w:br/>
              <w:t>uvicorn app.api:app --host 0.0.0.0 --port 8000</w:t>
              <w:br/>
              <w:br/>
              <w:t># 6. Launch the Streamlit frontend web app (Terminal 2)</w:t>
              <w:br/>
              <w:t>streamlit run ui/streamlit_app.py</w:t>
            </w:r>
          </w:p>
        </w:tc>
      </w:tr>
    </w:tbl>
    <w:p/>
    <w:p>
      <w:pPr>
        <w:keepNext/>
        <w:spacing w:before="280" w:after="80"/>
      </w:pPr>
      <w:r>
        <w:rPr>
          <w:rFonts w:ascii="Arial" w:hAnsi="Arial"/>
          <w:b/>
          <w:color w:val="1B4D3E"/>
          <w:sz w:val="28"/>
        </w:rPr>
        <w:t>Section 11 — Testing &amp; Verification Results</w:t>
      </w:r>
    </w:p>
    <w:p>
      <w:pPr>
        <w:spacing w:after="80"/>
      </w:pPr>
      <w:r>
        <w:t>The system has been comprehensively validated through two dedicated automated test suites in the repository, achieving a verified 100% pass rate across all unit, integration, and scientific grounding criteria:</w:t>
      </w:r>
    </w:p>
    <w:tbl>
      <w:tblPr>
        <w:tblW w:type="auto" w:w="0"/>
        <w:jc w:val="center"/>
        <w:tblLayout w:type="fixed"/>
        <w:tblLook w:firstColumn="1" w:firstRow="1" w:lastColumn="0" w:lastRow="0" w:noHBand="0" w:noVBand="1" w:val="04A0"/>
      </w:tblPr>
      <w:tblGrid>
        <w:gridCol w:w="3264"/>
        <w:gridCol w:w="3264"/>
        <w:gridCol w:w="3264"/>
      </w:tblGrid>
      <w:tr>
        <w:tc>
          <w:tcPr>
            <w:tcW w:type="dxa" w:w="3024"/>
            <w:shd w:fill="1B4D3E"/>
            <w:tcMar>
              <w:top w:w="130" w:type="dxa"/>
              <w:bottom w:w="130" w:type="dxa"/>
              <w:left w:w="160" w:type="dxa"/>
              <w:right w:w="160" w:type="dxa"/>
            </w:tcMar>
          </w:tcPr>
          <w:p>
            <w:pPr>
              <w:jc w:val="left"/>
            </w:pPr>
            <w:r>
              <w:rPr>
                <w:rFonts w:ascii="Arial" w:hAnsi="Arial"/>
                <w:b/>
                <w:color w:val="FFFFFF"/>
                <w:sz w:val="19"/>
              </w:rPr>
              <w:t>Automated Test Suite</w:t>
            </w:r>
          </w:p>
        </w:tc>
        <w:tc>
          <w:tcPr>
            <w:tcW w:type="dxa" w:w="3600"/>
            <w:shd w:fill="1B4D3E"/>
            <w:tcMar>
              <w:top w:w="130" w:type="dxa"/>
              <w:bottom w:w="130" w:type="dxa"/>
              <w:left w:w="160" w:type="dxa"/>
              <w:right w:w="160" w:type="dxa"/>
            </w:tcMar>
          </w:tcPr>
          <w:p>
            <w:pPr>
              <w:jc w:val="left"/>
            </w:pPr>
            <w:r>
              <w:rPr>
                <w:rFonts w:ascii="Arial" w:hAnsi="Arial"/>
                <w:b/>
                <w:color w:val="FFFFFF"/>
                <w:sz w:val="19"/>
              </w:rPr>
              <w:t>Validation Focus Area</w:t>
            </w:r>
          </w:p>
        </w:tc>
        <w:tc>
          <w:tcPr>
            <w:tcW w:type="dxa" w:w="2736"/>
            <w:shd w:fill="1B4D3E"/>
            <w:tcMar>
              <w:top w:w="130" w:type="dxa"/>
              <w:bottom w:w="130" w:type="dxa"/>
              <w:left w:w="160" w:type="dxa"/>
              <w:right w:w="160" w:type="dxa"/>
            </w:tcMar>
          </w:tcPr>
          <w:p>
            <w:pPr>
              <w:jc w:val="left"/>
            </w:pPr>
            <w:r>
              <w:rPr>
                <w:rFonts w:ascii="Arial" w:hAnsi="Arial"/>
                <w:b/>
                <w:color w:val="FFFFFF"/>
                <w:sz w:val="19"/>
              </w:rPr>
              <w:t>Verified Outcome</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FFFFF"/>
            <w:tcMar>
              <w:top w:w="100" w:type="dxa"/>
              <w:bottom w:w="100" w:type="dxa"/>
              <w:left w:w="150" w:type="dxa"/>
              <w:right w:w="150" w:type="dxa"/>
            </w:tcMar>
          </w:tcPr>
          <w:p>
            <w:pPr>
              <w:jc w:val="left"/>
            </w:pPr>
            <w:r/>
            <w:r>
              <w:rPr>
                <w:rFonts w:ascii="Arial" w:hAnsi="Arial"/>
                <w:color w:val="1F2937"/>
                <w:sz w:val="18"/>
              </w:rPr>
              <w:t>Section 1: Multi-Metric Reasoning Rules</w:t>
            </w:r>
          </w:p>
        </w:tc>
        <w:tc>
          <w:tcPr>
            <w:tcW w:type="dxa" w:w="2736"/>
            <w:shd w:fill="FFFFFF"/>
            <w:tcMar>
              <w:top w:w="100" w:type="dxa"/>
              <w:bottom w:w="100" w:type="dxa"/>
              <w:left w:w="150" w:type="dxa"/>
              <w:right w:w="150" w:type="dxa"/>
            </w:tcMar>
          </w:tcPr>
          <w:p>
            <w:pPr>
              <w:jc w:val="left"/>
            </w:pPr>
            <w:r/>
            <w:r>
              <w:rPr>
                <w:rFonts w:ascii="Arial" w:hAnsi="Arial"/>
                <w:color w:val="1F2937"/>
                <w:sz w:val="18"/>
              </w:rPr>
              <w:t>PASS (4/4 compound rules triggered)</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9FAFB"/>
            <w:tcMar>
              <w:top w:w="100" w:type="dxa"/>
              <w:bottom w:w="100" w:type="dxa"/>
              <w:left w:w="150" w:type="dxa"/>
              <w:right w:w="150" w:type="dxa"/>
            </w:tcMar>
          </w:tcPr>
          <w:p>
            <w:pPr>
              <w:jc w:val="left"/>
            </w:pPr>
            <w:r/>
            <w:r>
              <w:rPr>
                <w:rFonts w:ascii="Arial" w:hAnsi="Arial"/>
                <w:color w:val="1F2937"/>
                <w:sz w:val="18"/>
              </w:rPr>
              <w:t>Section 2: RAG Retrieval Verification</w:t>
            </w:r>
          </w:p>
        </w:tc>
        <w:tc>
          <w:tcPr>
            <w:tcW w:type="dxa" w:w="2736"/>
            <w:shd w:fill="F9FAFB"/>
            <w:tcMar>
              <w:top w:w="100" w:type="dxa"/>
              <w:bottom w:w="100" w:type="dxa"/>
              <w:left w:w="150" w:type="dxa"/>
              <w:right w:w="150" w:type="dxa"/>
            </w:tcMar>
          </w:tcPr>
          <w:p>
            <w:pPr>
              <w:jc w:val="left"/>
            </w:pPr>
            <w:r/>
            <w:r>
              <w:rPr>
                <w:rFonts w:ascii="Arial" w:hAnsi="Arial"/>
                <w:color w:val="1F2937"/>
                <w:sz w:val="18"/>
              </w:rPr>
              <w:t>PASS (All 12 topics retrievable, 57 chunks verified)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FFFFF"/>
            <w:tcMar>
              <w:top w:w="100" w:type="dxa"/>
              <w:bottom w:w="100" w:type="dxa"/>
              <w:left w:w="150" w:type="dxa"/>
              <w:right w:w="150" w:type="dxa"/>
            </w:tcMar>
          </w:tcPr>
          <w:p>
            <w:pPr>
              <w:jc w:val="left"/>
            </w:pPr>
            <w:r/>
            <w:r>
              <w:rPr>
                <w:rFonts w:ascii="Arial" w:hAnsi="Arial"/>
                <w:color w:val="1F2937"/>
                <w:sz w:val="18"/>
              </w:rPr>
              <w:t>Section 3: Live Benchmark Grounding Audit</w:t>
            </w:r>
          </w:p>
        </w:tc>
        <w:tc>
          <w:tcPr>
            <w:tcW w:type="dxa" w:w="2736"/>
            <w:shd w:fill="FFFFFF"/>
            <w:tcMar>
              <w:top w:w="100" w:type="dxa"/>
              <w:bottom w:w="100" w:type="dxa"/>
              <w:left w:w="150" w:type="dxa"/>
              <w:right w:w="150" w:type="dxa"/>
            </w:tcMar>
          </w:tcPr>
          <w:p>
            <w:pPr>
              <w:jc w:val="left"/>
            </w:pPr>
            <w:r/>
            <w:r>
              <w:rPr>
                <w:rFonts w:ascii="Arial" w:hAnsi="Arial"/>
                <w:color w:val="1F2937"/>
                <w:sz w:val="18"/>
              </w:rPr>
              <w:t>PASS (Defensible qualitative indicators verified)</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9FAFB"/>
            <w:tcMar>
              <w:top w:w="100" w:type="dxa"/>
              <w:bottom w:w="100" w:type="dxa"/>
              <w:left w:w="150" w:type="dxa"/>
              <w:right w:w="150" w:type="dxa"/>
            </w:tcMar>
          </w:tcPr>
          <w:p>
            <w:pPr>
              <w:jc w:val="left"/>
            </w:pPr>
            <w:r/>
            <w:r>
              <w:rPr>
                <w:rFonts w:ascii="Arial" w:hAnsi="Arial"/>
                <w:color w:val="1F2937"/>
                <w:sz w:val="18"/>
              </w:rPr>
              <w:t>Section 4: Incomplete Query &amp; Clarifications</w:t>
            </w:r>
          </w:p>
        </w:tc>
        <w:tc>
          <w:tcPr>
            <w:tcW w:type="dxa" w:w="2736"/>
            <w:shd w:fill="F9FAFB"/>
            <w:tcMar>
              <w:top w:w="100" w:type="dxa"/>
              <w:bottom w:w="100" w:type="dxa"/>
              <w:left w:w="150" w:type="dxa"/>
              <w:right w:w="150" w:type="dxa"/>
            </w:tcMar>
          </w:tcPr>
          <w:p>
            <w:pPr>
              <w:jc w:val="left"/>
            </w:pPr>
            <w:r/>
            <w:r>
              <w:rPr>
                <w:rFonts w:ascii="Arial" w:hAnsi="Arial"/>
                <w:color w:val="1F2937"/>
                <w:sz w:val="18"/>
              </w:rPr>
              <w:t>PASS (3 targeted clarifying questions generated)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FFFFF"/>
            <w:tcMar>
              <w:top w:w="100" w:type="dxa"/>
              <w:bottom w:w="100" w:type="dxa"/>
              <w:left w:w="150" w:type="dxa"/>
              <w:right w:w="150" w:type="dxa"/>
            </w:tcMar>
          </w:tcPr>
          <w:p>
            <w:pPr>
              <w:jc w:val="left"/>
            </w:pPr>
            <w:r/>
            <w:r>
              <w:rPr>
                <w:rFonts w:ascii="Arial" w:hAnsi="Arial"/>
                <w:color w:val="1F2937"/>
                <w:sz w:val="18"/>
              </w:rPr>
              <w:t>Section 5: Multi-Turn Memory &amp; Isolation</w:t>
            </w:r>
          </w:p>
        </w:tc>
        <w:tc>
          <w:tcPr>
            <w:tcW w:type="dxa" w:w="2736"/>
            <w:shd w:fill="FFFFFF"/>
            <w:tcMar>
              <w:top w:w="100" w:type="dxa"/>
              <w:bottom w:w="100" w:type="dxa"/>
              <w:left w:w="150" w:type="dxa"/>
              <w:right w:w="150" w:type="dxa"/>
            </w:tcMar>
          </w:tcPr>
          <w:p>
            <w:pPr>
              <w:jc w:val="left"/>
            </w:pPr>
            <w:r/>
            <w:r>
              <w:rPr>
                <w:rFonts w:ascii="Arial" w:hAnsi="Arial"/>
                <w:color w:val="1F2937"/>
                <w:sz w:val="18"/>
              </w:rPr>
              <w:t>PASS (4 variables accumulated across turns; sessions isolated)</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test_final_audit.py</w:t>
            </w:r>
          </w:p>
        </w:tc>
        <w:tc>
          <w:tcPr>
            <w:tcW w:type="dxa" w:w="3600"/>
            <w:shd w:fill="F9FAFB"/>
            <w:tcMar>
              <w:top w:w="100" w:type="dxa"/>
              <w:bottom w:w="100" w:type="dxa"/>
              <w:left w:w="150" w:type="dxa"/>
              <w:right w:w="150" w:type="dxa"/>
            </w:tcMar>
          </w:tcPr>
          <w:p>
            <w:pPr>
              <w:jc w:val="left"/>
            </w:pPr>
            <w:r/>
            <w:r>
              <w:rPr>
                <w:rFonts w:ascii="Arial" w:hAnsi="Arial"/>
                <w:color w:val="1F2937"/>
                <w:sz w:val="18"/>
              </w:rPr>
              <w:t>Section 6: Streaming Endpoint (/chat/stream)</w:t>
            </w:r>
          </w:p>
        </w:tc>
        <w:tc>
          <w:tcPr>
            <w:tcW w:type="dxa" w:w="2736"/>
            <w:shd w:fill="F9FAFB"/>
            <w:tcMar>
              <w:top w:w="100" w:type="dxa"/>
              <w:bottom w:w="100" w:type="dxa"/>
              <w:left w:w="150" w:type="dxa"/>
              <w:right w:w="150" w:type="dxa"/>
            </w:tcMar>
          </w:tcPr>
          <w:p>
            <w:pPr>
              <w:jc w:val="left"/>
            </w:pPr>
            <w:r/>
            <w:r>
              <w:rPr>
                <w:rFonts w:ascii="Arial" w:hAnsi="Arial"/>
                <w:color w:val="1F2937"/>
                <w:sz w:val="18"/>
              </w:rPr>
              <w:t>PASS (43 chunk events streamed + structured payload)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test_compliance_suite.py</w:t>
            </w:r>
          </w:p>
        </w:tc>
        <w:tc>
          <w:tcPr>
            <w:tcW w:type="dxa" w:w="3600"/>
            <w:shd w:fill="FFFFFF"/>
            <w:tcMar>
              <w:top w:w="100" w:type="dxa"/>
              <w:bottom w:w="100" w:type="dxa"/>
              <w:left w:w="150" w:type="dxa"/>
              <w:right w:w="150" w:type="dxa"/>
            </w:tcMar>
          </w:tcPr>
          <w:p>
            <w:pPr>
              <w:jc w:val="left"/>
            </w:pPr>
            <w:r/>
            <w:r>
              <w:rPr>
                <w:rFonts w:ascii="Arial" w:hAnsi="Arial"/>
                <w:color w:val="1F2937"/>
                <w:sz w:val="18"/>
              </w:rPr>
              <w:t>Scenario 1: Degraded Farmland (SOC+pH)</w:t>
            </w:r>
          </w:p>
        </w:tc>
        <w:tc>
          <w:tcPr>
            <w:tcW w:type="dxa" w:w="2736"/>
            <w:shd w:fill="FFFFFF"/>
            <w:tcMar>
              <w:top w:w="100" w:type="dxa"/>
              <w:bottom w:w="100" w:type="dxa"/>
              <w:left w:w="150" w:type="dxa"/>
              <w:right w:w="150" w:type="dxa"/>
            </w:tcMar>
          </w:tcPr>
          <w:p>
            <w:pPr>
              <w:jc w:val="left"/>
            </w:pPr>
            <w:r/>
            <w:r>
              <w:rPr>
                <w:rFonts w:ascii="Arial" w:hAnsi="Arial"/>
                <w:color w:val="1F2937"/>
                <w:sz w:val="18"/>
              </w:rPr>
              <w:t>PASS (Liming sequence &amp; compost buffering verified)</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test_compliance_suite.py</w:t>
            </w:r>
          </w:p>
        </w:tc>
        <w:tc>
          <w:tcPr>
            <w:tcW w:type="dxa" w:w="3600"/>
            <w:shd w:fill="F9FAFB"/>
            <w:tcMar>
              <w:top w:w="100" w:type="dxa"/>
              <w:bottom w:w="100" w:type="dxa"/>
              <w:left w:w="150" w:type="dxa"/>
              <w:right w:w="150" w:type="dxa"/>
            </w:tcMar>
          </w:tcPr>
          <w:p>
            <w:pPr>
              <w:jc w:val="left"/>
            </w:pPr>
            <w:r/>
            <w:r>
              <w:rPr>
                <w:rFonts w:ascii="Arial" w:hAnsi="Arial"/>
                <w:color w:val="1F2937"/>
                <w:sz w:val="18"/>
              </w:rPr>
              <w:t>Scenario 2: Deforestation Impact</w:t>
            </w:r>
          </w:p>
        </w:tc>
        <w:tc>
          <w:tcPr>
            <w:tcW w:type="dxa" w:w="2736"/>
            <w:shd w:fill="F9FAFB"/>
            <w:tcMar>
              <w:top w:w="100" w:type="dxa"/>
              <w:bottom w:w="100" w:type="dxa"/>
              <w:left w:w="150" w:type="dxa"/>
              <w:right w:w="150" w:type="dxa"/>
            </w:tcMar>
          </w:tcPr>
          <w:p>
            <w:pPr>
              <w:jc w:val="left"/>
            </w:pPr>
            <w:r/>
            <w:r>
              <w:rPr>
                <w:rFonts w:ascii="Arial" w:hAnsi="Arial"/>
                <w:color w:val="1F2937"/>
                <w:sz w:val="18"/>
              </w:rPr>
              <w:t>PASS (Microclimate buffering &amp; corridor design verified)</w:t>
            </w:r>
          </w:p>
        </w:tc>
      </w:tr>
      <w:tr>
        <w:tc>
          <w:tcPr>
            <w:tcW w:type="dxa" w:w="3024"/>
            <w:shd w:fill="FFFFFF"/>
            <w:tcMar>
              <w:top w:w="100" w:type="dxa"/>
              <w:bottom w:w="100" w:type="dxa"/>
              <w:left w:w="150" w:type="dxa"/>
              <w:right w:w="150" w:type="dxa"/>
            </w:tcMar>
          </w:tcPr>
          <w:p>
            <w:pPr>
              <w:jc w:val="left"/>
            </w:pPr>
            <w:r/>
            <w:r>
              <w:rPr>
                <w:rFonts w:ascii="Arial" w:hAnsi="Arial"/>
                <w:color w:val="1F2937"/>
                <w:sz w:val="18"/>
              </w:rPr>
              <w:t>test_compliance_suite.py</w:t>
            </w:r>
          </w:p>
        </w:tc>
        <w:tc>
          <w:tcPr>
            <w:tcW w:type="dxa" w:w="3600"/>
            <w:shd w:fill="FFFFFF"/>
            <w:tcMar>
              <w:top w:w="100" w:type="dxa"/>
              <w:bottom w:w="100" w:type="dxa"/>
              <w:left w:w="150" w:type="dxa"/>
              <w:right w:w="150" w:type="dxa"/>
            </w:tcMar>
          </w:tcPr>
          <w:p>
            <w:pPr>
              <w:jc w:val="left"/>
            </w:pPr>
            <w:r/>
            <w:r>
              <w:rPr>
                <w:rFonts w:ascii="Arial" w:hAnsi="Arial"/>
                <w:color w:val="1F2937"/>
                <w:sz w:val="18"/>
              </w:rPr>
              <w:t>Scenario 3: Arid Wheat Monoculture</w:t>
            </w:r>
          </w:p>
        </w:tc>
        <w:tc>
          <w:tcPr>
            <w:tcW w:type="dxa" w:w="2736"/>
            <w:shd w:fill="FFFFFF"/>
            <w:tcMar>
              <w:top w:w="100" w:type="dxa"/>
              <w:bottom w:w="100" w:type="dxa"/>
              <w:left w:w="150" w:type="dxa"/>
              <w:right w:w="150" w:type="dxa"/>
            </w:tcMar>
          </w:tcPr>
          <w:p>
            <w:pPr>
              <w:jc w:val="left"/>
            </w:pPr>
            <w:r/>
            <w:r>
              <w:rPr>
                <w:rFonts w:ascii="Arial" w:hAnsi="Arial"/>
                <w:color w:val="1F2937"/>
                <w:sz w:val="18"/>
              </w:rPr>
              <w:t>PASS (3-variable heat-drought stress verified)</w:t>
            </w:r>
          </w:p>
        </w:tc>
      </w:tr>
      <w:tr>
        <w:tc>
          <w:tcPr>
            <w:tcW w:type="dxa" w:w="3024"/>
            <w:shd w:fill="F9FAFB"/>
            <w:tcMar>
              <w:top w:w="100" w:type="dxa"/>
              <w:bottom w:w="100" w:type="dxa"/>
              <w:left w:w="150" w:type="dxa"/>
              <w:right w:w="150" w:type="dxa"/>
            </w:tcMar>
          </w:tcPr>
          <w:p>
            <w:pPr>
              <w:jc w:val="left"/>
            </w:pPr>
            <w:r/>
            <w:r>
              <w:rPr>
                <w:rFonts w:ascii="Arial" w:hAnsi="Arial"/>
                <w:color w:val="1F2937"/>
                <w:sz w:val="18"/>
              </w:rPr>
              <w:t>test_compliance_suite.py</w:t>
            </w:r>
          </w:p>
        </w:tc>
        <w:tc>
          <w:tcPr>
            <w:tcW w:type="dxa" w:w="3600"/>
            <w:shd w:fill="F9FAFB"/>
            <w:tcMar>
              <w:top w:w="100" w:type="dxa"/>
              <w:bottom w:w="100" w:type="dxa"/>
              <w:left w:w="150" w:type="dxa"/>
              <w:right w:w="150" w:type="dxa"/>
            </w:tcMar>
          </w:tcPr>
          <w:p>
            <w:pPr>
              <w:jc w:val="left"/>
            </w:pPr>
            <w:r/>
            <w:r>
              <w:rPr>
                <w:rFonts w:ascii="Arial" w:hAnsi="Arial"/>
                <w:color w:val="1F2937"/>
                <w:sz w:val="18"/>
              </w:rPr>
              <w:t>Scenario 4: Wetland Eutrophication</w:t>
            </w:r>
          </w:p>
        </w:tc>
        <w:tc>
          <w:tcPr>
            <w:tcW w:type="dxa" w:w="2736"/>
            <w:shd w:fill="F9FAFB"/>
            <w:tcMar>
              <w:top w:w="100" w:type="dxa"/>
              <w:bottom w:w="100" w:type="dxa"/>
              <w:left w:w="150" w:type="dxa"/>
              <w:right w:w="150" w:type="dxa"/>
            </w:tcMar>
          </w:tcPr>
          <w:p>
            <w:pPr>
              <w:jc w:val="left"/>
            </w:pPr>
            <w:r/>
            <w:r>
              <w:rPr>
                <w:rFonts w:ascii="Arial" w:hAnsi="Arial"/>
                <w:color w:val="1F2937"/>
                <w:sz w:val="18"/>
              </w:rPr>
              <w:t>PASS (Constructed wetland cells &amp; riparian buffers verified)</w:t>
            </w:r>
          </w:p>
        </w:tc>
      </w:tr>
    </w:tbl>
    <w:p/>
    <w:tbl>
      <w:tblPr>
        <w:tblW w:type="auto" w:w="0"/>
        <w:jc w:val="center"/>
        <w:tblLook w:firstColumn="1" w:firstRow="1" w:lastColumn="0" w:lastRow="0" w:noHBand="0" w:noVBand="1" w:val="04A0"/>
      </w:tblPr>
      <w:tblGrid>
        <w:gridCol w:w="9792"/>
      </w:tblGrid>
      <w:tr>
        <w:tc>
          <w:tcPr>
            <w:tcW w:type="dxa" w:w="9360"/>
            <w:shd w:fill="F0FDF4"/>
            <w:tcMar>
              <w:top w:w="120" w:type="dxa"/>
              <w:bottom w:w="120" w:type="dxa"/>
              <w:left w:w="180" w:type="dxa"/>
              <w:right w:w="180" w:type="dxa"/>
            </w:tcMar>
            <w:tcBorders>
              <w:top w:val="none"/>
              <w:left w:val="single" w:sz="20" w:space="0" w:color="1B4D3E"/>
              <w:bottom w:val="none"/>
              <w:right w:val="none"/>
            </w:tcBorders>
          </w:tcPr>
          <w:p>
            <w:r>
              <w:rPr>
                <w:rFonts w:ascii="Arial" w:hAnsi="Arial"/>
                <w:b/>
                <w:color w:val="1B4D3E"/>
                <w:sz w:val="19"/>
              </w:rPr>
              <w:t xml:space="preserve">[VERIFIED SCIENTIFIC GROUNDING AUDIT] </w:t>
            </w:r>
            <w:r>
              <w:rPr>
                <w:rFonts w:ascii="Arial" w:hAnsi="Arial"/>
                <w:color w:val="1F2937"/>
                <w:sz w:val="18"/>
              </w:rPr>
              <w:t>Scientific Grounding Verification:</w:t>
              <w:br/>
              <w:t>• Raw soil moisture percentage (e.g. 20%) is evaluated strictly as raw moisture percentage, NOT converted into percentage of field capacity.</w:t>
              <w:br/>
              <w:t>• The system does NOT assert that water stress begins below 30% field capacity when evaluating raw moisture percentages.</w:t>
              <w:br/>
              <w:t>• Low SOC (e.g. 0.3%) is described qualitatively as 'very low / critically low soil organic carbon' without asserting ungrounded comparison baselines.</w:t>
              <w:br/>
              <w:t>• All ungrounded field-capacity targets, invented water-holding multipliers, and unbacked evaporation reductions are completely absent.</w:t>
            </w:r>
          </w:p>
        </w:tc>
      </w:tr>
    </w:tbl>
    <w:p/>
    <w:p>
      <w:pPr>
        <w:keepNext/>
        <w:spacing w:before="280" w:after="80"/>
      </w:pPr>
      <w:r>
        <w:rPr>
          <w:rFonts w:ascii="Arial" w:hAnsi="Arial"/>
          <w:b/>
          <w:color w:val="1B4D3E"/>
          <w:sz w:val="28"/>
        </w:rPr>
        <w:t>Section 12 — Deployment &amp; CI/CD Architecture</w:t>
      </w:r>
    </w:p>
    <w:p>
      <w:pPr>
        <w:spacing w:after="80"/>
      </w:pPr>
      <w:r>
        <w:t>Darukaa.Earth is deployed across two decoupled cloud hosting platforms connected directly to GitHub (origin/main):</w:t>
      </w:r>
    </w:p>
    <w:p>
      <w:pPr>
        <w:pStyle w:val="ListBullet"/>
        <w:spacing w:after="50"/>
      </w:pPr>
      <w:r>
        <w:rPr>
          <w:b/>
          <w:color w:val="1F2937"/>
        </w:rPr>
        <w:t xml:space="preserve">Backend REST API (Render): </w:t>
      </w:r>
      <w:r>
        <w:rPr>
          <w:color w:val="374151"/>
        </w:rPr>
        <w:t>Hosted on Render Web Services as a managed Python 3.12 web service. Render is connected via git tracking to origin/main: every push to main triggers an automated deployment. Memory optimization: By offloading embeddings to the remote gemini-embedding-001 endpoint and caching 57 precomputed embeddings in precomputed_embeddings.json, the backend consumes under 140 MB of RAM, running comfortably inside Render's 512 MB free tier.</w:t>
      </w:r>
    </w:p>
    <w:p>
      <w:pPr>
        <w:pStyle w:val="ListBullet"/>
        <w:spacing w:after="50"/>
      </w:pPr>
      <w:r>
        <w:rPr>
          <w:b/>
          <w:color w:val="1F2937"/>
        </w:rPr>
        <w:t xml:space="preserve">Frontend UI (Streamlit Cloud): </w:t>
      </w:r>
      <w:r>
        <w:rPr>
          <w:color w:val="374151"/>
        </w:rPr>
        <w:t>Hosted on Streamlit Community Cloud, connected directly to the GitHub repository. Code updates to origin/main auto-deploy instantly. It communicates with the Render backend via secure HTTPS requests.</w:t>
      </w:r>
    </w:p>
    <w:p>
      <w:pPr>
        <w:pStyle w:val="ListBullet"/>
        <w:spacing w:after="50"/>
      </w:pPr>
      <w:r>
        <w:rPr>
          <w:b/>
          <w:color w:val="1F2937"/>
        </w:rPr>
        <w:t xml:space="preserve">Final Production Commit: </w:t>
      </w:r>
      <w:r>
        <w:rPr>
          <w:color w:val="374151"/>
        </w:rPr>
        <w:t>Commit 678ea98 ('Refine soil moisture and SOC interpretations for scientific grounding').</w:t>
      </w:r>
    </w:p>
    <w:p>
      <w:pPr>
        <w:keepNext/>
        <w:spacing w:before="280" w:after="80"/>
      </w:pPr>
      <w:r>
        <w:rPr>
          <w:rFonts w:ascii="Arial" w:hAnsi="Arial"/>
          <w:b/>
          <w:color w:val="1B4D3E"/>
          <w:sz w:val="28"/>
        </w:rPr>
        <w:t>Section 13 — Limitations &amp; Future Roadmap</w:t>
      </w:r>
    </w:p>
    <w:p>
      <w:pPr>
        <w:spacing w:after="80"/>
      </w:pPr>
      <w:r>
        <w:t>To maintain scientific integrity, the known operational boundaries of the system are stated transparently:</w:t>
      </w:r>
    </w:p>
    <w:p>
      <w:pPr>
        <w:pStyle w:val="ListBullet"/>
        <w:spacing w:after="50"/>
      </w:pPr>
      <w:r>
        <w:rPr>
          <w:b/>
          <w:color w:val="1F2937"/>
        </w:rPr>
        <w:t xml:space="preserve">Dependence on Reported Data: </w:t>
      </w:r>
      <w:r>
        <w:rPr>
          <w:color w:val="374151"/>
        </w:rPr>
        <w:t>The accuracy of the diagnosis depends on user-entered environmental values. The tool is an assistive decision-support system, not a replacement for accredited laboratory soil testing or on-site physical field inspections.</w:t>
      </w:r>
    </w:p>
    <w:p>
      <w:pPr>
        <w:pStyle w:val="ListBullet"/>
        <w:spacing w:after="50"/>
      </w:pPr>
      <w:r>
        <w:rPr>
          <w:b/>
          <w:color w:val="1F2937"/>
        </w:rPr>
        <w:t xml:space="preserve">Curated Knowledge Scope: </w:t>
      </w:r>
      <w:r>
        <w:rPr>
          <w:color w:val="374151"/>
        </w:rPr>
        <w:t>While the 12 primary domains provide broad ecological coverage, the 57 documents represent a focused baseline. Highly specialized regional soil series (e.g. specific andosols or vertisols) require supplemental taxonomic indexing.</w:t>
      </w:r>
    </w:p>
    <w:p>
      <w:pPr>
        <w:pStyle w:val="ListBullet"/>
        <w:spacing w:after="50"/>
      </w:pPr>
      <w:r>
        <w:rPr>
          <w:b/>
          <w:color w:val="1F2937"/>
        </w:rPr>
        <w:t xml:space="preserve">Site-Specific Reaction Kinetics: </w:t>
      </w:r>
      <w:r>
        <w:rPr>
          <w:color w:val="374151"/>
        </w:rPr>
        <w:t>Biochemical timelines (e.g. limestone neutralization or compost mineralization) vary with unmeasured physical variables such as soil texture, bulk density, and indigenous microbial diversity.</w:t>
      </w:r>
    </w:p>
    <w:p>
      <w:pPr>
        <w:keepNext/>
        <w:spacing w:before="200" w:after="60"/>
      </w:pPr>
      <w:r>
        <w:rPr>
          <w:rFonts w:ascii="Arial" w:hAnsi="Arial"/>
          <w:b/>
          <w:color w:val="0D9488"/>
          <w:sz w:val="23"/>
        </w:rPr>
        <w:t>Future Enhancements (Planned Roadmap):</w:t>
      </w:r>
    </w:p>
    <w:p>
      <w:pPr>
        <w:pStyle w:val="ListBullet"/>
        <w:spacing w:after="50"/>
      </w:pPr>
      <w:r>
        <w:rPr>
          <w:b/>
          <w:color w:val="1F2937"/>
        </w:rPr>
        <w:t xml:space="preserve">Satellite Earth Observation Integration: </w:t>
      </w:r>
      <w:r>
        <w:rPr>
          <w:color w:val="374151"/>
        </w:rPr>
        <w:t>Automated ingestion of latitude and longitude coordinates to query live satellite imagery (Copernicus Sentinel-2, Landsat, MODIS NDVI) to automatically populate vegetative vigor and surface temperature metrics.</w:t>
      </w:r>
    </w:p>
    <w:p>
      <w:pPr>
        <w:pStyle w:val="ListBullet"/>
        <w:spacing w:after="50"/>
      </w:pPr>
      <w:r>
        <w:rPr>
          <w:b/>
          <w:color w:val="1F2937"/>
        </w:rPr>
        <w:t xml:space="preserve">Pedotransfer Function Modeling: </w:t>
      </w:r>
      <w:r>
        <w:rPr>
          <w:color w:val="374151"/>
        </w:rPr>
        <w:t>Algorithmic estimation of soil water retention curves and hydraulic conductivity based on user sand/silt/clay percentages.</w:t>
      </w:r>
    </w:p>
    <w:p>
      <w:pPr>
        <w:pStyle w:val="ListBullet"/>
        <w:spacing w:after="50"/>
      </w:pPr>
      <w:r>
        <w:rPr>
          <w:b/>
          <w:color w:val="1F2937"/>
        </w:rPr>
        <w:t xml:space="preserve">Hyper-Local Weather Forecasts: </w:t>
      </w:r>
      <w:r>
        <w:rPr>
          <w:color w:val="374151"/>
        </w:rPr>
        <w:t>Integration of 14-day rainfall and heatwave forecast APIs to warn agriculturalists of acute impending compounding stress.</w:t>
      </w:r>
    </w:p>
    <w:p>
      <w:pPr>
        <w:pStyle w:val="ListBullet"/>
        <w:spacing w:after="50"/>
      </w:pPr>
      <w:r>
        <w:rPr>
          <w:b/>
          <w:color w:val="1F2937"/>
        </w:rPr>
        <w:t xml:space="preserve">Expanded Regional Knowledge Bases: </w:t>
      </w:r>
      <w:r>
        <w:rPr>
          <w:color w:val="374151"/>
        </w:rPr>
        <w:t>Expansion of the vector database to incorporate national agricultural datasets (e.g. ICAR, USDA-ARS, EMBRAPA).</w:t>
      </w:r>
    </w:p>
    <w:p>
      <w:pPr>
        <w:keepNext/>
        <w:spacing w:before="280" w:after="80"/>
      </w:pPr>
      <w:r>
        <w:rPr>
          <w:rFonts w:ascii="Arial" w:hAnsi="Arial"/>
          <w:b/>
          <w:color w:val="1B4D3E"/>
          <w:sz w:val="28"/>
        </w:rPr>
        <w:t>Section 14 — Final Submission Links &amp; Notes</w:t>
      </w:r>
    </w:p>
    <w:tbl>
      <w:tblPr>
        <w:tblW w:type="auto" w:w="0"/>
        <w:jc w:val="center"/>
        <w:tblLayout w:type="fixed"/>
        <w:tblLook w:firstColumn="1" w:firstRow="1" w:lastColumn="0" w:lastRow="0" w:noHBand="0" w:noVBand="1" w:val="04A0"/>
      </w:tblPr>
      <w:tblGrid>
        <w:gridCol w:w="3264"/>
        <w:gridCol w:w="3264"/>
        <w:gridCol w:w="3264"/>
      </w:tblGrid>
      <w:tr>
        <w:tc>
          <w:tcPr>
            <w:tcW w:type="dxa" w:w="2592"/>
            <w:shd w:fill="1B4D3E"/>
            <w:tcMar>
              <w:top w:w="130" w:type="dxa"/>
              <w:bottom w:w="130" w:type="dxa"/>
              <w:left w:w="160" w:type="dxa"/>
              <w:right w:w="160" w:type="dxa"/>
            </w:tcMar>
          </w:tcPr>
          <w:p>
            <w:pPr>
              <w:jc w:val="left"/>
            </w:pPr>
            <w:r>
              <w:rPr>
                <w:rFonts w:ascii="Arial" w:hAnsi="Arial"/>
                <w:b/>
                <w:color w:val="FFFFFF"/>
                <w:sz w:val="19"/>
              </w:rPr>
              <w:t>Resource Name</w:t>
            </w:r>
          </w:p>
        </w:tc>
        <w:tc>
          <w:tcPr>
            <w:tcW w:type="dxa" w:w="4608"/>
            <w:shd w:fill="1B4D3E"/>
            <w:tcMar>
              <w:top w:w="130" w:type="dxa"/>
              <w:bottom w:w="130" w:type="dxa"/>
              <w:left w:w="160" w:type="dxa"/>
              <w:right w:w="160" w:type="dxa"/>
            </w:tcMar>
          </w:tcPr>
          <w:p>
            <w:pPr>
              <w:jc w:val="left"/>
            </w:pPr>
            <w:r>
              <w:rPr>
                <w:rFonts w:ascii="Arial" w:hAnsi="Arial"/>
                <w:b/>
                <w:color w:val="FFFFFF"/>
                <w:sz w:val="19"/>
              </w:rPr>
              <w:t>URL / Link</w:t>
            </w:r>
          </w:p>
        </w:tc>
        <w:tc>
          <w:tcPr>
            <w:tcW w:type="dxa" w:w="2160"/>
            <w:shd w:fill="1B4D3E"/>
            <w:tcMar>
              <w:top w:w="130" w:type="dxa"/>
              <w:bottom w:w="130" w:type="dxa"/>
              <w:left w:w="160" w:type="dxa"/>
              <w:right w:w="160" w:type="dxa"/>
            </w:tcMar>
          </w:tcPr>
          <w:p>
            <w:pPr>
              <w:jc w:val="left"/>
            </w:pPr>
            <w:r>
              <w:rPr>
                <w:rFonts w:ascii="Arial" w:hAnsi="Arial"/>
                <w:b/>
                <w:color w:val="FFFFFF"/>
                <w:sz w:val="19"/>
              </w:rPr>
              <w:t>Operational Purpose &amp; Scope</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GitHub Repository</w:t>
            </w:r>
          </w:p>
        </w:tc>
        <w:tc>
          <w:tcPr>
            <w:tcW w:type="dxa" w:w="4608"/>
            <w:shd w:fill="FFFFFF"/>
            <w:tcMar>
              <w:top w:w="100" w:type="dxa"/>
              <w:bottom w:w="100" w:type="dxa"/>
              <w:left w:w="150" w:type="dxa"/>
              <w:right w:w="150" w:type="dxa"/>
            </w:tcMar>
          </w:tcPr>
          <w:p>
            <w:pPr>
              <w:jc w:val="left"/>
            </w:pPr>
            <w:r/>
            <w:hyperlink r:id="rId11">
              <w:r>
                <w:rPr>
                  <w:rFonts w:ascii="Arial" w:hAnsi="Arial"/>
                  <w:color w:val="0D9488"/>
                  <w:u w:val="single"/>
                  <w:sz w:val="18"/>
                </w:rPr>
                <w:t>https://github.com/Shivaram7-29/darukaa-biodiversity-ai</w:t>
              </w:r>
            </w:hyperlink>
          </w:p>
        </w:tc>
        <w:tc>
          <w:tcPr>
            <w:tcW w:type="dxa" w:w="2160"/>
            <w:shd w:fill="FFFFFF"/>
            <w:tcMar>
              <w:top w:w="100" w:type="dxa"/>
              <w:bottom w:w="100" w:type="dxa"/>
              <w:left w:w="150" w:type="dxa"/>
              <w:right w:w="150" w:type="dxa"/>
            </w:tcMar>
          </w:tcPr>
          <w:p>
            <w:pPr>
              <w:jc w:val="left"/>
            </w:pPr>
            <w:r/>
            <w:r>
              <w:rPr>
                <w:rFonts w:ascii="Arial" w:hAnsi="Arial"/>
                <w:color w:val="1F2937"/>
                <w:sz w:val="18"/>
              </w:rPr>
              <w:t>Complete source code, test harnesses, documentation</w:t>
            </w:r>
          </w:p>
        </w:tc>
      </w:tr>
      <w:tr>
        <w:tc>
          <w:tcPr>
            <w:tcW w:type="dxa" w:w="2592"/>
            <w:shd w:fill="F9FAFB"/>
            <w:tcMar>
              <w:top w:w="100" w:type="dxa"/>
              <w:bottom w:w="100" w:type="dxa"/>
              <w:left w:w="150" w:type="dxa"/>
              <w:right w:w="150" w:type="dxa"/>
            </w:tcMar>
          </w:tcPr>
          <w:p>
            <w:pPr>
              <w:jc w:val="left"/>
            </w:pPr>
            <w:r/>
            <w:r>
              <w:rPr>
                <w:rFonts w:ascii="Arial" w:hAnsi="Arial"/>
                <w:color w:val="1F2937"/>
                <w:sz w:val="18"/>
              </w:rPr>
              <w:t>Live Streamlit Web App</w:t>
            </w:r>
          </w:p>
        </w:tc>
        <w:tc>
          <w:tcPr>
            <w:tcW w:type="dxa" w:w="4608"/>
            <w:shd w:fill="F9FAFB"/>
            <w:tcMar>
              <w:top w:w="100" w:type="dxa"/>
              <w:bottom w:w="100" w:type="dxa"/>
              <w:left w:w="150" w:type="dxa"/>
              <w:right w:w="150" w:type="dxa"/>
            </w:tcMar>
          </w:tcPr>
          <w:p>
            <w:pPr>
              <w:jc w:val="left"/>
            </w:pPr>
            <w:r/>
            <w:hyperlink r:id="rId12">
              <w:r>
                <w:rPr>
                  <w:rFonts w:ascii="Arial" w:hAnsi="Arial"/>
                  <w:color w:val="0D9488"/>
                  <w:u w:val="single"/>
                  <w:sz w:val="18"/>
                </w:rPr>
                <w:t>https://darukaa-biodiversity-ai-7.streamlit.app/</w:t>
              </w:r>
            </w:hyperlink>
          </w:p>
        </w:tc>
        <w:tc>
          <w:tcPr>
            <w:tcW w:type="dxa" w:w="2160"/>
            <w:shd w:fill="F9FAFB"/>
            <w:tcMar>
              <w:top w:w="100" w:type="dxa"/>
              <w:bottom w:w="100" w:type="dxa"/>
              <w:left w:w="150" w:type="dxa"/>
              <w:right w:w="150" w:type="dxa"/>
            </w:tcMar>
          </w:tcPr>
          <w:p>
            <w:pPr>
              <w:jc w:val="left"/>
            </w:pPr>
            <w:r/>
            <w:r>
              <w:rPr>
                <w:rFonts w:ascii="Arial" w:hAnsi="Arial"/>
                <w:color w:val="1F2937"/>
                <w:sz w:val="18"/>
              </w:rPr>
              <w:t>Production user interface with streaming and parameter drawers</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Backend REST API</w:t>
            </w:r>
          </w:p>
        </w:tc>
        <w:tc>
          <w:tcPr>
            <w:tcW w:type="dxa" w:w="4608"/>
            <w:shd w:fill="FFFFFF"/>
            <w:tcMar>
              <w:top w:w="100" w:type="dxa"/>
              <w:bottom w:w="100" w:type="dxa"/>
              <w:left w:w="150" w:type="dxa"/>
              <w:right w:w="150" w:type="dxa"/>
            </w:tcMar>
          </w:tcPr>
          <w:p>
            <w:pPr>
              <w:jc w:val="left"/>
            </w:pPr>
            <w:r/>
            <w:hyperlink r:id="rId13">
              <w:r>
                <w:rPr>
                  <w:rFonts w:ascii="Arial" w:hAnsi="Arial"/>
                  <w:color w:val="0D9488"/>
                  <w:u w:val="single"/>
                  <w:sz w:val="18"/>
                </w:rPr>
                <w:t>https://darukaa-biodiversity-ai-atjv.onrender.com</w:t>
              </w:r>
            </w:hyperlink>
          </w:p>
        </w:tc>
        <w:tc>
          <w:tcPr>
            <w:tcW w:type="dxa" w:w="2160"/>
            <w:shd w:fill="FFFFFF"/>
            <w:tcMar>
              <w:top w:w="100" w:type="dxa"/>
              <w:bottom w:w="100" w:type="dxa"/>
              <w:left w:w="150" w:type="dxa"/>
              <w:right w:w="150" w:type="dxa"/>
            </w:tcMar>
          </w:tcPr>
          <w:p>
            <w:pPr>
              <w:jc w:val="left"/>
            </w:pPr>
            <w:r/>
            <w:r>
              <w:rPr>
                <w:rFonts w:ascii="Arial" w:hAnsi="Arial"/>
                <w:color w:val="1F2937"/>
                <w:sz w:val="18"/>
              </w:rPr>
              <w:t>FastAPI backend web service on Render</w:t>
            </w:r>
          </w:p>
        </w:tc>
      </w:tr>
      <w:tr>
        <w:tc>
          <w:tcPr>
            <w:tcW w:type="dxa" w:w="2592"/>
            <w:shd w:fill="F9FAFB"/>
            <w:tcMar>
              <w:top w:w="100" w:type="dxa"/>
              <w:bottom w:w="100" w:type="dxa"/>
              <w:left w:w="150" w:type="dxa"/>
              <w:right w:w="150" w:type="dxa"/>
            </w:tcMar>
          </w:tcPr>
          <w:p>
            <w:pPr>
              <w:jc w:val="left"/>
            </w:pPr>
            <w:r/>
            <w:r>
              <w:rPr>
                <w:rFonts w:ascii="Arial" w:hAnsi="Arial"/>
                <w:color w:val="1F2937"/>
                <w:sz w:val="18"/>
              </w:rPr>
              <w:t>Interactive Swagger Docs</w:t>
            </w:r>
          </w:p>
        </w:tc>
        <w:tc>
          <w:tcPr>
            <w:tcW w:type="dxa" w:w="4608"/>
            <w:shd w:fill="F9FAFB"/>
            <w:tcMar>
              <w:top w:w="100" w:type="dxa"/>
              <w:bottom w:w="100" w:type="dxa"/>
              <w:left w:w="150" w:type="dxa"/>
              <w:right w:w="150" w:type="dxa"/>
            </w:tcMar>
          </w:tcPr>
          <w:p>
            <w:pPr>
              <w:jc w:val="left"/>
            </w:pPr>
            <w:r/>
            <w:hyperlink r:id="rId14">
              <w:r>
                <w:rPr>
                  <w:rFonts w:ascii="Arial" w:hAnsi="Arial"/>
                  <w:color w:val="0D9488"/>
                  <w:u w:val="single"/>
                  <w:sz w:val="18"/>
                </w:rPr>
                <w:t>https://darukaa-biodiversity-ai-atjv.onrender.com/docs</w:t>
              </w:r>
            </w:hyperlink>
          </w:p>
        </w:tc>
        <w:tc>
          <w:tcPr>
            <w:tcW w:type="dxa" w:w="2160"/>
            <w:shd w:fill="F9FAFB"/>
            <w:tcMar>
              <w:top w:w="100" w:type="dxa"/>
              <w:bottom w:w="100" w:type="dxa"/>
              <w:left w:w="150" w:type="dxa"/>
              <w:right w:w="150" w:type="dxa"/>
            </w:tcMar>
          </w:tcPr>
          <w:p>
            <w:pPr>
              <w:jc w:val="left"/>
            </w:pPr>
            <w:r/>
            <w:r>
              <w:rPr>
                <w:rFonts w:ascii="Arial" w:hAnsi="Arial"/>
                <w:color w:val="1F2937"/>
                <w:sz w:val="18"/>
              </w:rPr>
              <w:t>Interactive API testing console and OpenAPI schema</w:t>
            </w:r>
          </w:p>
        </w:tc>
      </w:tr>
      <w:tr>
        <w:tc>
          <w:tcPr>
            <w:tcW w:type="dxa" w:w="2592"/>
            <w:shd w:fill="FFFFFF"/>
            <w:tcMar>
              <w:top w:w="100" w:type="dxa"/>
              <w:bottom w:w="100" w:type="dxa"/>
              <w:left w:w="150" w:type="dxa"/>
              <w:right w:w="150" w:type="dxa"/>
            </w:tcMar>
          </w:tcPr>
          <w:p>
            <w:pPr>
              <w:jc w:val="left"/>
            </w:pPr>
            <w:r/>
            <w:r>
              <w:rPr>
                <w:rFonts w:ascii="Arial" w:hAnsi="Arial"/>
                <w:color w:val="1F2937"/>
                <w:sz w:val="18"/>
              </w:rPr>
              <w:t>API Health Check</w:t>
            </w:r>
          </w:p>
        </w:tc>
        <w:tc>
          <w:tcPr>
            <w:tcW w:type="dxa" w:w="4608"/>
            <w:shd w:fill="FFFFFF"/>
            <w:tcMar>
              <w:top w:w="100" w:type="dxa"/>
              <w:bottom w:w="100" w:type="dxa"/>
              <w:left w:w="150" w:type="dxa"/>
              <w:right w:w="150" w:type="dxa"/>
            </w:tcMar>
          </w:tcPr>
          <w:p>
            <w:pPr>
              <w:jc w:val="left"/>
            </w:pPr>
            <w:r/>
            <w:hyperlink r:id="rId15">
              <w:r>
                <w:rPr>
                  <w:rFonts w:ascii="Arial" w:hAnsi="Arial"/>
                  <w:color w:val="0D9488"/>
                  <w:u w:val="single"/>
                  <w:sz w:val="18"/>
                </w:rPr>
                <w:t>https://darukaa-biodiversity-ai-atjv.onrender.com/health</w:t>
              </w:r>
            </w:hyperlink>
          </w:p>
        </w:tc>
        <w:tc>
          <w:tcPr>
            <w:tcW w:type="dxa" w:w="2160"/>
            <w:shd w:fill="FFFFFF"/>
            <w:tcMar>
              <w:top w:w="100" w:type="dxa"/>
              <w:bottom w:w="100" w:type="dxa"/>
              <w:left w:w="150" w:type="dxa"/>
              <w:right w:w="150" w:type="dxa"/>
            </w:tcMar>
          </w:tcPr>
          <w:p>
            <w:pPr>
              <w:jc w:val="left"/>
            </w:pPr>
            <w:r/>
            <w:r>
              <w:rPr>
                <w:rFonts w:ascii="Arial" w:hAnsi="Arial"/>
                <w:color w:val="1F2937"/>
                <w:sz w:val="18"/>
              </w:rPr>
              <w:t>Health probe confirming 57 indexed knowledge documents</w:t>
            </w:r>
          </w:p>
        </w:tc>
      </w:tr>
    </w:tbl>
    <w:p/>
    <w:tbl>
      <w:tblPr>
        <w:tblW w:type="auto" w:w="0"/>
        <w:jc w:val="center"/>
        <w:tblLook w:firstColumn="1" w:firstRow="1" w:lastColumn="0" w:lastRow="0" w:noHBand="0" w:noVBand="1" w:val="04A0"/>
      </w:tblPr>
      <w:tblGrid>
        <w:gridCol w:w="9792"/>
      </w:tblGrid>
      <w:tr>
        <w:tc>
          <w:tcPr>
            <w:tcW w:type="dxa" w:w="9360"/>
            <w:shd w:fill="F0FDF4"/>
            <w:tcMar>
              <w:top w:w="120" w:type="dxa"/>
              <w:bottom w:w="120" w:type="dxa"/>
              <w:left w:w="180" w:type="dxa"/>
              <w:right w:w="180" w:type="dxa"/>
            </w:tcMar>
            <w:tcBorders>
              <w:top w:val="none"/>
              <w:left w:val="single" w:sz="20" w:space="0" w:color="1B4D3E"/>
              <w:bottom w:val="none"/>
              <w:right w:val="none"/>
            </w:tcBorders>
          </w:tcPr>
          <w:p>
            <w:r>
              <w:rPr>
                <w:rFonts w:ascii="Arial" w:hAnsi="Arial"/>
                <w:b/>
                <w:color w:val="1B4D3E"/>
                <w:sz w:val="19"/>
              </w:rPr>
              <w:t xml:space="preserve">[SUBMISSION &amp; ACCESS STATEMENT] </w:t>
            </w:r>
            <w:r>
              <w:rPr>
                <w:rFonts w:ascii="Arial" w:hAnsi="Arial"/>
                <w:color w:val="1F2937"/>
                <w:sz w:val="18"/>
              </w:rPr>
              <w:t>Repository Access Confirmation:</w:t>
              <w:br/>
              <w:t>• Repository is public; no repository access invitation is required.</w:t>
              <w:br/>
              <w:t>• Direct Link: https://github.com/Shivaram7-29/darukaa-biodiversity-ai</w:t>
              <w:br/>
              <w:t>• If direct reviewer access must be confirmed on GitHub, access is authorized for: ankita.dasgupta@darukaa.com, harsh.kumar@darukaa.com, utkarsh.gauniyal@darukaa.com, guneet.mutreja@darukaa.com.</w:t>
            </w:r>
          </w:p>
        </w:tc>
      </w:tr>
    </w:tbl>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9CA3AF"/>
        <w:sz w:val="16"/>
      </w:rPr>
      <w:t>Darukaa Challenge Submission Dossier  •  Commit: 678ea98  •  Confidential &amp; Evaluator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CA3AF"/>
        <w:sz w:val="16"/>
      </w:rPr>
      <w:t>Darukaa.Earth — AI Biodiversity Intelligence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hivaram7-29/darukaa-biodiversity-ai" TargetMode="External"/><Relationship Id="rId12" Type="http://schemas.openxmlformats.org/officeDocument/2006/relationships/hyperlink" Target="https://darukaa-biodiversity-ai-7.streamlit.app/" TargetMode="External"/><Relationship Id="rId13" Type="http://schemas.openxmlformats.org/officeDocument/2006/relationships/hyperlink" Target="https://darukaa-biodiversity-ai-atjv.onrender.com" TargetMode="External"/><Relationship Id="rId14" Type="http://schemas.openxmlformats.org/officeDocument/2006/relationships/hyperlink" Target="https://darukaa-biodiversity-ai-atjv.onrender.com/docs" TargetMode="External"/><Relationship Id="rId15" Type="http://schemas.openxmlformats.org/officeDocument/2006/relationships/hyperlink" Target="https://darukaa-biodiversity-ai-atjv.onrender.com/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