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pPr>
      <w:r>
        <w:rPr>
          <w:rFonts w:ascii="Arial" w:hAnsi="Arial"/>
          <w:b/>
          <w:color w:val="0D9488"/>
          <w:sz w:val="24"/>
        </w:rPr>
        <w:t>HACKATHON SUBMISSION DOSSIER | DARUKAA CHALLENGE</w:t>
      </w:r>
    </w:p>
    <w:p>
      <w:pPr>
        <w:spacing w:before="0" w:after="160"/>
      </w:pPr>
      <w:r>
        <w:rPr>
          <w:rFonts w:ascii="Arial" w:hAnsi="Arial"/>
          <w:b/>
          <w:color w:val="1B4D3E"/>
          <w:sz w:val="52"/>
        </w:rPr>
        <w:t>Darukaa.Earth — Biodiversity Intelligence</w:t>
      </w:r>
    </w:p>
    <w:p>
      <w:pPr>
        <w:spacing w:after="560"/>
      </w:pPr>
      <w:r>
        <w:rPr>
          <w:rFonts w:ascii="Arial" w:hAnsi="Arial"/>
          <w:color w:val="4B5563"/>
          <w:sz w:val="30"/>
        </w:rPr>
        <w:t>AI Environmental Scientist Assistant Powered by Gemini + RAG</w:t>
      </w:r>
    </w:p>
    <w:tbl>
      <w:tblPr>
        <w:tblW w:type="auto" w:w="0"/>
        <w:jc w:val="center"/>
        <w:tblLayout w:type="fixed"/>
        <w:tblLook w:firstColumn="1" w:firstRow="1" w:lastColumn="0" w:lastRow="0" w:noHBand="0" w:noVBand="1" w:val="04A0"/>
      </w:tblPr>
      <w:tblGrid>
        <w:gridCol w:w="4680"/>
        <w:gridCol w:w="4680"/>
      </w:tblGrid>
      <w:tr>
        <w:tc>
          <w:tcPr>
            <w:tcW w:type="dxa" w:w="3312"/>
            <w:shd w:fill="1B4D3E"/>
            <w:tcMar>
              <w:top w:w="140" w:type="dxa"/>
              <w:bottom w:w="140" w:type="dxa"/>
              <w:left w:w="180" w:type="dxa"/>
              <w:right w:w="180" w:type="dxa"/>
            </w:tcMar>
          </w:tcPr>
          <w:p>
            <w:pPr>
              <w:jc w:val="left"/>
            </w:pPr>
            <w:r>
              <w:rPr>
                <w:rFonts w:ascii="Arial" w:hAnsi="Arial"/>
                <w:b/>
                <w:color w:val="FFFFFF"/>
                <w:sz w:val="20"/>
              </w:rPr>
              <w:t>Project Specification</w:t>
            </w:r>
          </w:p>
        </w:tc>
        <w:tc>
          <w:tcPr>
            <w:tcW w:type="dxa" w:w="6048"/>
            <w:shd w:fill="1B4D3E"/>
            <w:tcMar>
              <w:top w:w="140" w:type="dxa"/>
              <w:bottom w:w="140" w:type="dxa"/>
              <w:left w:w="180" w:type="dxa"/>
              <w:right w:w="180" w:type="dxa"/>
            </w:tcMar>
          </w:tcPr>
          <w:p>
            <w:pPr>
              <w:jc w:val="left"/>
            </w:pPr>
            <w:r>
              <w:rPr>
                <w:rFonts w:ascii="Arial" w:hAnsi="Arial"/>
                <w:b/>
                <w:color w:val="FFFFFF"/>
                <w:sz w:val="20"/>
              </w:rPr>
              <w:t>Submission Details</w:t>
            </w:r>
          </w:p>
        </w:tc>
      </w:tr>
      <w:tr>
        <w:tc>
          <w:tcPr>
            <w:tcW w:type="dxa" w:w="3312"/>
            <w:shd w:fill="FFFFFF"/>
            <w:tcMar>
              <w:top w:w="100" w:type="dxa"/>
              <w:bottom w:w="100" w:type="dxa"/>
              <w:left w:w="160" w:type="dxa"/>
              <w:right w:w="160" w:type="dxa"/>
            </w:tcMar>
          </w:tcPr>
          <w:p>
            <w:pPr>
              <w:jc w:val="left"/>
            </w:pPr>
            <w:r>
              <w:rPr>
                <w:rFonts w:ascii="Arial" w:hAnsi="Arial"/>
                <w:color w:val="1F2937"/>
                <w:sz w:val="19"/>
              </w:rPr>
              <w:t>Project Title</w:t>
            </w:r>
          </w:p>
        </w:tc>
        <w:tc>
          <w:tcPr>
            <w:tcW w:type="dxa" w:w="6048"/>
            <w:shd w:fill="FFFFFF"/>
            <w:tcMar>
              <w:top w:w="100" w:type="dxa"/>
              <w:bottom w:w="100" w:type="dxa"/>
              <w:left w:w="160" w:type="dxa"/>
              <w:right w:w="160" w:type="dxa"/>
            </w:tcMar>
          </w:tcPr>
          <w:p>
            <w:pPr>
              <w:jc w:val="left"/>
            </w:pPr>
            <w:r>
              <w:rPr>
                <w:rFonts w:ascii="Arial" w:hAnsi="Arial"/>
                <w:color w:val="1F2937"/>
                <w:sz w:val="19"/>
              </w:rPr>
              <w:t>Darukaa.Earth Biodiversity Intelligence AI Chatbot</w:t>
            </w:r>
          </w:p>
        </w:tc>
      </w:tr>
      <w:tr>
        <w:tc>
          <w:tcPr>
            <w:tcW w:type="dxa" w:w="3312"/>
            <w:shd w:fill="F9FAFB"/>
            <w:tcMar>
              <w:top w:w="100" w:type="dxa"/>
              <w:bottom w:w="100" w:type="dxa"/>
              <w:left w:w="160" w:type="dxa"/>
              <w:right w:w="160" w:type="dxa"/>
            </w:tcMar>
          </w:tcPr>
          <w:p>
            <w:pPr>
              <w:jc w:val="left"/>
            </w:pPr>
            <w:r>
              <w:rPr>
                <w:rFonts w:ascii="Arial" w:hAnsi="Arial"/>
                <w:color w:val="1F2937"/>
                <w:sz w:val="19"/>
              </w:rPr>
              <w:t>Challenge Category</w:t>
            </w:r>
          </w:p>
        </w:tc>
        <w:tc>
          <w:tcPr>
            <w:tcW w:type="dxa" w:w="6048"/>
            <w:shd w:fill="F9FAFB"/>
            <w:tcMar>
              <w:top w:w="100" w:type="dxa"/>
              <w:bottom w:w="100" w:type="dxa"/>
              <w:left w:w="160" w:type="dxa"/>
              <w:right w:w="160" w:type="dxa"/>
            </w:tcMar>
          </w:tcPr>
          <w:p>
            <w:pPr>
              <w:jc w:val="left"/>
            </w:pPr>
            <w:r>
              <w:rPr>
                <w:rFonts w:ascii="Arial" w:hAnsi="Arial"/>
                <w:color w:val="1F2937"/>
                <w:sz w:val="19"/>
              </w:rPr>
              <w:t>AI / Environmental Intelligence / Biodiversity</w:t>
            </w:r>
          </w:p>
        </w:tc>
      </w:tr>
      <w:tr>
        <w:tc>
          <w:tcPr>
            <w:tcW w:type="dxa" w:w="3312"/>
            <w:shd w:fill="FFFFFF"/>
            <w:tcMar>
              <w:top w:w="100" w:type="dxa"/>
              <w:bottom w:w="100" w:type="dxa"/>
              <w:left w:w="160" w:type="dxa"/>
              <w:right w:w="160" w:type="dxa"/>
            </w:tcMar>
          </w:tcPr>
          <w:p>
            <w:pPr>
              <w:jc w:val="left"/>
            </w:pPr>
            <w:r>
              <w:rPr>
                <w:rFonts w:ascii="Arial" w:hAnsi="Arial"/>
                <w:color w:val="1F2937"/>
                <w:sz w:val="19"/>
              </w:rPr>
              <w:t>Developer / Author</w:t>
            </w:r>
          </w:p>
        </w:tc>
        <w:tc>
          <w:tcPr>
            <w:tcW w:type="dxa" w:w="6048"/>
            <w:shd w:fill="FFFFFF"/>
            <w:tcMar>
              <w:top w:w="100" w:type="dxa"/>
              <w:bottom w:w="100" w:type="dxa"/>
              <w:left w:w="160" w:type="dxa"/>
              <w:right w:w="160" w:type="dxa"/>
            </w:tcMar>
          </w:tcPr>
          <w:p>
            <w:pPr>
              <w:jc w:val="left"/>
            </w:pPr>
            <w:r>
              <w:rPr>
                <w:rFonts w:ascii="Arial" w:hAnsi="Arial"/>
                <w:color w:val="1F2937"/>
                <w:sz w:val="19"/>
              </w:rPr>
              <w:t>Shivaram (sevenshivaram@gmail.com)</w:t>
            </w:r>
          </w:p>
        </w:tc>
      </w:tr>
      <w:tr>
        <w:tc>
          <w:tcPr>
            <w:tcW w:type="dxa" w:w="3312"/>
            <w:shd w:fill="F9FAFB"/>
            <w:tcMar>
              <w:top w:w="100" w:type="dxa"/>
              <w:bottom w:w="100" w:type="dxa"/>
              <w:left w:w="160" w:type="dxa"/>
              <w:right w:w="160" w:type="dxa"/>
            </w:tcMar>
          </w:tcPr>
          <w:p>
            <w:pPr>
              <w:jc w:val="left"/>
            </w:pPr>
            <w:r>
              <w:rPr>
                <w:rFonts w:ascii="Arial" w:hAnsi="Arial"/>
                <w:color w:val="1F2937"/>
                <w:sz w:val="19"/>
              </w:rPr>
              <w:t>GitHub Repository</w:t>
            </w:r>
          </w:p>
        </w:tc>
        <w:tc>
          <w:tcPr>
            <w:tcW w:type="dxa" w:w="6048"/>
            <w:shd w:fill="F9FAFB"/>
            <w:tcMar>
              <w:top w:w="100" w:type="dxa"/>
              <w:bottom w:w="100" w:type="dxa"/>
              <w:left w:w="160" w:type="dxa"/>
              <w:right w:w="160" w:type="dxa"/>
            </w:tcMar>
          </w:tcPr>
          <w:p>
            <w:pPr>
              <w:jc w:val="left"/>
            </w:pPr>
            <w:r>
              <w:rPr>
                <w:rFonts w:ascii="Arial" w:hAnsi="Arial"/>
                <w:color w:val="1F2937"/>
                <w:sz w:val="19"/>
              </w:rPr>
              <w:t>https://github.com/Shivaram7-29/darukaa-biodiversity-ai</w:t>
            </w:r>
          </w:p>
        </w:tc>
      </w:tr>
      <w:tr>
        <w:tc>
          <w:tcPr>
            <w:tcW w:type="dxa" w:w="3312"/>
            <w:shd w:fill="FFFFFF"/>
            <w:tcMar>
              <w:top w:w="100" w:type="dxa"/>
              <w:bottom w:w="100" w:type="dxa"/>
              <w:left w:w="160" w:type="dxa"/>
              <w:right w:w="160" w:type="dxa"/>
            </w:tcMar>
          </w:tcPr>
          <w:p>
            <w:pPr>
              <w:jc w:val="left"/>
            </w:pPr>
            <w:r>
              <w:rPr>
                <w:rFonts w:ascii="Arial" w:hAnsi="Arial"/>
                <w:color w:val="1F2937"/>
                <w:sz w:val="19"/>
              </w:rPr>
              <w:t>Live Web Application</w:t>
            </w:r>
          </w:p>
        </w:tc>
        <w:tc>
          <w:tcPr>
            <w:tcW w:type="dxa" w:w="6048"/>
            <w:shd w:fill="FFFFFF"/>
            <w:tcMar>
              <w:top w:w="100" w:type="dxa"/>
              <w:bottom w:w="100" w:type="dxa"/>
              <w:left w:w="160" w:type="dxa"/>
              <w:right w:w="160" w:type="dxa"/>
            </w:tcMar>
          </w:tcPr>
          <w:p>
            <w:pPr>
              <w:jc w:val="left"/>
            </w:pPr>
            <w:r>
              <w:rPr>
                <w:rFonts w:ascii="Arial" w:hAnsi="Arial"/>
                <w:color w:val="1F2937"/>
                <w:sz w:val="19"/>
              </w:rPr>
              <w:t>https://darukaa-biodiversity-ai-7.streamlit.app/</w:t>
            </w:r>
          </w:p>
        </w:tc>
      </w:tr>
      <w:tr>
        <w:tc>
          <w:tcPr>
            <w:tcW w:type="dxa" w:w="3312"/>
            <w:shd w:fill="F9FAFB"/>
            <w:tcMar>
              <w:top w:w="100" w:type="dxa"/>
              <w:bottom w:w="100" w:type="dxa"/>
              <w:left w:w="160" w:type="dxa"/>
              <w:right w:w="160" w:type="dxa"/>
            </w:tcMar>
          </w:tcPr>
          <w:p>
            <w:pPr>
              <w:jc w:val="left"/>
            </w:pPr>
            <w:r>
              <w:rPr>
                <w:rFonts w:ascii="Arial" w:hAnsi="Arial"/>
                <w:color w:val="1F2937"/>
                <w:sz w:val="19"/>
              </w:rPr>
              <w:t>Backend REST API</w:t>
            </w:r>
          </w:p>
        </w:tc>
        <w:tc>
          <w:tcPr>
            <w:tcW w:type="dxa" w:w="6048"/>
            <w:shd w:fill="F9FAFB"/>
            <w:tcMar>
              <w:top w:w="100" w:type="dxa"/>
              <w:bottom w:w="100" w:type="dxa"/>
              <w:left w:w="160" w:type="dxa"/>
              <w:right w:w="160" w:type="dxa"/>
            </w:tcMar>
          </w:tcPr>
          <w:p>
            <w:pPr>
              <w:jc w:val="left"/>
            </w:pPr>
            <w:r>
              <w:rPr>
                <w:rFonts w:ascii="Arial" w:hAnsi="Arial"/>
                <w:color w:val="1F2937"/>
                <w:sz w:val="19"/>
              </w:rPr>
              <w:t>https://darukaa-biodiversity-ai-atjv.onrender.com</w:t>
            </w:r>
          </w:p>
        </w:tc>
      </w:tr>
      <w:tr>
        <w:tc>
          <w:tcPr>
            <w:tcW w:type="dxa" w:w="3312"/>
            <w:shd w:fill="FFFFFF"/>
            <w:tcMar>
              <w:top w:w="100" w:type="dxa"/>
              <w:bottom w:w="100" w:type="dxa"/>
              <w:left w:w="160" w:type="dxa"/>
              <w:right w:w="160" w:type="dxa"/>
            </w:tcMar>
          </w:tcPr>
          <w:p>
            <w:pPr>
              <w:jc w:val="left"/>
            </w:pPr>
            <w:r>
              <w:rPr>
                <w:rFonts w:ascii="Arial" w:hAnsi="Arial"/>
                <w:color w:val="1F2937"/>
                <w:sz w:val="19"/>
              </w:rPr>
              <w:t>API Documentation</w:t>
            </w:r>
          </w:p>
        </w:tc>
        <w:tc>
          <w:tcPr>
            <w:tcW w:type="dxa" w:w="6048"/>
            <w:shd w:fill="FFFFFF"/>
            <w:tcMar>
              <w:top w:w="100" w:type="dxa"/>
              <w:bottom w:w="100" w:type="dxa"/>
              <w:left w:w="160" w:type="dxa"/>
              <w:right w:w="160" w:type="dxa"/>
            </w:tcMar>
          </w:tcPr>
          <w:p>
            <w:pPr>
              <w:jc w:val="left"/>
            </w:pPr>
            <w:r>
              <w:rPr>
                <w:rFonts w:ascii="Arial" w:hAnsi="Arial"/>
                <w:color w:val="1F2937"/>
                <w:sz w:val="19"/>
              </w:rPr>
              <w:t>https://darukaa-biodiversity-ai-atjv.onrender.com/docs</w:t>
            </w:r>
          </w:p>
        </w:tc>
      </w:tr>
      <w:tr>
        <w:tc>
          <w:tcPr>
            <w:tcW w:type="dxa" w:w="3312"/>
            <w:shd w:fill="F9FAFB"/>
            <w:tcMar>
              <w:top w:w="100" w:type="dxa"/>
              <w:bottom w:w="100" w:type="dxa"/>
              <w:left w:w="160" w:type="dxa"/>
              <w:right w:w="160" w:type="dxa"/>
            </w:tcMar>
          </w:tcPr>
          <w:p>
            <w:pPr>
              <w:jc w:val="left"/>
            </w:pPr>
            <w:r>
              <w:rPr>
                <w:rFonts w:ascii="Arial" w:hAnsi="Arial"/>
                <w:color w:val="1F2937"/>
                <w:sz w:val="19"/>
              </w:rPr>
              <w:t>Final Deployed Commit</w:t>
            </w:r>
          </w:p>
        </w:tc>
        <w:tc>
          <w:tcPr>
            <w:tcW w:type="dxa" w:w="6048"/>
            <w:shd w:fill="F9FAFB"/>
            <w:tcMar>
              <w:top w:w="100" w:type="dxa"/>
              <w:bottom w:w="100" w:type="dxa"/>
              <w:left w:w="160" w:type="dxa"/>
              <w:right w:w="160" w:type="dxa"/>
            </w:tcMar>
          </w:tcPr>
          <w:p>
            <w:pPr>
              <w:jc w:val="left"/>
            </w:pPr>
            <w:r>
              <w:rPr>
                <w:rFonts w:ascii="Arial" w:hAnsi="Arial"/>
                <w:color w:val="1F2937"/>
                <w:sz w:val="19"/>
              </w:rPr>
              <w:t>678ea98 ('Refine soil moisture and SOC interpretations for scientific grounding')</w:t>
            </w:r>
          </w:p>
        </w:tc>
      </w:tr>
      <w:tr>
        <w:tc>
          <w:tcPr>
            <w:tcW w:type="dxa" w:w="3312"/>
            <w:shd w:fill="FFFFFF"/>
            <w:tcMar>
              <w:top w:w="100" w:type="dxa"/>
              <w:bottom w:w="100" w:type="dxa"/>
              <w:left w:w="160" w:type="dxa"/>
              <w:right w:w="160" w:type="dxa"/>
            </w:tcMar>
          </w:tcPr>
          <w:p>
            <w:pPr>
              <w:jc w:val="left"/>
            </w:pPr>
            <w:r>
              <w:rPr>
                <w:rFonts w:ascii="Arial" w:hAnsi="Arial"/>
                <w:color w:val="1F2937"/>
                <w:sz w:val="19"/>
              </w:rPr>
              <w:t>Knowledge Base Size</w:t>
            </w:r>
          </w:p>
        </w:tc>
        <w:tc>
          <w:tcPr>
            <w:tcW w:type="dxa" w:w="6048"/>
            <w:shd w:fill="FFFFFF"/>
            <w:tcMar>
              <w:top w:w="100" w:type="dxa"/>
              <w:bottom w:w="100" w:type="dxa"/>
              <w:left w:w="160" w:type="dxa"/>
              <w:right w:w="160" w:type="dxa"/>
            </w:tcMar>
          </w:tcPr>
          <w:p>
            <w:pPr>
              <w:jc w:val="left"/>
            </w:pPr>
            <w:r>
              <w:rPr>
                <w:rFonts w:ascii="Arial" w:hAnsi="Arial"/>
                <w:color w:val="1F2937"/>
                <w:sz w:val="19"/>
              </w:rPr>
              <w:t>57 Authoritative Indexed Documents / Chunks across 12 Core Domains</w:t>
            </w:r>
          </w:p>
        </w:tc>
      </w:tr>
      <w:tr>
        <w:tc>
          <w:tcPr>
            <w:tcW w:type="dxa" w:w="3312"/>
            <w:shd w:fill="F9FAFB"/>
            <w:tcMar>
              <w:top w:w="100" w:type="dxa"/>
              <w:bottom w:w="100" w:type="dxa"/>
              <w:left w:w="160" w:type="dxa"/>
              <w:right w:w="160" w:type="dxa"/>
            </w:tcMar>
          </w:tcPr>
          <w:p>
            <w:pPr>
              <w:jc w:val="left"/>
            </w:pPr>
            <w:r>
              <w:rPr>
                <w:rFonts w:ascii="Arial" w:hAnsi="Arial"/>
                <w:color w:val="1F2937"/>
                <w:sz w:val="19"/>
              </w:rPr>
              <w:t>Core Models</w:t>
            </w:r>
          </w:p>
        </w:tc>
        <w:tc>
          <w:tcPr>
            <w:tcW w:type="dxa" w:w="6048"/>
            <w:shd w:fill="F9FAFB"/>
            <w:tcMar>
              <w:top w:w="100" w:type="dxa"/>
              <w:bottom w:w="100" w:type="dxa"/>
              <w:left w:w="160" w:type="dxa"/>
              <w:right w:w="160" w:type="dxa"/>
            </w:tcMar>
          </w:tcPr>
          <w:p>
            <w:pPr>
              <w:jc w:val="left"/>
            </w:pPr>
            <w:r>
              <w:rPr>
                <w:rFonts w:ascii="Arial" w:hAnsi="Arial"/>
                <w:color w:val="1F2937"/>
                <w:sz w:val="19"/>
              </w:rPr>
              <w:t>Gemini 2.5 Flash Lite (Generation) + Gemini Embedding 001 (Vector RAG)</w:t>
            </w:r>
          </w:p>
        </w:tc>
      </w:tr>
    </w:tbl>
    <w:p/>
    <w:p>
      <w:pPr>
        <w:spacing w:before="360"/>
      </w:pPr>
      <w:r>
        <w:rPr>
          <w:i/>
          <w:color w:val="6B7280"/>
          <w:sz w:val="19"/>
        </w:rPr>
        <w:t>Notice: This submission represents an end-to-end, scientifically grounded environmental reasoning system. All recommendations are dynamically synthesized by cross-referencing multi-metric user observations against an embedded vector database of peer-reviewed literature (FAO, IPCC, IPBES, USDA-NRCS, Brady &amp; Weil, Lal, Montgomery).</w:t>
      </w:r>
    </w:p>
    <w:p>
      <w:r>
        <w:br w:type="page"/>
      </w:r>
    </w:p>
    <w:p>
      <w:pPr>
        <w:keepNext/>
        <w:spacing w:before="360" w:after="160"/>
      </w:pPr>
      <w:r>
        <w:rPr>
          <w:rFonts w:ascii="Arial" w:hAnsi="Arial"/>
          <w:b/>
          <w:color w:val="1B4D3E"/>
          <w:sz w:val="32"/>
        </w:rPr>
        <w:t>2. Executive Summary</w:t>
      </w:r>
    </w:p>
    <w:p>
      <w:pPr>
        <w:spacing w:after="120"/>
      </w:pPr>
      <w:r>
        <w:t>Agricultural and ecological landscapes globally face catastrophic degradation driven by soil depletion, biodiversity loss, water scarcity, and climate instability. Land managers, conservationists, and agronomists frequently struggle to formulate effective restoration strategies because environmental systems are governed by complex, compounding interactions among soil chemistry, hydrology, biological diversity, and climatic drivers.</w:t>
      </w:r>
    </w:p>
    <w:p>
      <w:pPr>
        <w:spacing w:after="120"/>
      </w:pPr>
      <w:r>
        <w:t>Darukaa.Earth — Biodiversity Intelligence is a specialized, knowledge-grounded AI assistant engineered to address this challenge. Powered by Google Gemini and a high-precision Retrieval-Augmented Generation (RAG) architecture, the system analyzes multi-variable environmental observations (such as soil organic carbon, pH, moisture, rainfall, temperature, cropping systems, pollution, and deforestation) and provides concrete, evidence-backed ecological interventions.</w:t>
      </w:r>
    </w:p>
    <w:p>
      <w:pPr>
        <w:spacing w:after="120"/>
      </w:pPr>
      <w:r>
        <w:t>Unlike generic LLM chatbots that frequently generate plausible-sounding hallucinations, invent unverified quantitative timelines, or issue isolated single-variable advice, Darukaa.Earth implements a deterministic multi-metric reasoning engine coupled with a vector database of 57 authoritative peer-reviewed documents (FAO, IPCC, IPBES, USDA-NRCS, Brady &amp; Weil, Lal, Montgomery). Key differentiators include:</w:t>
      </w:r>
    </w:p>
    <w:p>
      <w:pPr>
        <w:pStyle w:val="ListBullet"/>
        <w:spacing w:after="60"/>
      </w:pPr>
      <w:r>
        <w:rPr>
          <w:b/>
          <w:color w:val="1F2937"/>
        </w:rPr>
        <w:t>Deterministic Environmental Reasoning:</w:t>
      </w:r>
      <w:r>
        <w:rPr>
          <w:color w:val="374151"/>
        </w:rPr>
        <w:t xml:space="preserve"> Multi-metric compound interaction rules detect cross-variable stressors (e.g. acidic pH combined with low SOC and moisture).</w:t>
      </w:r>
    </w:p>
    <w:p>
      <w:pPr>
        <w:pStyle w:val="ListBullet"/>
        <w:spacing w:after="60"/>
      </w:pPr>
      <w:r>
        <w:rPr>
          <w:b/>
          <w:color w:val="1F2937"/>
        </w:rPr>
        <w:t>Strict RAG Knowledge Grounding:</w:t>
      </w:r>
      <w:r>
        <w:rPr>
          <w:color w:val="374151"/>
        </w:rPr>
        <w:t xml:space="preserve"> 57 peer-reviewed documents indexed in ChromaDB with remote Gemini embeddings, enforcing exact scientific attribution.</w:t>
      </w:r>
    </w:p>
    <w:p>
      <w:pPr>
        <w:pStyle w:val="ListBullet"/>
        <w:spacing w:after="60"/>
      </w:pPr>
      <w:r>
        <w:rPr>
          <w:b/>
          <w:color w:val="1F2937"/>
        </w:rPr>
        <w:t>Proactive Incomplete-Data Handling:</w:t>
      </w:r>
      <w:r>
        <w:rPr>
          <w:color w:val="374151"/>
        </w:rPr>
        <w:t xml:space="preserve"> When essential metrics are absent, the system leads with targeted clarifying questions explaining why the missing variables alter restoration outcomes.</w:t>
      </w:r>
    </w:p>
    <w:p>
      <w:pPr>
        <w:pStyle w:val="ListBullet"/>
        <w:spacing w:after="60"/>
      </w:pPr>
      <w:r>
        <w:rPr>
          <w:b/>
          <w:color w:val="1F2937"/>
        </w:rPr>
        <w:t>Standardized Recommendation Schema:</w:t>
      </w:r>
      <w:r>
        <w:rPr>
          <w:color w:val="374151"/>
        </w:rPr>
        <w:t xml:space="preserve"> Every recommendation delivers action, biogeochemical mechanism, impacted metrics, timeline, evidence citation, and evidence-grounded measurable estimates.</w:t>
      </w:r>
    </w:p>
    <w:p>
      <w:pPr>
        <w:pStyle w:val="ListBullet"/>
        <w:spacing w:after="60"/>
      </w:pPr>
      <w:r>
        <w:rPr>
          <w:b/>
          <w:color w:val="1F2937"/>
        </w:rPr>
        <w:t>Production-Ready Deployment:</w:t>
      </w:r>
      <w:r>
        <w:rPr>
          <w:color w:val="374151"/>
        </w:rPr>
        <w:t xml:space="preserve"> Fully containerized, live on Render (backend) and Streamlit Community Cloud (frontend) with zero local ONNX model RAM overhead.</w:t>
      </w:r>
    </w:p>
    <w:p>
      <w:pPr>
        <w:keepNext/>
        <w:spacing w:before="360" w:after="160"/>
      </w:pPr>
      <w:r>
        <w:rPr>
          <w:rFonts w:ascii="Arial" w:hAnsi="Arial"/>
          <w:b/>
          <w:color w:val="1B4D3E"/>
          <w:sz w:val="32"/>
        </w:rPr>
        <w:t>3. Problem Statement</w:t>
      </w:r>
    </w:p>
    <w:p>
      <w:pPr>
        <w:spacing w:after="120"/>
      </w:pPr>
      <w:r>
        <w:t>Environmental and ecological decision-making suffers from four pervasive structural obstacles:</w:t>
      </w:r>
    </w:p>
    <w:p>
      <w:pPr>
        <w:pStyle w:val="ListBullet"/>
        <w:spacing w:after="60"/>
      </w:pPr>
      <w:r>
        <w:rPr>
          <w:b/>
          <w:color w:val="1F2937"/>
        </w:rPr>
        <w:t xml:space="preserve">1. Interacting Compound Factors: </w:t>
      </w:r>
      <w:r>
        <w:rPr>
          <w:color w:val="374151"/>
        </w:rPr>
        <w:t>Environmental variables do not function in isolation. For example, applying compost to restore organic carbon in a strongly acidic soil (pH &lt; 5.0) will result in stunted microbial mineralization and severe phosphorus fixation unless soil acidity is corrected first. Similarly, high atmospheric temperatures accelerate organic carbon oxidation, compounding drought stress in low-rainfall environments.</w:t>
      </w:r>
    </w:p>
    <w:p>
      <w:pPr>
        <w:pStyle w:val="ListBullet"/>
        <w:spacing w:after="60"/>
      </w:pPr>
      <w:r>
        <w:rPr>
          <w:b/>
          <w:color w:val="1F2937"/>
        </w:rPr>
        <w:t xml:space="preserve">2. The Danger of Single-Variable Prescriptions: </w:t>
      </w:r>
      <w:r>
        <w:rPr>
          <w:color w:val="374151"/>
        </w:rPr>
        <w:t>Conventional agricultural advice frequently isolates a single metric. Treating low moisture by increasing irrigation without addressing soil structure or organic carbon leads to leaching and structural collapse. Conversely, prescribing heavy tree planting in an acutely water-limited basin can deplete ground reserves.</w:t>
      </w:r>
    </w:p>
    <w:p>
      <w:pPr>
        <w:pStyle w:val="ListBullet"/>
        <w:spacing w:after="60"/>
      </w:pPr>
      <w:r>
        <w:rPr>
          <w:b/>
          <w:color w:val="1F2937"/>
        </w:rPr>
        <w:t xml:space="preserve">3. Lack of Scientific Grounding in Standard LLMs: </w:t>
      </w:r>
      <w:r>
        <w:rPr>
          <w:color w:val="374151"/>
        </w:rPr>
        <w:t>General-purpose artificial intelligence models hallucinate non-existent scientific studies, misquote threshold numbers (such as confusing raw soil moisture percentage with percent of field capacity), and offer vague, unmeasurable suggestions ('improve soil health', 'water adequately').</w:t>
      </w:r>
    </w:p>
    <w:p>
      <w:pPr>
        <w:pStyle w:val="ListBullet"/>
        <w:spacing w:after="60"/>
      </w:pPr>
      <w:r>
        <w:rPr>
          <w:b/>
          <w:color w:val="1F2937"/>
        </w:rPr>
        <w:t xml:space="preserve">4. Incomplete User Data &amp; Missing Metrics: </w:t>
      </w:r>
      <w:r>
        <w:rPr>
          <w:color w:val="374151"/>
        </w:rPr>
        <w:t>Farmers and land stewards rarely possess a complete chemical and biological laboratory assay. Typical user prompts contain partial fragments (e.g., 'my soil has 0.3% carbon, what should I plant?'). Chatbots that immediately prescribe multi-year interventions without querying pH, rainfall, or cropping history risk disastrous agricultural recommendations.</w:t>
      </w:r>
    </w:p>
    <w:p>
      <w:pPr>
        <w:keepNext/>
        <w:spacing w:before="360" w:after="160"/>
      </w:pPr>
      <w:r>
        <w:rPr>
          <w:rFonts w:ascii="Arial" w:hAnsi="Arial"/>
          <w:b/>
          <w:color w:val="1B4D3E"/>
          <w:sz w:val="32"/>
        </w:rPr>
        <w:t>4. Solution Overview</w:t>
      </w:r>
    </w:p>
    <w:p>
      <w:pPr>
        <w:spacing w:after="120"/>
      </w:pPr>
      <w:r>
        <w:t>Darukaa.Earth implements an end-to-end, multi-stage reasoning and generation pipeline designed for strict scientific rigor. The architecture decouples deterministic scientific rule checks from generative LLM synthesis, ensuring that AI generation is strictly bound by peer-reviewed literature.</w:t>
      </w:r>
    </w:p>
    <w:tbl>
      <w:tblPr>
        <w:tblW w:type="auto" w:w="0"/>
        <w:jc w:val="center"/>
        <w:tblLook w:firstColumn="1" w:firstRow="1" w:lastColumn="0" w:lastRow="0" w:noHBand="0" w:noVBand="1" w:val="04A0"/>
      </w:tblPr>
      <w:tblGrid>
        <w:gridCol w:w="9360"/>
      </w:tblGrid>
      <w:tr>
        <w:tc>
          <w:tcPr>
            <w:tcW w:type="dxa" w:w="9360"/>
            <w:shd w:fill="F3F4F6"/>
            <w:tcMar>
              <w:top w:w="100" w:type="dxa"/>
              <w:bottom w:w="100" w:type="dxa"/>
              <w:left w:w="160" w:type="dxa"/>
              <w:right w:w="160" w:type="dxa"/>
            </w:tcMar>
          </w:tcPr>
          <w:p>
            <w:pPr>
              <w:spacing w:line="276" w:lineRule="auto" w:before="0" w:after="0"/>
            </w:pPr>
            <w:r>
              <w:rPr>
                <w:rFonts w:ascii="Consolas" w:hAnsi="Consolas"/>
                <w:color w:val="111827"/>
                <w:sz w:val="17"/>
              </w:rPr>
              <w:t>User Query + Optional Environmental Parameters (JSON / Form)</w:t>
              <w:br/>
              <w:t xml:space="preserve">    │</w:t>
              <w:br/>
              <w:t xml:space="preserve">    ▼</w:t>
              <w:br/>
              <w:t>[Step 1: EnvironmentalInput Parsing &amp; Extraction] (src/reasoning.py)</w:t>
              <w:br/>
              <w:t xml:space="preserve">    ── Extracts 14 structured environmental parameters from text/form</w:t>
              <w:br/>
              <w:t xml:space="preserve">    ── Checks quantitative thresholds against authoritative baselines</w:t>
              <w:br/>
              <w:t xml:space="preserve">    ── Detects 3-variable compounding interactions (e.g. Arid Heat-Drought)</w:t>
              <w:br/>
              <w:t xml:space="preserve">    ── Evaluates completeness (&lt;4 variables triggers clarifying questions)</w:t>
              <w:br/>
              <w:t xml:space="preserve">    │</w:t>
              <w:br/>
              <w:t xml:space="preserve">    ▼</w:t>
              <w:br/>
              <w:t>[Step 2: Semantic Vector Retrieval via ChromaDB] (src/retriever.py)</w:t>
              <w:br/>
              <w:t xml:space="preserve">    ── Generates query embedding via Google Gemini Embedding API (gemini-embedding-001)</w:t>
              <w:br/>
              <w:t xml:space="preserve">    ── Queries 57 indexed knowledge chunks in ChromaDB with cosine similarity</w:t>
              <w:br/>
              <w:t xml:space="preserve">    ── Retrieves Top-10 relevant documents (knowledge cards, recommendations, interactions)</w:t>
              <w:br/>
              <w:t xml:space="preserve">    │</w:t>
              <w:br/>
              <w:t xml:space="preserve">    ▼</w:t>
              <w:br/>
              <w:t>[Step 3: Prompt Construction &amp; Scientific Rule Enforcement] (src/conversation.py)</w:t>
              <w:br/>
              <w:t xml:space="preserve">    ── Injects System Prompt containing strict scientific baselines &amp; guidelines</w:t>
              <w:br/>
              <w:t xml:space="preserve">    ── Formats retrieved literature into structured RAG Context</w:t>
              <w:br/>
              <w:t xml:space="preserve">    ── Injects deterministic assessment, compound concerns, and interaction notes</w:t>
              <w:br/>
              <w:t xml:space="preserve">    ── Prepends multi-turn conversation memory (last 20 turns)</w:t>
              <w:br/>
              <w:t xml:space="preserve">    │</w:t>
              <w:br/>
              <w:t xml:space="preserve">    ▼</w:t>
              <w:br/>
              <w:t>[Step 4: LLM Generation via Google Gemini] (gemini-3.5-flash-lite)</w:t>
              <w:br/>
              <w:t xml:space="preserve">    ── Synthesizes contextualized assessment and concrete ecological interventions</w:t>
              <w:br/>
              <w:t xml:space="preserve">    ── Streams real-time tokens via NDJSON (/chat/stream) or returns JSON (/chat)</w:t>
              <w:br/>
              <w:t xml:space="preserve">    │</w:t>
              <w:br/>
              <w:t xml:space="preserve">    ▼</w:t>
              <w:br/>
              <w:t>[Step 5: Structured Recommendation Parsing &amp; Metadata Assembly]</w:t>
              <w:br/>
              <w:t xml:space="preserve">    ── Regex parser extracts Action, Basis, Metrics, Timeline, Measurable, Evidence</w:t>
              <w:br/>
              <w:t xml:space="preserve">    ── Assembles response payload with concerns, clarifying questions, and sources</w:t>
              <w:br/>
              <w:t xml:space="preserve">    ── Persists state in multi-turn conversation memory with progressive data merging</w:t>
            </w:r>
          </w:p>
        </w:tc>
      </w:tr>
    </w:tbl>
    <w:p/>
    <w:p>
      <w:pPr>
        <w:keepNext/>
        <w:spacing w:before="360" w:after="160"/>
      </w:pPr>
      <w:r>
        <w:rPr>
          <w:rFonts w:ascii="Arial" w:hAnsi="Arial"/>
          <w:b/>
          <w:color w:val="1B4D3E"/>
          <w:sz w:val="32"/>
        </w:rPr>
        <w:t>5. Key Features</w:t>
      </w:r>
    </w:p>
    <w:p>
      <w:pPr>
        <w:spacing w:after="120"/>
      </w:pPr>
      <w:r>
        <w:t>All features documented below are fully implemented, verified, and operational in the deployed application:</w:t>
      </w:r>
    </w:p>
    <w:tbl>
      <w:tblPr>
        <w:tblW w:type="auto" w:w="0"/>
        <w:jc w:val="center"/>
        <w:tblLayout w:type="fixed"/>
        <w:tblLook w:firstColumn="1" w:firstRow="1" w:lastColumn="0" w:lastRow="0" w:noHBand="0" w:noVBand="1" w:val="04A0"/>
      </w:tblPr>
      <w:tblGrid>
        <w:gridCol w:w="4680"/>
        <w:gridCol w:w="4680"/>
      </w:tblGrid>
      <w:tr>
        <w:tc>
          <w:tcPr>
            <w:tcW w:type="dxa" w:w="3168"/>
            <w:shd w:fill="1B4D3E"/>
            <w:tcMar>
              <w:top w:w="140" w:type="dxa"/>
              <w:bottom w:w="140" w:type="dxa"/>
              <w:left w:w="180" w:type="dxa"/>
              <w:right w:w="180" w:type="dxa"/>
            </w:tcMar>
          </w:tcPr>
          <w:p>
            <w:pPr>
              <w:jc w:val="left"/>
            </w:pPr>
            <w:r>
              <w:rPr>
                <w:rFonts w:ascii="Arial" w:hAnsi="Arial"/>
                <w:b/>
                <w:color w:val="FFFFFF"/>
                <w:sz w:val="20"/>
              </w:rPr>
              <w:t>Feature</w:t>
            </w:r>
          </w:p>
        </w:tc>
        <w:tc>
          <w:tcPr>
            <w:tcW w:type="dxa" w:w="6192"/>
            <w:shd w:fill="1B4D3E"/>
            <w:tcMar>
              <w:top w:w="140" w:type="dxa"/>
              <w:bottom w:w="140" w:type="dxa"/>
              <w:left w:w="180" w:type="dxa"/>
              <w:right w:w="180" w:type="dxa"/>
            </w:tcMar>
          </w:tcPr>
          <w:p>
            <w:pPr>
              <w:jc w:val="left"/>
            </w:pPr>
            <w:r>
              <w:rPr>
                <w:rFonts w:ascii="Arial" w:hAnsi="Arial"/>
                <w:b/>
                <w:color w:val="FFFFFF"/>
                <w:sz w:val="20"/>
              </w:rPr>
              <w:t>Implementation Details</w:t>
            </w:r>
          </w:p>
        </w:tc>
      </w:tr>
      <w:tr>
        <w:tc>
          <w:tcPr>
            <w:tcW w:type="dxa" w:w="3168"/>
            <w:shd w:fill="FFFFFF"/>
            <w:tcMar>
              <w:top w:w="100" w:type="dxa"/>
              <w:bottom w:w="100" w:type="dxa"/>
              <w:left w:w="160" w:type="dxa"/>
              <w:right w:w="160" w:type="dxa"/>
            </w:tcMar>
          </w:tcPr>
          <w:p>
            <w:pPr>
              <w:jc w:val="left"/>
            </w:pPr>
            <w:r>
              <w:rPr>
                <w:rFonts w:ascii="Arial" w:hAnsi="Arial"/>
                <w:color w:val="1F2937"/>
                <w:sz w:val="19"/>
              </w:rPr>
              <w:t>RAG Knowledge System</w:t>
            </w:r>
          </w:p>
        </w:tc>
        <w:tc>
          <w:tcPr>
            <w:tcW w:type="dxa" w:w="6192"/>
            <w:shd w:fill="FFFFFF"/>
            <w:tcMar>
              <w:top w:w="100" w:type="dxa"/>
              <w:bottom w:w="100" w:type="dxa"/>
              <w:left w:w="160" w:type="dxa"/>
              <w:right w:w="160" w:type="dxa"/>
            </w:tcMar>
          </w:tcPr>
          <w:p>
            <w:pPr>
              <w:jc w:val="left"/>
            </w:pPr>
            <w:r>
              <w:rPr>
                <w:rFonts w:ascii="Arial" w:hAnsi="Arial"/>
                <w:color w:val="1F2937"/>
                <w:sz w:val="19"/>
              </w:rPr>
              <w:t>ChromaDB vector store containing 57 indexed documents spanning 12 core environmental domains.</w:t>
            </w:r>
          </w:p>
        </w:tc>
      </w:tr>
      <w:tr>
        <w:tc>
          <w:tcPr>
            <w:tcW w:type="dxa" w:w="3168"/>
            <w:shd w:fill="F9FAFB"/>
            <w:tcMar>
              <w:top w:w="100" w:type="dxa"/>
              <w:bottom w:w="100" w:type="dxa"/>
              <w:left w:w="160" w:type="dxa"/>
              <w:right w:w="160" w:type="dxa"/>
            </w:tcMar>
          </w:tcPr>
          <w:p>
            <w:pPr>
              <w:jc w:val="left"/>
            </w:pPr>
            <w:r>
              <w:rPr>
                <w:rFonts w:ascii="Arial" w:hAnsi="Arial"/>
                <w:color w:val="1F2937"/>
                <w:sz w:val="19"/>
              </w:rPr>
              <w:t>Remote Gemini Embeddings</w:t>
            </w:r>
          </w:p>
        </w:tc>
        <w:tc>
          <w:tcPr>
            <w:tcW w:type="dxa" w:w="6192"/>
            <w:shd w:fill="F9FAFB"/>
            <w:tcMar>
              <w:top w:w="100" w:type="dxa"/>
              <w:bottom w:w="100" w:type="dxa"/>
              <w:left w:w="160" w:type="dxa"/>
              <w:right w:w="160" w:type="dxa"/>
            </w:tcMar>
          </w:tcPr>
          <w:p>
            <w:pPr>
              <w:jc w:val="left"/>
            </w:pPr>
            <w:r>
              <w:rPr>
                <w:rFonts w:ascii="Arial" w:hAnsi="Arial"/>
                <w:color w:val="1F2937"/>
                <w:sz w:val="19"/>
              </w:rPr>
              <w:t>Uses Google's remote 'gemini-embedding-001' (768-dim) API, eliminating memory-heavy local ONNX/PyTorch models.</w:t>
            </w:r>
          </w:p>
        </w:tc>
      </w:tr>
      <w:tr>
        <w:tc>
          <w:tcPr>
            <w:tcW w:type="dxa" w:w="3168"/>
            <w:shd w:fill="FFFFFF"/>
            <w:tcMar>
              <w:top w:w="100" w:type="dxa"/>
              <w:bottom w:w="100" w:type="dxa"/>
              <w:left w:w="160" w:type="dxa"/>
              <w:right w:w="160" w:type="dxa"/>
            </w:tcMar>
          </w:tcPr>
          <w:p>
            <w:pPr>
              <w:jc w:val="left"/>
            </w:pPr>
            <w:r>
              <w:rPr>
                <w:rFonts w:ascii="Arial" w:hAnsi="Arial"/>
                <w:color w:val="1F2937"/>
                <w:sz w:val="19"/>
              </w:rPr>
              <w:t>Precomputed Embeddings Cache</w:t>
            </w:r>
          </w:p>
        </w:tc>
        <w:tc>
          <w:tcPr>
            <w:tcW w:type="dxa" w:w="6192"/>
            <w:shd w:fill="FFFFFF"/>
            <w:tcMar>
              <w:top w:w="100" w:type="dxa"/>
              <w:bottom w:w="100" w:type="dxa"/>
              <w:left w:w="160" w:type="dxa"/>
              <w:right w:w="160" w:type="dxa"/>
            </w:tcMar>
          </w:tcPr>
          <w:p>
            <w:pPr>
              <w:jc w:val="left"/>
            </w:pPr>
            <w:r>
              <w:rPr>
                <w:rFonts w:ascii="Arial" w:hAnsi="Arial"/>
                <w:color w:val="1F2937"/>
                <w:sz w:val="19"/>
              </w:rPr>
              <w:t>57 knowledge embeddings pre-cached in 'precomputed_embeddings.json' for instant, zero-API startup.</w:t>
            </w:r>
          </w:p>
        </w:tc>
      </w:tr>
      <w:tr>
        <w:tc>
          <w:tcPr>
            <w:tcW w:type="dxa" w:w="3168"/>
            <w:shd w:fill="F9FAFB"/>
            <w:tcMar>
              <w:top w:w="100" w:type="dxa"/>
              <w:bottom w:w="100" w:type="dxa"/>
              <w:left w:w="160" w:type="dxa"/>
              <w:right w:w="160" w:type="dxa"/>
            </w:tcMar>
          </w:tcPr>
          <w:p>
            <w:pPr>
              <w:jc w:val="left"/>
            </w:pPr>
            <w:r>
              <w:rPr>
                <w:rFonts w:ascii="Arial" w:hAnsi="Arial"/>
                <w:color w:val="1F2937"/>
                <w:sz w:val="19"/>
              </w:rPr>
              <w:t>Multi-Metric Reasoning Engine</w:t>
            </w:r>
          </w:p>
        </w:tc>
        <w:tc>
          <w:tcPr>
            <w:tcW w:type="dxa" w:w="6192"/>
            <w:shd w:fill="F9FAFB"/>
            <w:tcMar>
              <w:top w:w="100" w:type="dxa"/>
              <w:bottom w:w="100" w:type="dxa"/>
              <w:left w:w="160" w:type="dxa"/>
              <w:right w:w="160" w:type="dxa"/>
            </w:tcMar>
          </w:tcPr>
          <w:p>
            <w:pPr>
              <w:jc w:val="left"/>
            </w:pPr>
            <w:r>
              <w:rPr>
                <w:rFonts w:ascii="Arial" w:hAnsi="Arial"/>
                <w:color w:val="1F2937"/>
                <w:sz w:val="19"/>
              </w:rPr>
              <w:t>Deterministic evaluation of compound interactions across 3+ environmental variables simultaneously.</w:t>
            </w:r>
          </w:p>
        </w:tc>
      </w:tr>
      <w:tr>
        <w:tc>
          <w:tcPr>
            <w:tcW w:type="dxa" w:w="3168"/>
            <w:shd w:fill="FFFFFF"/>
            <w:tcMar>
              <w:top w:w="100" w:type="dxa"/>
              <w:bottom w:w="100" w:type="dxa"/>
              <w:left w:w="160" w:type="dxa"/>
              <w:right w:w="160" w:type="dxa"/>
            </w:tcMar>
          </w:tcPr>
          <w:p>
            <w:pPr>
              <w:jc w:val="left"/>
            </w:pPr>
            <w:r>
              <w:rPr>
                <w:rFonts w:ascii="Arial" w:hAnsi="Arial"/>
                <w:color w:val="1F2937"/>
                <w:sz w:val="19"/>
              </w:rPr>
              <w:t>Authoritative Threshold Checks</w:t>
            </w:r>
          </w:p>
        </w:tc>
        <w:tc>
          <w:tcPr>
            <w:tcW w:type="dxa" w:w="6192"/>
            <w:shd w:fill="FFFFFF"/>
            <w:tcMar>
              <w:top w:w="100" w:type="dxa"/>
              <w:bottom w:w="100" w:type="dxa"/>
              <w:left w:w="160" w:type="dxa"/>
              <w:right w:w="160" w:type="dxa"/>
            </w:tcMar>
          </w:tcPr>
          <w:p>
            <w:pPr>
              <w:jc w:val="left"/>
            </w:pPr>
            <w:r>
              <w:rPr>
                <w:rFonts w:ascii="Arial" w:hAnsi="Arial"/>
                <w:color w:val="1F2937"/>
                <w:sz w:val="19"/>
              </w:rPr>
              <w:t>Strict evaluation of SOC (&lt;0.5% critical, &lt;1.0% low), soil pH (&lt;4.5, &lt;5.5, 6.0-7.0), moisture, rainfall, and temperature.</w:t>
            </w:r>
          </w:p>
        </w:tc>
      </w:tr>
      <w:tr>
        <w:tc>
          <w:tcPr>
            <w:tcW w:type="dxa" w:w="3168"/>
            <w:shd w:fill="F9FAFB"/>
            <w:tcMar>
              <w:top w:w="100" w:type="dxa"/>
              <w:bottom w:w="100" w:type="dxa"/>
              <w:left w:w="160" w:type="dxa"/>
              <w:right w:w="160" w:type="dxa"/>
            </w:tcMar>
          </w:tcPr>
          <w:p>
            <w:pPr>
              <w:jc w:val="left"/>
            </w:pPr>
            <w:r>
              <w:rPr>
                <w:rFonts w:ascii="Arial" w:hAnsi="Arial"/>
                <w:color w:val="1F2937"/>
                <w:sz w:val="19"/>
              </w:rPr>
              <w:t>Proactive Clarifying Questions</w:t>
            </w:r>
          </w:p>
        </w:tc>
        <w:tc>
          <w:tcPr>
            <w:tcW w:type="dxa" w:w="6192"/>
            <w:shd w:fill="F9FAFB"/>
            <w:tcMar>
              <w:top w:w="100" w:type="dxa"/>
              <w:bottom w:w="100" w:type="dxa"/>
              <w:left w:w="160" w:type="dxa"/>
              <w:right w:w="160" w:type="dxa"/>
            </w:tcMar>
          </w:tcPr>
          <w:p>
            <w:pPr>
              <w:jc w:val="left"/>
            </w:pPr>
            <w:r>
              <w:rPr>
                <w:rFonts w:ascii="Arial" w:hAnsi="Arial"/>
                <w:color w:val="1F2937"/>
                <w:sz w:val="19"/>
              </w:rPr>
              <w:t>Generates 2–3 targeted questions when vital metrics are absent, explaining why each is ecologically critical.</w:t>
            </w:r>
          </w:p>
        </w:tc>
      </w:tr>
      <w:tr>
        <w:tc>
          <w:tcPr>
            <w:tcW w:type="dxa" w:w="3168"/>
            <w:shd w:fill="FFFFFF"/>
            <w:tcMar>
              <w:top w:w="100" w:type="dxa"/>
              <w:bottom w:w="100" w:type="dxa"/>
              <w:left w:w="160" w:type="dxa"/>
              <w:right w:w="160" w:type="dxa"/>
            </w:tcMar>
          </w:tcPr>
          <w:p>
            <w:pPr>
              <w:jc w:val="left"/>
            </w:pPr>
            <w:r>
              <w:rPr>
                <w:rFonts w:ascii="Arial" w:hAnsi="Arial"/>
                <w:color w:val="1F2937"/>
                <w:sz w:val="19"/>
              </w:rPr>
              <w:t>Progressive Data Accumulation</w:t>
            </w:r>
          </w:p>
        </w:tc>
        <w:tc>
          <w:tcPr>
            <w:tcW w:type="dxa" w:w="6192"/>
            <w:shd w:fill="FFFFFF"/>
            <w:tcMar>
              <w:top w:w="100" w:type="dxa"/>
              <w:bottom w:w="100" w:type="dxa"/>
              <w:left w:w="160" w:type="dxa"/>
              <w:right w:w="160" w:type="dxa"/>
            </w:tcMar>
          </w:tcPr>
          <w:p>
            <w:pPr>
              <w:jc w:val="left"/>
            </w:pPr>
            <w:r>
              <w:rPr>
                <w:rFonts w:ascii="Arial" w:hAnsi="Arial"/>
                <w:color w:val="1F2937"/>
                <w:sz w:val="19"/>
              </w:rPr>
              <w:t>Multi-turn conversation memory retains and merges user parameters across successive turns.</w:t>
            </w:r>
          </w:p>
        </w:tc>
      </w:tr>
      <w:tr>
        <w:tc>
          <w:tcPr>
            <w:tcW w:type="dxa" w:w="3168"/>
            <w:shd w:fill="F9FAFB"/>
            <w:tcMar>
              <w:top w:w="100" w:type="dxa"/>
              <w:bottom w:w="100" w:type="dxa"/>
              <w:left w:w="160" w:type="dxa"/>
              <w:right w:w="160" w:type="dxa"/>
            </w:tcMar>
          </w:tcPr>
          <w:p>
            <w:pPr>
              <w:jc w:val="left"/>
            </w:pPr>
            <w:r>
              <w:rPr>
                <w:rFonts w:ascii="Arial" w:hAnsi="Arial"/>
                <w:color w:val="1F2937"/>
                <w:sz w:val="19"/>
              </w:rPr>
              <w:t>Session Isolation</w:t>
            </w:r>
          </w:p>
        </w:tc>
        <w:tc>
          <w:tcPr>
            <w:tcW w:type="dxa" w:w="6192"/>
            <w:shd w:fill="F9FAFB"/>
            <w:tcMar>
              <w:top w:w="100" w:type="dxa"/>
              <w:bottom w:w="100" w:type="dxa"/>
              <w:left w:w="160" w:type="dxa"/>
              <w:right w:w="160" w:type="dxa"/>
            </w:tcMar>
          </w:tcPr>
          <w:p>
            <w:pPr>
              <w:jc w:val="left"/>
            </w:pPr>
            <w:r>
              <w:rPr>
                <w:rFonts w:ascii="Arial" w:hAnsi="Arial"/>
                <w:color w:val="1F2937"/>
                <w:sz w:val="19"/>
              </w:rPr>
              <w:t>Conversations are segmented and tracked via unique 'conversation_id' UUIDs.</w:t>
            </w:r>
          </w:p>
        </w:tc>
      </w:tr>
      <w:tr>
        <w:tc>
          <w:tcPr>
            <w:tcW w:type="dxa" w:w="3168"/>
            <w:shd w:fill="FFFFFF"/>
            <w:tcMar>
              <w:top w:w="100" w:type="dxa"/>
              <w:bottom w:w="100" w:type="dxa"/>
              <w:left w:w="160" w:type="dxa"/>
              <w:right w:w="160" w:type="dxa"/>
            </w:tcMar>
          </w:tcPr>
          <w:p>
            <w:pPr>
              <w:jc w:val="left"/>
            </w:pPr>
            <w:r>
              <w:rPr>
                <w:rFonts w:ascii="Arial" w:hAnsi="Arial"/>
                <w:color w:val="1F2937"/>
                <w:sz w:val="19"/>
              </w:rPr>
              <w:t>Standardized Recommendation Cards</w:t>
            </w:r>
          </w:p>
        </w:tc>
        <w:tc>
          <w:tcPr>
            <w:tcW w:type="dxa" w:w="6192"/>
            <w:shd w:fill="FFFFFF"/>
            <w:tcMar>
              <w:top w:w="100" w:type="dxa"/>
              <w:bottom w:w="100" w:type="dxa"/>
              <w:left w:w="160" w:type="dxa"/>
              <w:right w:w="160" w:type="dxa"/>
            </w:tcMar>
          </w:tcPr>
          <w:p>
            <w:pPr>
              <w:jc w:val="left"/>
            </w:pPr>
            <w:r>
              <w:rPr>
                <w:rFonts w:ascii="Arial" w:hAnsi="Arial"/>
                <w:color w:val="1F2937"/>
                <w:sz w:val="19"/>
              </w:rPr>
              <w:t>Every intervention parses into: action, scientific basis, metrics affected, timeline, measurable estimate, evidence, confidence.</w:t>
            </w:r>
          </w:p>
        </w:tc>
      </w:tr>
      <w:tr>
        <w:tc>
          <w:tcPr>
            <w:tcW w:type="dxa" w:w="3168"/>
            <w:shd w:fill="F9FAFB"/>
            <w:tcMar>
              <w:top w:w="100" w:type="dxa"/>
              <w:bottom w:w="100" w:type="dxa"/>
              <w:left w:w="160" w:type="dxa"/>
              <w:right w:w="160" w:type="dxa"/>
            </w:tcMar>
          </w:tcPr>
          <w:p>
            <w:pPr>
              <w:jc w:val="left"/>
            </w:pPr>
            <w:r>
              <w:rPr>
                <w:rFonts w:ascii="Arial" w:hAnsi="Arial"/>
                <w:color w:val="1F2937"/>
                <w:sz w:val="19"/>
              </w:rPr>
              <w:t>Real-Time Streaming Endpoint</w:t>
            </w:r>
          </w:p>
        </w:tc>
        <w:tc>
          <w:tcPr>
            <w:tcW w:type="dxa" w:w="6192"/>
            <w:shd w:fill="F9FAFB"/>
            <w:tcMar>
              <w:top w:w="100" w:type="dxa"/>
              <w:bottom w:w="100" w:type="dxa"/>
              <w:left w:w="160" w:type="dxa"/>
              <w:right w:w="160" w:type="dxa"/>
            </w:tcMar>
          </w:tcPr>
          <w:p>
            <w:pPr>
              <w:jc w:val="left"/>
            </w:pPr>
            <w:r>
              <w:rPr>
                <w:rFonts w:ascii="Arial" w:hAnsi="Arial"/>
                <w:color w:val="1F2937"/>
                <w:sz w:val="19"/>
              </w:rPr>
              <w:t>FastAPI endpoint ('/chat/stream') delivers progressive NDJSON token streams followed by structured metadata.</w:t>
            </w:r>
          </w:p>
        </w:tc>
      </w:tr>
      <w:tr>
        <w:tc>
          <w:tcPr>
            <w:tcW w:type="dxa" w:w="3168"/>
            <w:shd w:fill="FFFFFF"/>
            <w:tcMar>
              <w:top w:w="100" w:type="dxa"/>
              <w:bottom w:w="100" w:type="dxa"/>
              <w:left w:w="160" w:type="dxa"/>
              <w:right w:w="160" w:type="dxa"/>
            </w:tcMar>
          </w:tcPr>
          <w:p>
            <w:pPr>
              <w:jc w:val="left"/>
            </w:pPr>
            <w:r>
              <w:rPr>
                <w:rFonts w:ascii="Arial" w:hAnsi="Arial"/>
                <w:color w:val="1F2937"/>
                <w:sz w:val="19"/>
              </w:rPr>
              <w:t>Interactive Streamlit UI</w:t>
            </w:r>
          </w:p>
        </w:tc>
        <w:tc>
          <w:tcPr>
            <w:tcW w:type="dxa" w:w="6192"/>
            <w:shd w:fill="FFFFFF"/>
            <w:tcMar>
              <w:top w:w="100" w:type="dxa"/>
              <w:bottom w:w="100" w:type="dxa"/>
              <w:left w:w="160" w:type="dxa"/>
              <w:right w:w="160" w:type="dxa"/>
            </w:tcMar>
          </w:tcPr>
          <w:p>
            <w:pPr>
              <w:jc w:val="left"/>
            </w:pPr>
            <w:r>
              <w:rPr>
                <w:rFonts w:ascii="Arial" w:hAnsi="Arial"/>
                <w:color w:val="1F2937"/>
                <w:sz w:val="19"/>
              </w:rPr>
              <w:t>Modern web dashboard with expandable environmental parameter input panel, sample queries, and metadata drawers.</w:t>
            </w:r>
          </w:p>
        </w:tc>
      </w:tr>
    </w:tbl>
    <w:p/>
    <w:p>
      <w:pPr>
        <w:keepNext/>
        <w:spacing w:before="360" w:after="160"/>
      </w:pPr>
      <w:r>
        <w:rPr>
          <w:rFonts w:ascii="Arial" w:hAnsi="Arial"/>
          <w:b/>
          <w:color w:val="1B4D3E"/>
          <w:sz w:val="32"/>
        </w:rPr>
        <w:t>6. System Architecture</w:t>
      </w:r>
    </w:p>
    <w:p>
      <w:pPr>
        <w:spacing w:after="120"/>
      </w:pPr>
      <w:r>
        <w:t>The system follows a clean modular client-server architecture. The frontend is built with Streamlit and communicates via asynchronous REST/streaming HTTP requests to a high-performance FastAPI backend.</w:t>
      </w:r>
    </w:p>
    <w:tbl>
      <w:tblPr>
        <w:tblW w:type="auto" w:w="0"/>
        <w:jc w:val="center"/>
        <w:tblLook w:firstColumn="1" w:firstRow="1" w:lastColumn="0" w:lastRow="0" w:noHBand="0" w:noVBand="1" w:val="04A0"/>
      </w:tblPr>
      <w:tblGrid>
        <w:gridCol w:w="9360"/>
      </w:tblGrid>
      <w:tr>
        <w:tc>
          <w:tcPr>
            <w:tcW w:type="dxa" w:w="9360"/>
            <w:shd w:fill="F3F4F6"/>
            <w:tcMar>
              <w:top w:w="100" w:type="dxa"/>
              <w:bottom w:w="100" w:type="dxa"/>
              <w:left w:w="160" w:type="dxa"/>
              <w:right w:w="160" w:type="dxa"/>
            </w:tcMar>
          </w:tcPr>
          <w:p>
            <w:pPr>
              <w:spacing w:line="276" w:lineRule="auto" w:before="0" w:after="0"/>
            </w:pPr>
            <w:r>
              <w:rPr>
                <w:rFonts w:ascii="Consolas" w:hAnsi="Consolas"/>
                <w:color w:val="111827"/>
                <w:sz w:val="17"/>
              </w:rPr>
              <w:t>┌─────────────────────────────────────────────────────────────────────────────┐</w:t>
              <w:br/>
              <w:t>│                            STREAMLIT FRONTEND                               │</w:t>
              <w:br/>
              <w:t>│                         (ui/streamlit_app.py)                               │</w:t>
              <w:br/>
              <w:t>│  - Chat Message History       - Environmental Data Panel (14 parameters)    │</w:t>
              <w:br/>
              <w:t>│  - Real-time Token Streaming  - Structured Metadata Drawers (Concerns/Docs) │</w:t>
              <w:br/>
              <w:t>└──────────────────────────────────────┬──────────────────────────────────────┘</w:t>
              <w:br/>
              <w:t xml:space="preserve">                                       │ HTTP POST (/chat, /chat/stream)</w:t>
              <w:br/>
              <w:t xml:space="preserve">                                       ▼</w:t>
              <w:br/>
              <w:t>┌─────────────────────────────────────────────────────────────────────────────┐</w:t>
              <w:br/>
              <w:t>│                            FASTAPI BACKEND                                  │</w:t>
              <w:br/>
              <w:t>│                             (app/api.py)                                    │</w:t>
              <w:br/>
              <w:t>│  - CORS Middleware            - Pydantic v2 Request/Response Validation     │</w:t>
              <w:br/>
              <w:t>│  - Asynchronous NDJSON Stream - In-Memory Conversation State Management     │</w:t>
              <w:br/>
              <w:t>├─────────────────────────────────────────────────────────────────────────────┤</w:t>
              <w:br/>
              <w:t>│                          CONVERSATION MANAGER                               │</w:t>
              <w:br/>
              <w:t>│                         (src/conversation.py)                               │</w:t>
              <w:br/>
              <w:t>│  - System Prompt with Strict Scientific Grounding Baselines                 │</w:t>
              <w:br/>
              <w:t>│  - Multi-Turn History Tracking (MAX_CONVERSATION_HISTORY = 20)              │</w:t>
              <w:br/>
              <w:t>│  - Structured Recommendation Regex Parser                                   │</w:t>
              <w:br/>
              <w:t>├──────────────────────────────────────┬──────────────────────────────────────┤</w:t>
              <w:br/>
              <w:t>│      REASONING ENGINE                │            RAG RETRIEVER             │</w:t>
              <w:br/>
              <w:t>│     (src/reasoning.py)               │         (src/retriever.py)           │</w:t>
              <w:br/>
              <w:t>│  - EnvironmentalInput Dataclass      │  - ChromaDB PersistentClient         │</w:t>
              <w:br/>
              <w:t>│  - 3-Variable Compound Detectors     │  - Cosine Distance Metric (HNSW)     │</w:t>
              <w:br/>
              <w:t>│  - Clarifying Question Generator     │  - Precomputed Embedding Cache       │</w:t>
              <w:br/>
              <w:t>├──────────────────────────────────────┴──────────────────────────────────────┤</w:t>
              <w:br/>
              <w:t>│                           EXTERNAL INTEGRATIONS                             │</w:t>
              <w:br/>
              <w:t>│  - Google GenAI SDK: 'gemini-3.5-flash-lite' (Text Generation)             │</w:t>
              <w:br/>
              <w:t>│  - Google GenAI Embedding Function: 'gemini-embedding-001' (768 Dimensions) │</w:t>
              <w:br/>
              <w:t>└─────────────────────────────────────────────────────────────────────────────┘</w:t>
            </w:r>
          </w:p>
        </w:tc>
      </w:tr>
    </w:tbl>
    <w:p/>
    <w:p>
      <w:pPr>
        <w:spacing w:after="120"/>
      </w:pPr>
      <w:r>
        <w:t>Data flows seamlessly through the backend: user requests are converted into structured `EnvironmentalInput` dataclasses, passed through the deterministic rules engine in `src/reasoning.py`, enriched with RAG context retrieved via cosine similarity over ChromaDB vectors, and synthesized by Gemini using a highly constrained scientific system prompt.</w:t>
      </w:r>
    </w:p>
    <w:p>
      <w:pPr>
        <w:keepNext/>
        <w:spacing w:before="360" w:after="160"/>
      </w:pPr>
      <w:r>
        <w:rPr>
          <w:rFonts w:ascii="Arial" w:hAnsi="Arial"/>
          <w:b/>
          <w:color w:val="1B4D3E"/>
          <w:sz w:val="32"/>
        </w:rPr>
        <w:t>7. Knowledge Base &amp; RAG Implementation</w:t>
      </w:r>
    </w:p>
    <w:p>
      <w:pPr>
        <w:spacing w:after="120"/>
      </w:pPr>
      <w:r>
        <w:t>The knowledge base resides in `data/environmental_data/knowledge.json` and consists of 57 curated, peer-reviewed documents and sub-documents across 12 primary ecological domains. Each entry is chunked into main knowledge summaries, individual action cards, and cross-variable interaction descriptions to maximize retrieval granularity.</w:t>
      </w:r>
    </w:p>
    <w:tbl>
      <w:tblPr>
        <w:tblW w:type="auto" w:w="0"/>
        <w:jc w:val="center"/>
        <w:tblLayout w:type="fixed"/>
        <w:tblLook w:firstColumn="1" w:firstRow="1" w:lastColumn="0" w:lastRow="0" w:noHBand="0" w:noVBand="1" w:val="04A0"/>
      </w:tblPr>
      <w:tblGrid>
        <w:gridCol w:w="4680"/>
        <w:gridCol w:w="4680"/>
      </w:tblGrid>
      <w:tr>
        <w:tc>
          <w:tcPr>
            <w:tcW w:type="dxa" w:w="3456"/>
            <w:shd w:fill="1B4D3E"/>
            <w:tcMar>
              <w:top w:w="140" w:type="dxa"/>
              <w:bottom w:w="140" w:type="dxa"/>
              <w:left w:w="180" w:type="dxa"/>
              <w:right w:w="180" w:type="dxa"/>
            </w:tcMar>
          </w:tcPr>
          <w:p>
            <w:pPr>
              <w:jc w:val="left"/>
            </w:pPr>
            <w:r>
              <w:rPr>
                <w:rFonts w:ascii="Arial" w:hAnsi="Arial"/>
                <w:b/>
                <w:color w:val="FFFFFF"/>
                <w:sz w:val="20"/>
              </w:rPr>
              <w:t>Knowledge Domain</w:t>
            </w:r>
          </w:p>
        </w:tc>
        <w:tc>
          <w:tcPr>
            <w:tcW w:type="dxa" w:w="5904"/>
            <w:shd w:fill="1B4D3E"/>
            <w:tcMar>
              <w:top w:w="140" w:type="dxa"/>
              <w:bottom w:w="140" w:type="dxa"/>
              <w:left w:w="180" w:type="dxa"/>
              <w:right w:w="180" w:type="dxa"/>
            </w:tcMar>
          </w:tcPr>
          <w:p>
            <w:pPr>
              <w:jc w:val="left"/>
            </w:pPr>
            <w:r>
              <w:rPr>
                <w:rFonts w:ascii="Arial" w:hAnsi="Arial"/>
                <w:b/>
                <w:color w:val="FFFFFF"/>
                <w:sz w:val="20"/>
              </w:rPr>
              <w:t>Authoritative Scientific Sources</w:t>
            </w:r>
          </w:p>
        </w:tc>
      </w:tr>
      <w:tr>
        <w:tc>
          <w:tcPr>
            <w:tcW w:type="dxa" w:w="3456"/>
            <w:shd w:fill="FFFFFF"/>
            <w:tcMar>
              <w:top w:w="100" w:type="dxa"/>
              <w:bottom w:w="100" w:type="dxa"/>
              <w:left w:w="160" w:type="dxa"/>
              <w:right w:w="160" w:type="dxa"/>
            </w:tcMar>
          </w:tcPr>
          <w:p>
            <w:pPr>
              <w:jc w:val="left"/>
            </w:pPr>
            <w:r>
              <w:rPr>
                <w:rFonts w:ascii="Arial" w:hAnsi="Arial"/>
                <w:color w:val="1F2937"/>
                <w:sz w:val="19"/>
              </w:rPr>
              <w:t>Soil Organic Carbon (SOC)</w:t>
            </w:r>
          </w:p>
        </w:tc>
        <w:tc>
          <w:tcPr>
            <w:tcW w:type="dxa" w:w="5904"/>
            <w:shd w:fill="FFFFFF"/>
            <w:tcMar>
              <w:top w:w="100" w:type="dxa"/>
              <w:bottom w:w="100" w:type="dxa"/>
              <w:left w:w="160" w:type="dxa"/>
              <w:right w:w="160" w:type="dxa"/>
            </w:tcMar>
          </w:tcPr>
          <w:p>
            <w:pPr>
              <w:jc w:val="left"/>
            </w:pPr>
            <w:r>
              <w:rPr>
                <w:rFonts w:ascii="Arial" w:hAnsi="Arial"/>
                <w:color w:val="1F2937"/>
                <w:sz w:val="19"/>
              </w:rPr>
              <w:t>FAO Global Soil Organic Carbon Map (GSOCmap); Lal, R. (2004) *Science*.</w:t>
            </w:r>
          </w:p>
        </w:tc>
      </w:tr>
      <w:tr>
        <w:tc>
          <w:tcPr>
            <w:tcW w:type="dxa" w:w="3456"/>
            <w:shd w:fill="F9FAFB"/>
            <w:tcMar>
              <w:top w:w="100" w:type="dxa"/>
              <w:bottom w:w="100" w:type="dxa"/>
              <w:left w:w="160" w:type="dxa"/>
              <w:right w:w="160" w:type="dxa"/>
            </w:tcMar>
          </w:tcPr>
          <w:p>
            <w:pPr>
              <w:jc w:val="left"/>
            </w:pPr>
            <w:r>
              <w:rPr>
                <w:rFonts w:ascii="Arial" w:hAnsi="Arial"/>
                <w:color w:val="1F2937"/>
                <w:sz w:val="19"/>
              </w:rPr>
              <w:t>Soil pH &amp; Chemistry</w:t>
            </w:r>
          </w:p>
        </w:tc>
        <w:tc>
          <w:tcPr>
            <w:tcW w:type="dxa" w:w="5904"/>
            <w:shd w:fill="F9FAFB"/>
            <w:tcMar>
              <w:top w:w="100" w:type="dxa"/>
              <w:bottom w:w="100" w:type="dxa"/>
              <w:left w:w="160" w:type="dxa"/>
              <w:right w:w="160" w:type="dxa"/>
            </w:tcMar>
          </w:tcPr>
          <w:p>
            <w:pPr>
              <w:jc w:val="left"/>
            </w:pPr>
            <w:r>
              <w:rPr>
                <w:rFonts w:ascii="Arial" w:hAnsi="Arial"/>
                <w:color w:val="1F2937"/>
                <w:sz w:val="19"/>
              </w:rPr>
              <w:t>Brady, N.C. &amp; Weil, R.R. (2016) *The Nature and Properties of Soils*; USDA-NRCS.</w:t>
            </w:r>
          </w:p>
        </w:tc>
      </w:tr>
      <w:tr>
        <w:tc>
          <w:tcPr>
            <w:tcW w:type="dxa" w:w="3456"/>
            <w:shd w:fill="FFFFFF"/>
            <w:tcMar>
              <w:top w:w="100" w:type="dxa"/>
              <w:bottom w:w="100" w:type="dxa"/>
              <w:left w:w="160" w:type="dxa"/>
              <w:right w:w="160" w:type="dxa"/>
            </w:tcMar>
          </w:tcPr>
          <w:p>
            <w:pPr>
              <w:jc w:val="left"/>
            </w:pPr>
            <w:r>
              <w:rPr>
                <w:rFonts w:ascii="Arial" w:hAnsi="Arial"/>
                <w:color w:val="1F2937"/>
                <w:sz w:val="19"/>
              </w:rPr>
              <w:t>Soil Moisture &amp; Hydrology</w:t>
            </w:r>
          </w:p>
        </w:tc>
        <w:tc>
          <w:tcPr>
            <w:tcW w:type="dxa" w:w="5904"/>
            <w:shd w:fill="FFFFFF"/>
            <w:tcMar>
              <w:top w:w="100" w:type="dxa"/>
              <w:bottom w:w="100" w:type="dxa"/>
              <w:left w:w="160" w:type="dxa"/>
              <w:right w:w="160" w:type="dxa"/>
            </w:tcMar>
          </w:tcPr>
          <w:p>
            <w:pPr>
              <w:jc w:val="left"/>
            </w:pPr>
            <w:r>
              <w:rPr>
                <w:rFonts w:ascii="Arial" w:hAnsi="Arial"/>
                <w:color w:val="1F2937"/>
                <w:sz w:val="19"/>
              </w:rPr>
              <w:t>FAO Irrigation and Drainage Papers; Hillel, D. (2003) *Soil Water Dynamics*.</w:t>
            </w:r>
          </w:p>
        </w:tc>
      </w:tr>
      <w:tr>
        <w:tc>
          <w:tcPr>
            <w:tcW w:type="dxa" w:w="3456"/>
            <w:shd w:fill="F9FAFB"/>
            <w:tcMar>
              <w:top w:w="100" w:type="dxa"/>
              <w:bottom w:w="100" w:type="dxa"/>
              <w:left w:w="160" w:type="dxa"/>
              <w:right w:w="160" w:type="dxa"/>
            </w:tcMar>
          </w:tcPr>
          <w:p>
            <w:pPr>
              <w:jc w:val="left"/>
            </w:pPr>
            <w:r>
              <w:rPr>
                <w:rFonts w:ascii="Arial" w:hAnsi="Arial"/>
                <w:color w:val="1F2937"/>
                <w:sz w:val="19"/>
              </w:rPr>
              <w:t>Soil Erosion &amp; Conservation</w:t>
            </w:r>
          </w:p>
        </w:tc>
        <w:tc>
          <w:tcPr>
            <w:tcW w:type="dxa" w:w="5904"/>
            <w:shd w:fill="F9FAFB"/>
            <w:tcMar>
              <w:top w:w="100" w:type="dxa"/>
              <w:bottom w:w="100" w:type="dxa"/>
              <w:left w:w="160" w:type="dxa"/>
              <w:right w:w="160" w:type="dxa"/>
            </w:tcMar>
          </w:tcPr>
          <w:p>
            <w:pPr>
              <w:jc w:val="left"/>
            </w:pPr>
            <w:r>
              <w:rPr>
                <w:rFonts w:ascii="Arial" w:hAnsi="Arial"/>
                <w:color w:val="1F2937"/>
                <w:sz w:val="19"/>
              </w:rPr>
              <w:t>Montgomery, D.R. (2007) *PNAS*; USDA-NRCS Practice Standards.</w:t>
            </w:r>
          </w:p>
        </w:tc>
      </w:tr>
      <w:tr>
        <w:tc>
          <w:tcPr>
            <w:tcW w:type="dxa" w:w="3456"/>
            <w:shd w:fill="FFFFFF"/>
            <w:tcMar>
              <w:top w:w="100" w:type="dxa"/>
              <w:bottom w:w="100" w:type="dxa"/>
              <w:left w:w="160" w:type="dxa"/>
              <w:right w:w="160" w:type="dxa"/>
            </w:tcMar>
          </w:tcPr>
          <w:p>
            <w:pPr>
              <w:jc w:val="left"/>
            </w:pPr>
            <w:r>
              <w:rPr>
                <w:rFonts w:ascii="Arial" w:hAnsi="Arial"/>
                <w:color w:val="1F2937"/>
                <w:sz w:val="19"/>
              </w:rPr>
              <w:t>Crop Monoculture &amp; Diversity</w:t>
            </w:r>
          </w:p>
        </w:tc>
        <w:tc>
          <w:tcPr>
            <w:tcW w:type="dxa" w:w="5904"/>
            <w:shd w:fill="FFFFFF"/>
            <w:tcMar>
              <w:top w:w="100" w:type="dxa"/>
              <w:bottom w:w="100" w:type="dxa"/>
              <w:left w:w="160" w:type="dxa"/>
              <w:right w:w="160" w:type="dxa"/>
            </w:tcMar>
          </w:tcPr>
          <w:p>
            <w:pPr>
              <w:jc w:val="left"/>
            </w:pPr>
            <w:r>
              <w:rPr>
                <w:rFonts w:ascii="Arial" w:hAnsi="Arial"/>
                <w:color w:val="1F2937"/>
                <w:sz w:val="19"/>
              </w:rPr>
              <w:t>FAO Sustainable Agriculture; Sirami et al. (2019) *Nature Ecology &amp; Evolution*.</w:t>
            </w:r>
          </w:p>
        </w:tc>
      </w:tr>
      <w:tr>
        <w:tc>
          <w:tcPr>
            <w:tcW w:type="dxa" w:w="3456"/>
            <w:shd w:fill="F9FAFB"/>
            <w:tcMar>
              <w:top w:w="100" w:type="dxa"/>
              <w:bottom w:w="100" w:type="dxa"/>
              <w:left w:w="160" w:type="dxa"/>
              <w:right w:w="160" w:type="dxa"/>
            </w:tcMar>
          </w:tcPr>
          <w:p>
            <w:pPr>
              <w:jc w:val="left"/>
            </w:pPr>
            <w:r>
              <w:rPr>
                <w:rFonts w:ascii="Arial" w:hAnsi="Arial"/>
                <w:color w:val="1F2937"/>
                <w:sz w:val="19"/>
              </w:rPr>
              <w:t>Agroforestry Systems</w:t>
            </w:r>
          </w:p>
        </w:tc>
        <w:tc>
          <w:tcPr>
            <w:tcW w:type="dxa" w:w="5904"/>
            <w:shd w:fill="F9FAFB"/>
            <w:tcMar>
              <w:top w:w="100" w:type="dxa"/>
              <w:bottom w:w="100" w:type="dxa"/>
              <w:left w:w="160" w:type="dxa"/>
              <w:right w:w="160" w:type="dxa"/>
            </w:tcMar>
          </w:tcPr>
          <w:p>
            <w:pPr>
              <w:jc w:val="left"/>
            </w:pPr>
            <w:r>
              <w:rPr>
                <w:rFonts w:ascii="Arial" w:hAnsi="Arial"/>
                <w:color w:val="1F2937"/>
                <w:sz w:val="19"/>
              </w:rPr>
              <w:t>FAO Agroforestry Guidelines; Nair, P.K.R. (1993) *An Introduction to Agroforestry*.</w:t>
            </w:r>
          </w:p>
        </w:tc>
      </w:tr>
      <w:tr>
        <w:tc>
          <w:tcPr>
            <w:tcW w:type="dxa" w:w="3456"/>
            <w:shd w:fill="FFFFFF"/>
            <w:tcMar>
              <w:top w:w="100" w:type="dxa"/>
              <w:bottom w:w="100" w:type="dxa"/>
              <w:left w:w="160" w:type="dxa"/>
              <w:right w:w="160" w:type="dxa"/>
            </w:tcMar>
          </w:tcPr>
          <w:p>
            <w:pPr>
              <w:jc w:val="left"/>
            </w:pPr>
            <w:r>
              <w:rPr>
                <w:rFonts w:ascii="Arial" w:hAnsi="Arial"/>
                <w:color w:val="1F2937"/>
                <w:sz w:val="19"/>
              </w:rPr>
              <w:t>Biodiversity &amp; Indicators</w:t>
            </w:r>
          </w:p>
        </w:tc>
        <w:tc>
          <w:tcPr>
            <w:tcW w:type="dxa" w:w="5904"/>
            <w:shd w:fill="FFFFFF"/>
            <w:tcMar>
              <w:top w:w="100" w:type="dxa"/>
              <w:bottom w:w="100" w:type="dxa"/>
              <w:left w:w="160" w:type="dxa"/>
              <w:right w:w="160" w:type="dxa"/>
            </w:tcMar>
          </w:tcPr>
          <w:p>
            <w:pPr>
              <w:jc w:val="left"/>
            </w:pPr>
            <w:r>
              <w:rPr>
                <w:rFonts w:ascii="Arial" w:hAnsi="Arial"/>
                <w:color w:val="1F2937"/>
                <w:sz w:val="19"/>
              </w:rPr>
              <w:t>IPBES (2019) Global Assessment Report on Biodiversity and Ecosystem Services.</w:t>
            </w:r>
          </w:p>
        </w:tc>
      </w:tr>
      <w:tr>
        <w:tc>
          <w:tcPr>
            <w:tcW w:type="dxa" w:w="3456"/>
            <w:shd w:fill="F9FAFB"/>
            <w:tcMar>
              <w:top w:w="100" w:type="dxa"/>
              <w:bottom w:w="100" w:type="dxa"/>
              <w:left w:w="160" w:type="dxa"/>
              <w:right w:w="160" w:type="dxa"/>
            </w:tcMar>
          </w:tcPr>
          <w:p>
            <w:pPr>
              <w:jc w:val="left"/>
            </w:pPr>
            <w:r>
              <w:rPr>
                <w:rFonts w:ascii="Arial" w:hAnsi="Arial"/>
                <w:color w:val="1F2937"/>
                <w:sz w:val="19"/>
              </w:rPr>
              <w:t>Rainfall &amp; Water Resources</w:t>
            </w:r>
          </w:p>
        </w:tc>
        <w:tc>
          <w:tcPr>
            <w:tcW w:type="dxa" w:w="5904"/>
            <w:shd w:fill="F9FAFB"/>
            <w:tcMar>
              <w:top w:w="100" w:type="dxa"/>
              <w:bottom w:w="100" w:type="dxa"/>
              <w:left w:w="160" w:type="dxa"/>
              <w:right w:w="160" w:type="dxa"/>
            </w:tcMar>
          </w:tcPr>
          <w:p>
            <w:pPr>
              <w:jc w:val="left"/>
            </w:pPr>
            <w:r>
              <w:rPr>
                <w:rFonts w:ascii="Arial" w:hAnsi="Arial"/>
                <w:color w:val="1F2937"/>
                <w:sz w:val="19"/>
              </w:rPr>
              <w:t>IPCC AR6 Working Group II Chapter 4 (Water); FAO AQUASTAT.</w:t>
            </w:r>
          </w:p>
        </w:tc>
      </w:tr>
      <w:tr>
        <w:tc>
          <w:tcPr>
            <w:tcW w:type="dxa" w:w="3456"/>
            <w:shd w:fill="FFFFFF"/>
            <w:tcMar>
              <w:top w:w="100" w:type="dxa"/>
              <w:bottom w:w="100" w:type="dxa"/>
              <w:left w:w="160" w:type="dxa"/>
              <w:right w:w="160" w:type="dxa"/>
            </w:tcMar>
          </w:tcPr>
          <w:p>
            <w:pPr>
              <w:jc w:val="left"/>
            </w:pPr>
            <w:r>
              <w:rPr>
                <w:rFonts w:ascii="Arial" w:hAnsi="Arial"/>
                <w:color w:val="1F2937"/>
                <w:sz w:val="19"/>
              </w:rPr>
              <w:t>Temperature &amp; Thermal Stress</w:t>
            </w:r>
          </w:p>
        </w:tc>
        <w:tc>
          <w:tcPr>
            <w:tcW w:type="dxa" w:w="5904"/>
            <w:shd w:fill="FFFFFF"/>
            <w:tcMar>
              <w:top w:w="100" w:type="dxa"/>
              <w:bottom w:w="100" w:type="dxa"/>
              <w:left w:w="160" w:type="dxa"/>
              <w:right w:w="160" w:type="dxa"/>
            </w:tcMar>
          </w:tcPr>
          <w:p>
            <w:pPr>
              <w:jc w:val="left"/>
            </w:pPr>
            <w:r>
              <w:rPr>
                <w:rFonts w:ascii="Arial" w:hAnsi="Arial"/>
                <w:color w:val="1F2937"/>
                <w:sz w:val="19"/>
              </w:rPr>
              <w:t>IPCC AR6 WG2 Chapter 2 (Terrestrial Ecosystems); Lobell et al. (2011) *Nature Climate*.</w:t>
            </w:r>
          </w:p>
        </w:tc>
      </w:tr>
      <w:tr>
        <w:tc>
          <w:tcPr>
            <w:tcW w:type="dxa" w:w="3456"/>
            <w:shd w:fill="F9FAFB"/>
            <w:tcMar>
              <w:top w:w="100" w:type="dxa"/>
              <w:bottom w:w="100" w:type="dxa"/>
              <w:left w:w="160" w:type="dxa"/>
              <w:right w:w="160" w:type="dxa"/>
            </w:tcMar>
          </w:tcPr>
          <w:p>
            <w:pPr>
              <w:jc w:val="left"/>
            </w:pPr>
            <w:r>
              <w:rPr>
                <w:rFonts w:ascii="Arial" w:hAnsi="Arial"/>
                <w:color w:val="1F2937"/>
                <w:sz w:val="19"/>
              </w:rPr>
              <w:t>Deforestation &amp; Land Degradation</w:t>
            </w:r>
          </w:p>
        </w:tc>
        <w:tc>
          <w:tcPr>
            <w:tcW w:type="dxa" w:w="5904"/>
            <w:shd w:fill="F9FAFB"/>
            <w:tcMar>
              <w:top w:w="100" w:type="dxa"/>
              <w:bottom w:w="100" w:type="dxa"/>
              <w:left w:w="160" w:type="dxa"/>
              <w:right w:w="160" w:type="dxa"/>
            </w:tcMar>
          </w:tcPr>
          <w:p>
            <w:pPr>
              <w:jc w:val="left"/>
            </w:pPr>
            <w:r>
              <w:rPr>
                <w:rFonts w:ascii="Arial" w:hAnsi="Arial"/>
                <w:color w:val="1F2937"/>
                <w:sz w:val="19"/>
              </w:rPr>
              <w:t>FAO (2020) Global Forest Resources Assessment; IPBES Land Degradation Assessment.</w:t>
            </w:r>
          </w:p>
        </w:tc>
      </w:tr>
      <w:tr>
        <w:tc>
          <w:tcPr>
            <w:tcW w:type="dxa" w:w="3456"/>
            <w:shd w:fill="FFFFFF"/>
            <w:tcMar>
              <w:top w:w="100" w:type="dxa"/>
              <w:bottom w:w="100" w:type="dxa"/>
              <w:left w:w="160" w:type="dxa"/>
              <w:right w:w="160" w:type="dxa"/>
            </w:tcMar>
          </w:tcPr>
          <w:p>
            <w:pPr>
              <w:jc w:val="left"/>
            </w:pPr>
            <w:r>
              <w:rPr>
                <w:rFonts w:ascii="Arial" w:hAnsi="Arial"/>
                <w:color w:val="1F2937"/>
                <w:sz w:val="19"/>
              </w:rPr>
              <w:t>Pollution &amp; Contamination</w:t>
            </w:r>
          </w:p>
        </w:tc>
        <w:tc>
          <w:tcPr>
            <w:tcW w:type="dxa" w:w="5904"/>
            <w:shd w:fill="FFFFFF"/>
            <w:tcMar>
              <w:top w:w="100" w:type="dxa"/>
              <w:bottom w:w="100" w:type="dxa"/>
              <w:left w:w="160" w:type="dxa"/>
              <w:right w:w="160" w:type="dxa"/>
            </w:tcMar>
          </w:tcPr>
          <w:p>
            <w:pPr>
              <w:jc w:val="left"/>
            </w:pPr>
            <w:r>
              <w:rPr>
                <w:rFonts w:ascii="Arial" w:hAnsi="Arial"/>
                <w:color w:val="1F2937"/>
                <w:sz w:val="19"/>
              </w:rPr>
              <w:t>UNEP (2019) Global Environment Outlook 6; Kadlec &amp; Wallace (2009) *Treatment Wetlands*.</w:t>
            </w:r>
          </w:p>
        </w:tc>
      </w:tr>
      <w:tr>
        <w:tc>
          <w:tcPr>
            <w:tcW w:type="dxa" w:w="3456"/>
            <w:shd w:fill="F9FAFB"/>
            <w:tcMar>
              <w:top w:w="100" w:type="dxa"/>
              <w:bottom w:w="100" w:type="dxa"/>
              <w:left w:w="160" w:type="dxa"/>
              <w:right w:w="160" w:type="dxa"/>
            </w:tcMar>
          </w:tcPr>
          <w:p>
            <w:pPr>
              <w:jc w:val="left"/>
            </w:pPr>
            <w:r>
              <w:rPr>
                <w:rFonts w:ascii="Arial" w:hAnsi="Arial"/>
                <w:color w:val="1F2937"/>
                <w:sz w:val="19"/>
              </w:rPr>
              <w:t>Wetland Conservation</w:t>
            </w:r>
          </w:p>
        </w:tc>
        <w:tc>
          <w:tcPr>
            <w:tcW w:type="dxa" w:w="5904"/>
            <w:shd w:fill="F9FAFB"/>
            <w:tcMar>
              <w:top w:w="100" w:type="dxa"/>
              <w:bottom w:w="100" w:type="dxa"/>
              <w:left w:w="160" w:type="dxa"/>
              <w:right w:w="160" w:type="dxa"/>
            </w:tcMar>
          </w:tcPr>
          <w:p>
            <w:pPr>
              <w:jc w:val="left"/>
            </w:pPr>
            <w:r>
              <w:rPr>
                <w:rFonts w:ascii="Arial" w:hAnsi="Arial"/>
                <w:color w:val="1F2937"/>
                <w:sz w:val="19"/>
              </w:rPr>
              <w:t>Ramsar Convention Secretariat, Global Wetland Outlook; Joosten &amp; Clarke (2002).</w:t>
            </w:r>
          </w:p>
        </w:tc>
      </w:tr>
    </w:tbl>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Borders>
              <w:top w:val="none"/>
              <w:left w:val="single" w:sz="24" w:space="0" w:color="1B4D3E"/>
              <w:bottom w:val="none"/>
              <w:right w:val="none"/>
            </w:tcBorders>
          </w:tcPr>
          <w:p>
            <w:r>
              <w:rPr>
                <w:rFonts w:ascii="Arial" w:hAnsi="Arial"/>
                <w:b/>
                <w:color w:val="1B4D3E"/>
                <w:sz w:val="20"/>
              </w:rPr>
              <w:t xml:space="preserve">[RAG ZERO-OVERHEAD CACHING] </w:t>
            </w:r>
            <w:r>
              <w:rPr>
                <w:rFonts w:ascii="Arial" w:hAnsi="Arial"/>
                <w:color w:val="1F2937"/>
                <w:sz w:val="19"/>
              </w:rPr>
              <w:t>ChromaDB stores 57 document vectors in the 'environmental_knowledge' collection using HNSW indexing with cosine space. To guarantee sub-second startup on memory-constrained servers, all 57 embeddings were precomputed into 'precomputed_embeddings.json'. ChromaDB loads cached vectors directly at boot time, executing zero embedding API calls.</w:t>
            </w:r>
          </w:p>
        </w:tc>
      </w:tr>
    </w:tbl>
    <w:p/>
    <w:p>
      <w:pPr>
        <w:keepNext/>
        <w:spacing w:before="360" w:after="160"/>
      </w:pPr>
      <w:r>
        <w:rPr>
          <w:rFonts w:ascii="Arial" w:hAnsi="Arial"/>
          <w:b/>
          <w:color w:val="1B4D3E"/>
          <w:sz w:val="32"/>
        </w:rPr>
        <w:t>8. Multi-Metric Reasoning Engine</w:t>
      </w:r>
    </w:p>
    <w:p>
      <w:pPr>
        <w:spacing w:after="120"/>
      </w:pPr>
      <w:r>
        <w:t>A cornerstone of the Darukaa challenge is demonstrating genuine multi-variable reasoning across 3 or more environmental parameters simultaneously. Rather than delegating multi-variable analysis entirely to LLM probabilistic text prediction, Darukaa.Earth implements deterministic compound interaction algorithms in `src/reasoning.py`.</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B4D3E"/>
            <w:tcMar>
              <w:top w:w="140" w:type="dxa"/>
              <w:bottom w:w="140" w:type="dxa"/>
              <w:left w:w="180" w:type="dxa"/>
              <w:right w:w="180" w:type="dxa"/>
            </w:tcMar>
          </w:tcPr>
          <w:p>
            <w:pPr>
              <w:jc w:val="left"/>
            </w:pPr>
            <w:r>
              <w:rPr>
                <w:rFonts w:ascii="Arial" w:hAnsi="Arial"/>
                <w:b/>
                <w:color w:val="FFFFFF"/>
                <w:sz w:val="20"/>
              </w:rPr>
              <w:t>Compound Rule</w:t>
            </w:r>
          </w:p>
        </w:tc>
        <w:tc>
          <w:tcPr>
            <w:tcW w:type="dxa" w:w="2592"/>
            <w:shd w:fill="1B4D3E"/>
            <w:tcMar>
              <w:top w:w="140" w:type="dxa"/>
              <w:bottom w:w="140" w:type="dxa"/>
              <w:left w:w="180" w:type="dxa"/>
              <w:right w:w="180" w:type="dxa"/>
            </w:tcMar>
          </w:tcPr>
          <w:p>
            <w:pPr>
              <w:jc w:val="left"/>
            </w:pPr>
            <w:r>
              <w:rPr>
                <w:rFonts w:ascii="Arial" w:hAnsi="Arial"/>
                <w:b/>
                <w:color w:val="FFFFFF"/>
                <w:sz w:val="20"/>
              </w:rPr>
              <w:t>Trigger Condition</w:t>
            </w:r>
          </w:p>
        </w:tc>
        <w:tc>
          <w:tcPr>
            <w:tcW w:type="dxa" w:w="4176"/>
            <w:shd w:fill="1B4D3E"/>
            <w:tcMar>
              <w:top w:w="140" w:type="dxa"/>
              <w:bottom w:w="140" w:type="dxa"/>
              <w:left w:w="180" w:type="dxa"/>
              <w:right w:w="180" w:type="dxa"/>
            </w:tcMar>
          </w:tcPr>
          <w:p>
            <w:pPr>
              <w:jc w:val="left"/>
            </w:pPr>
            <w:r>
              <w:rPr>
                <w:rFonts w:ascii="Arial" w:hAnsi="Arial"/>
                <w:b/>
                <w:color w:val="FFFFFF"/>
                <w:sz w:val="20"/>
              </w:rPr>
              <w:t>Biogeochemical &amp; Ecological Mechanism</w:t>
            </w:r>
          </w:p>
        </w:tc>
      </w:tr>
      <w:tr>
        <w:tc>
          <w:tcPr>
            <w:tcW w:type="dxa" w:w="2592"/>
            <w:shd w:fill="FFFFFF"/>
            <w:tcMar>
              <w:top w:w="100" w:type="dxa"/>
              <w:bottom w:w="100" w:type="dxa"/>
              <w:left w:w="160" w:type="dxa"/>
              <w:right w:w="160" w:type="dxa"/>
            </w:tcMar>
          </w:tcPr>
          <w:p>
            <w:pPr>
              <w:jc w:val="left"/>
            </w:pPr>
            <w:r>
              <w:rPr>
                <w:rFonts w:ascii="Arial" w:hAnsi="Arial"/>
                <w:color w:val="1F2937"/>
                <w:sz w:val="19"/>
              </w:rPr>
              <w:t>Arid Heat-Drought Stress</w:t>
              <w:br/>
              <w:t>(Temp + Rain + Moisture)</w:t>
            </w:r>
          </w:p>
        </w:tc>
        <w:tc>
          <w:tcPr>
            <w:tcW w:type="dxa" w:w="2592"/>
            <w:shd w:fill="FFFFFF"/>
            <w:tcMar>
              <w:top w:w="100" w:type="dxa"/>
              <w:bottom w:w="100" w:type="dxa"/>
              <w:left w:w="160" w:type="dxa"/>
              <w:right w:w="160" w:type="dxa"/>
            </w:tcMar>
          </w:tcPr>
          <w:p>
            <w:pPr>
              <w:jc w:val="left"/>
            </w:pPr>
            <w:r>
              <w:rPr>
                <w:rFonts w:ascii="Arial" w:hAnsi="Arial"/>
                <w:color w:val="1F2937"/>
                <w:sz w:val="19"/>
              </w:rPr>
              <w:t>Temperature &gt;= 30°C</w:t>
              <w:br/>
              <w:t>Rainfall &lt;= 500 mm</w:t>
              <w:br/>
              <w:t>Moisture &lt;= 30%</w:t>
            </w:r>
          </w:p>
        </w:tc>
        <w:tc>
          <w:tcPr>
            <w:tcW w:type="dxa" w:w="4176"/>
            <w:shd w:fill="FFFFFF"/>
            <w:tcMar>
              <w:top w:w="100" w:type="dxa"/>
              <w:bottom w:w="100" w:type="dxa"/>
              <w:left w:w="160" w:type="dxa"/>
              <w:right w:w="160" w:type="dxa"/>
            </w:tcMar>
          </w:tcPr>
          <w:p>
            <w:pPr>
              <w:jc w:val="left"/>
            </w:pPr>
            <w:r>
              <w:rPr>
                <w:rFonts w:ascii="Arial" w:hAnsi="Arial"/>
                <w:color w:val="1F2937"/>
                <w:sz w:val="19"/>
              </w:rPr>
              <w:t>Elevated temperature drives exponential vapor pressure deficit (evapotranspiration) while low rainfall and depleted soil moisture eliminate plant-available water. Shading, surface residue retention, and drought-hardy root systems must be prioritized immediately.</w:t>
            </w:r>
          </w:p>
        </w:tc>
      </w:tr>
      <w:tr>
        <w:tc>
          <w:tcPr>
            <w:tcW w:type="dxa" w:w="2592"/>
            <w:shd w:fill="F9FAFB"/>
            <w:tcMar>
              <w:top w:w="100" w:type="dxa"/>
              <w:bottom w:w="100" w:type="dxa"/>
              <w:left w:w="160" w:type="dxa"/>
              <w:right w:w="160" w:type="dxa"/>
            </w:tcMar>
          </w:tcPr>
          <w:p>
            <w:pPr>
              <w:jc w:val="left"/>
            </w:pPr>
            <w:r>
              <w:rPr>
                <w:rFonts w:ascii="Arial" w:hAnsi="Arial"/>
                <w:color w:val="1F2937"/>
                <w:sz w:val="19"/>
              </w:rPr>
              <w:t>Biochemical Limitation</w:t>
              <w:br/>
              <w:t>(Soil pH + SOC + Moisture)</w:t>
            </w:r>
          </w:p>
        </w:tc>
        <w:tc>
          <w:tcPr>
            <w:tcW w:type="dxa" w:w="2592"/>
            <w:shd w:fill="F9FAFB"/>
            <w:tcMar>
              <w:top w:w="100" w:type="dxa"/>
              <w:bottom w:w="100" w:type="dxa"/>
              <w:left w:w="160" w:type="dxa"/>
              <w:right w:w="160" w:type="dxa"/>
            </w:tcMar>
          </w:tcPr>
          <w:p>
            <w:pPr>
              <w:jc w:val="left"/>
            </w:pPr>
            <w:r>
              <w:rPr>
                <w:rFonts w:ascii="Arial" w:hAnsi="Arial"/>
                <w:color w:val="1F2937"/>
                <w:sz w:val="19"/>
              </w:rPr>
              <w:t>Soil pH &lt; 5.5</w:t>
              <w:br/>
              <w:t>SOC &lt; 1.0%</w:t>
              <w:br/>
              <w:t>Moisture &lt;= 30%</w:t>
            </w:r>
          </w:p>
        </w:tc>
        <w:tc>
          <w:tcPr>
            <w:tcW w:type="dxa" w:w="4176"/>
            <w:shd w:fill="F9FAFB"/>
            <w:tcMar>
              <w:top w:w="100" w:type="dxa"/>
              <w:bottom w:w="100" w:type="dxa"/>
              <w:left w:w="160" w:type="dxa"/>
              <w:right w:w="160" w:type="dxa"/>
            </w:tcMar>
          </w:tcPr>
          <w:p>
            <w:pPr>
              <w:jc w:val="left"/>
            </w:pPr>
            <w:r>
              <w:rPr>
                <w:rFonts w:ascii="Arial" w:hAnsi="Arial"/>
                <w:color w:val="1F2937"/>
                <w:sz w:val="19"/>
              </w:rPr>
              <w:t>Strongly acidic conditions induce aluminum toxicity and phosphorus fixation. Concurrently, depleted SOC eliminates cation exchange capacity and moisture buffering. Liming and organic buffering must precede biological inoculants or cover crops.</w:t>
            </w:r>
          </w:p>
        </w:tc>
      </w:tr>
      <w:tr>
        <w:tc>
          <w:tcPr>
            <w:tcW w:type="dxa" w:w="2592"/>
            <w:shd w:fill="FFFFFF"/>
            <w:tcMar>
              <w:top w:w="100" w:type="dxa"/>
              <w:bottom w:w="100" w:type="dxa"/>
              <w:left w:w="160" w:type="dxa"/>
              <w:right w:w="160" w:type="dxa"/>
            </w:tcMar>
          </w:tcPr>
          <w:p>
            <w:pPr>
              <w:jc w:val="left"/>
            </w:pPr>
            <w:r>
              <w:rPr>
                <w:rFonts w:ascii="Arial" w:hAnsi="Arial"/>
                <w:color w:val="1F2937"/>
                <w:sz w:val="19"/>
              </w:rPr>
              <w:t>Carbon Degradation</w:t>
              <w:br/>
              <w:t>(Temp + SOC + Rainfall)</w:t>
            </w:r>
          </w:p>
        </w:tc>
        <w:tc>
          <w:tcPr>
            <w:tcW w:type="dxa" w:w="2592"/>
            <w:shd w:fill="FFFFFF"/>
            <w:tcMar>
              <w:top w:w="100" w:type="dxa"/>
              <w:bottom w:w="100" w:type="dxa"/>
              <w:left w:w="160" w:type="dxa"/>
              <w:right w:w="160" w:type="dxa"/>
            </w:tcMar>
          </w:tcPr>
          <w:p>
            <w:pPr>
              <w:jc w:val="left"/>
            </w:pPr>
            <w:r>
              <w:rPr>
                <w:rFonts w:ascii="Arial" w:hAnsi="Arial"/>
                <w:color w:val="1F2937"/>
                <w:sz w:val="19"/>
              </w:rPr>
              <w:t>Temperature &gt;= 30°C</w:t>
              <w:br/>
              <w:t>SOC &lt; 1.0%</w:t>
              <w:br/>
              <w:t>Rainfall &lt;= 500 mm</w:t>
            </w:r>
          </w:p>
        </w:tc>
        <w:tc>
          <w:tcPr>
            <w:tcW w:type="dxa" w:w="4176"/>
            <w:shd w:fill="FFFFFF"/>
            <w:tcMar>
              <w:top w:w="100" w:type="dxa"/>
              <w:bottom w:w="100" w:type="dxa"/>
              <w:left w:w="160" w:type="dxa"/>
              <w:right w:w="160" w:type="dxa"/>
            </w:tcMar>
          </w:tcPr>
          <w:p>
            <w:pPr>
              <w:jc w:val="left"/>
            </w:pPr>
            <w:r>
              <w:rPr>
                <w:rFonts w:ascii="Arial" w:hAnsi="Arial"/>
                <w:color w:val="1F2937"/>
                <w:sz w:val="19"/>
              </w:rPr>
              <w:t>High temperatures accelerate microbial decomposition of organic matter (Q10 effect) while semi-arid rainfall restricts vegetative biomass regrowth. Soils face compounding organic pool collapse unless continuous mulch and compost are supplied.</w:t>
            </w:r>
          </w:p>
        </w:tc>
      </w:tr>
      <w:tr>
        <w:tc>
          <w:tcPr>
            <w:tcW w:type="dxa" w:w="2592"/>
            <w:shd w:fill="F9FAFB"/>
            <w:tcMar>
              <w:top w:w="100" w:type="dxa"/>
              <w:bottom w:w="100" w:type="dxa"/>
              <w:left w:w="160" w:type="dxa"/>
              <w:right w:w="160" w:type="dxa"/>
            </w:tcMar>
          </w:tcPr>
          <w:p>
            <w:pPr>
              <w:jc w:val="left"/>
            </w:pPr>
            <w:r>
              <w:rPr>
                <w:rFonts w:ascii="Arial" w:hAnsi="Arial"/>
                <w:color w:val="1F2937"/>
                <w:sz w:val="19"/>
              </w:rPr>
              <w:t>Monoculture Vulnerability</w:t>
              <w:br/>
              <w:t>(Land Use + Moisture + Rain)</w:t>
            </w:r>
          </w:p>
        </w:tc>
        <w:tc>
          <w:tcPr>
            <w:tcW w:type="dxa" w:w="2592"/>
            <w:shd w:fill="F9FAFB"/>
            <w:tcMar>
              <w:top w:w="100" w:type="dxa"/>
              <w:bottom w:w="100" w:type="dxa"/>
              <w:left w:w="160" w:type="dxa"/>
              <w:right w:w="160" w:type="dxa"/>
            </w:tcMar>
          </w:tcPr>
          <w:p>
            <w:pPr>
              <w:jc w:val="left"/>
            </w:pPr>
            <w:r>
              <w:rPr>
                <w:rFonts w:ascii="Arial" w:hAnsi="Arial"/>
                <w:color w:val="1F2937"/>
                <w:sz w:val="19"/>
              </w:rPr>
              <w:t>Monoculture</w:t>
              <w:br/>
              <w:t>Moisture &lt;= 30%</w:t>
              <w:br/>
              <w:t>Rainfall &lt;= 500 mm</w:t>
            </w:r>
          </w:p>
        </w:tc>
        <w:tc>
          <w:tcPr>
            <w:tcW w:type="dxa" w:w="4176"/>
            <w:shd w:fill="F9FAFB"/>
            <w:tcMar>
              <w:top w:w="100" w:type="dxa"/>
              <w:bottom w:w="100" w:type="dxa"/>
              <w:left w:w="160" w:type="dxa"/>
              <w:right w:w="160" w:type="dxa"/>
            </w:tcMar>
          </w:tcPr>
          <w:p>
            <w:pPr>
              <w:jc w:val="left"/>
            </w:pPr>
            <w:r>
              <w:rPr>
                <w:rFonts w:ascii="Arial" w:hAnsi="Arial"/>
                <w:color w:val="1F2937"/>
                <w:sz w:val="19"/>
              </w:rPr>
              <w:t>Single-crop farming under moisture deficit depletes a single rooting horizon and elevates pathogen vulnerability. Introducing deep-rooting, drought-hardy crop rotations is essential to diversify water extraction profiles.</w:t>
            </w:r>
          </w:p>
        </w:tc>
      </w:tr>
      <w:tr>
        <w:tc>
          <w:tcPr>
            <w:tcW w:type="dxa" w:w="2592"/>
            <w:shd w:fill="FFFFFF"/>
            <w:tcMar>
              <w:top w:w="100" w:type="dxa"/>
              <w:bottom w:w="100" w:type="dxa"/>
              <w:left w:w="160" w:type="dxa"/>
              <w:right w:w="160" w:type="dxa"/>
            </w:tcMar>
          </w:tcPr>
          <w:p>
            <w:pPr>
              <w:jc w:val="left"/>
            </w:pPr>
            <w:r>
              <w:rPr>
                <w:rFonts w:ascii="Arial" w:hAnsi="Arial"/>
                <w:color w:val="1F2937"/>
                <w:sz w:val="19"/>
              </w:rPr>
              <w:t>Wetland Eutrophication</w:t>
              <w:br/>
              <w:t>(Wetland + Pollution + Biodiversity)</w:t>
            </w:r>
          </w:p>
        </w:tc>
        <w:tc>
          <w:tcPr>
            <w:tcW w:type="dxa" w:w="2592"/>
            <w:shd w:fill="FFFFFF"/>
            <w:tcMar>
              <w:top w:w="100" w:type="dxa"/>
              <w:bottom w:w="100" w:type="dxa"/>
              <w:left w:w="160" w:type="dxa"/>
              <w:right w:w="160" w:type="dxa"/>
            </w:tcMar>
          </w:tcPr>
          <w:p>
            <w:pPr>
              <w:jc w:val="left"/>
            </w:pPr>
            <w:r>
              <w:rPr>
                <w:rFonts w:ascii="Arial" w:hAnsi="Arial"/>
                <w:color w:val="1F2937"/>
                <w:sz w:val="19"/>
              </w:rPr>
              <w:t>Wetland land use</w:t>
              <w:br/>
              <w:t>Pollution = Severe</w:t>
              <w:br/>
              <w:t>Biodiversity &lt; 2.0</w:t>
            </w:r>
          </w:p>
        </w:tc>
        <w:tc>
          <w:tcPr>
            <w:tcW w:type="dxa" w:w="4176"/>
            <w:shd w:fill="FFFFFF"/>
            <w:tcMar>
              <w:top w:w="100" w:type="dxa"/>
              <w:bottom w:w="100" w:type="dxa"/>
              <w:left w:w="160" w:type="dxa"/>
              <w:right w:w="160" w:type="dxa"/>
            </w:tcMar>
          </w:tcPr>
          <w:p>
            <w:pPr>
              <w:jc w:val="left"/>
            </w:pPr>
            <w:r>
              <w:rPr>
                <w:rFonts w:ascii="Arial" w:hAnsi="Arial"/>
                <w:color w:val="1F2937"/>
                <w:sz w:val="19"/>
              </w:rPr>
              <w:t>Excessive nutrient or chemical discharge into degraded wetlands overwhelms biological assimilation, inducing hypoxia and trophic collapse. Constructed buffer cells and native macrophytes are urgent to restore filtration.</w:t>
            </w:r>
          </w:p>
        </w:tc>
      </w:tr>
    </w:tbl>
    <w:p/>
    <w:p>
      <w:pPr>
        <w:keepNext/>
        <w:spacing w:before="360" w:after="160"/>
      </w:pPr>
      <w:r>
        <w:rPr>
          <w:rFonts w:ascii="Arial" w:hAnsi="Arial"/>
          <w:b/>
          <w:color w:val="1B4D3E"/>
          <w:sz w:val="32"/>
        </w:rPr>
        <w:t>9. Conversational Intelligence &amp; Incomplete Data</w:t>
      </w:r>
    </w:p>
    <w:p>
      <w:pPr>
        <w:spacing w:after="120"/>
      </w:pPr>
      <w:r>
        <w:t>In real-world agricultural scenarios, users rarely present complete environmental dossiers on their first turn. Darukaa.Earth handles incomplete data with scientific transparency through a dual-mode response strategy:</w:t>
      </w:r>
    </w:p>
    <w:p>
      <w:pPr>
        <w:pStyle w:val="ListBullet"/>
        <w:spacing w:after="60"/>
      </w:pPr>
      <w:r>
        <w:rPr>
          <w:b/>
          <w:color w:val="1F2937"/>
        </w:rPr>
        <w:t xml:space="preserve">Proactive Clarifying Questions: </w:t>
      </w:r>
      <w:r>
        <w:rPr>
          <w:color w:val="374151"/>
        </w:rPr>
        <w:t>When fewer than 4 critical variables are provided, the system does NOT issue an ungrounded definitive prescription. Instead, it leads with 2–3 targeted clarifying questions asking for the most influential missing parameters (e.g. soil pH, annual rainfall, cropping history).</w:t>
      </w:r>
    </w:p>
    <w:p>
      <w:pPr>
        <w:pStyle w:val="ListBullet"/>
        <w:spacing w:after="60"/>
      </w:pPr>
      <w:r>
        <w:rPr>
          <w:b/>
          <w:color w:val="1F2937"/>
        </w:rPr>
        <w:t xml:space="preserve">Scientific Contextualization: </w:t>
      </w:r>
      <w:r>
        <w:rPr>
          <w:color w:val="374151"/>
        </w:rPr>
        <w:t>Each clarifying question explicitly explains WHY the missing variable is ecologically decisive (e.g. 'What is your soil pH? Crucial because pH below 5.5 triggers aluminum toxicity while extreme pH limits phosphorus availability').</w:t>
      </w:r>
    </w:p>
    <w:p>
      <w:pPr>
        <w:pStyle w:val="ListBullet"/>
        <w:spacing w:after="60"/>
      </w:pPr>
      <w:r>
        <w:rPr>
          <w:b/>
          <w:color w:val="1F2937"/>
        </w:rPr>
        <w:t xml:space="preserve">Provisional Guidance: </w:t>
      </w:r>
      <w:r>
        <w:rPr>
          <w:color w:val="374151"/>
        </w:rPr>
        <w:t>Even when data is incomplete, the system provides provisional, high-level guidance grounded in what is known, ensuring the user immediately receives valuable direction.</w:t>
      </w:r>
    </w:p>
    <w:p>
      <w:pPr>
        <w:pStyle w:val="ListBullet"/>
        <w:spacing w:after="60"/>
      </w:pPr>
      <w:r>
        <w:rPr>
          <w:b/>
          <w:color w:val="1F2937"/>
        </w:rPr>
        <w:t xml:space="preserve">Progressive Context Accumulation: </w:t>
      </w:r>
      <w:r>
        <w:rPr>
          <w:color w:val="374151"/>
        </w:rPr>
        <w:t>As the user answers clarifying questions across successive turns, `ConversationManager` maintains an in-memory session record keyed by `conversation_id`. It dynamically merges new environmental parameters with previously stored observations, progressively refining recommendations without losing earlier context.</w:t>
      </w:r>
    </w:p>
    <w:p>
      <w:pPr>
        <w:keepNext/>
        <w:spacing w:before="360" w:after="160"/>
      </w:pPr>
      <w:r>
        <w:rPr>
          <w:rFonts w:ascii="Arial" w:hAnsi="Arial"/>
          <w:b/>
          <w:color w:val="1B4D3E"/>
          <w:sz w:val="32"/>
        </w:rPr>
        <w:t>10. Standardized Recommendation Format</w:t>
      </w:r>
    </w:p>
    <w:p>
      <w:pPr>
        <w:spacing w:after="120"/>
      </w:pPr>
      <w:r>
        <w:t>Every ecological intervention generated by Darukaa.Earth adheres to a strict 7-field structured schema. The backend regex parser (`_parse_recommendations_from_response` in `src/conversation.py`) parses the LLM output into strongly typed `RecommendationItem` objects for client consumption:</w:t>
      </w:r>
    </w:p>
    <w:tbl>
      <w:tblPr>
        <w:tblW w:type="auto" w:w="0"/>
        <w:jc w:val="center"/>
        <w:tblLayout w:type="fixed"/>
        <w:tblLook w:firstColumn="1" w:firstRow="1" w:lastColumn="0" w:lastRow="0" w:noHBand="0" w:noVBand="1" w:val="04A0"/>
      </w:tblPr>
      <w:tblGrid>
        <w:gridCol w:w="4680"/>
        <w:gridCol w:w="4680"/>
      </w:tblGrid>
      <w:tr>
        <w:tc>
          <w:tcPr>
            <w:tcW w:type="dxa" w:w="3024"/>
            <w:shd w:fill="1B4D3E"/>
            <w:tcMar>
              <w:top w:w="140" w:type="dxa"/>
              <w:bottom w:w="140" w:type="dxa"/>
              <w:left w:w="180" w:type="dxa"/>
              <w:right w:w="180" w:type="dxa"/>
            </w:tcMar>
          </w:tcPr>
          <w:p>
            <w:pPr>
              <w:jc w:val="left"/>
            </w:pPr>
            <w:r>
              <w:rPr>
                <w:rFonts w:ascii="Arial" w:hAnsi="Arial"/>
                <w:b/>
                <w:color w:val="FFFFFF"/>
                <w:sz w:val="20"/>
              </w:rPr>
              <w:t>Schema Field</w:t>
            </w:r>
          </w:p>
        </w:tc>
        <w:tc>
          <w:tcPr>
            <w:tcW w:type="dxa" w:w="6336"/>
            <w:shd w:fill="1B4D3E"/>
            <w:tcMar>
              <w:top w:w="140" w:type="dxa"/>
              <w:bottom w:w="140" w:type="dxa"/>
              <w:left w:w="180" w:type="dxa"/>
              <w:right w:w="180" w:type="dxa"/>
            </w:tcMar>
          </w:tcPr>
          <w:p>
            <w:pPr>
              <w:jc w:val="left"/>
            </w:pPr>
            <w:r>
              <w:rPr>
                <w:rFonts w:ascii="Arial" w:hAnsi="Arial"/>
                <w:b/>
                <w:color w:val="FFFFFF"/>
                <w:sz w:val="20"/>
              </w:rPr>
              <w:t>Description and Scientific Grounding Requirement</w:t>
            </w:r>
          </w:p>
        </w:tc>
      </w:tr>
      <w:tr>
        <w:tc>
          <w:tcPr>
            <w:tcW w:type="dxa" w:w="3024"/>
            <w:shd w:fill="FFFFFF"/>
            <w:tcMar>
              <w:top w:w="100" w:type="dxa"/>
              <w:bottom w:w="100" w:type="dxa"/>
              <w:left w:w="160" w:type="dxa"/>
              <w:right w:w="160" w:type="dxa"/>
            </w:tcMar>
          </w:tcPr>
          <w:p>
            <w:pPr>
              <w:jc w:val="left"/>
            </w:pPr>
            <w:r>
              <w:rPr>
                <w:rFonts w:ascii="Arial" w:hAnsi="Arial"/>
                <w:color w:val="1F2937"/>
                <w:sz w:val="19"/>
              </w:rPr>
              <w:t>action</w:t>
            </w:r>
          </w:p>
        </w:tc>
        <w:tc>
          <w:tcPr>
            <w:tcW w:type="dxa" w:w="6336"/>
            <w:shd w:fill="FFFFFF"/>
            <w:tcMar>
              <w:top w:w="100" w:type="dxa"/>
              <w:bottom w:w="100" w:type="dxa"/>
              <w:left w:w="160" w:type="dxa"/>
              <w:right w:w="160" w:type="dxa"/>
            </w:tcMar>
          </w:tcPr>
          <w:p>
            <w:pPr>
              <w:jc w:val="left"/>
            </w:pPr>
            <w:r>
              <w:rPr>
                <w:rFonts w:ascii="Arial" w:hAnsi="Arial"/>
                <w:color w:val="1F2937"/>
                <w:sz w:val="19"/>
              </w:rPr>
              <w:t>Concrete, actionable intervention (e.g. 'Apply agricultural limestone to raise soil pH toward 6.0–7.0').</w:t>
            </w:r>
          </w:p>
        </w:tc>
      </w:tr>
      <w:tr>
        <w:tc>
          <w:tcPr>
            <w:tcW w:type="dxa" w:w="3024"/>
            <w:shd w:fill="F9FAFB"/>
            <w:tcMar>
              <w:top w:w="100" w:type="dxa"/>
              <w:bottom w:w="100" w:type="dxa"/>
              <w:left w:w="160" w:type="dxa"/>
              <w:right w:w="160" w:type="dxa"/>
            </w:tcMar>
          </w:tcPr>
          <w:p>
            <w:pPr>
              <w:jc w:val="left"/>
            </w:pPr>
            <w:r>
              <w:rPr>
                <w:rFonts w:ascii="Arial" w:hAnsi="Arial"/>
                <w:color w:val="1F2937"/>
                <w:sz w:val="19"/>
              </w:rPr>
              <w:t>scientific_basis</w:t>
            </w:r>
          </w:p>
        </w:tc>
        <w:tc>
          <w:tcPr>
            <w:tcW w:type="dxa" w:w="6336"/>
            <w:shd w:fill="F9FAFB"/>
            <w:tcMar>
              <w:top w:w="100" w:type="dxa"/>
              <w:bottom w:w="100" w:type="dxa"/>
              <w:left w:w="160" w:type="dxa"/>
              <w:right w:w="160" w:type="dxa"/>
            </w:tcMar>
          </w:tcPr>
          <w:p>
            <w:pPr>
              <w:jc w:val="left"/>
            </w:pPr>
            <w:r>
              <w:rPr>
                <w:rFonts w:ascii="Arial" w:hAnsi="Arial"/>
                <w:color w:val="1F2937"/>
                <w:sz w:val="19"/>
              </w:rPr>
              <w:t>The biogeochemical, hydrological, or biological mechanism explaining why the intervention works.</w:t>
            </w:r>
          </w:p>
        </w:tc>
      </w:tr>
      <w:tr>
        <w:tc>
          <w:tcPr>
            <w:tcW w:type="dxa" w:w="3024"/>
            <w:shd w:fill="FFFFFF"/>
            <w:tcMar>
              <w:top w:w="100" w:type="dxa"/>
              <w:bottom w:w="100" w:type="dxa"/>
              <w:left w:w="160" w:type="dxa"/>
              <w:right w:w="160" w:type="dxa"/>
            </w:tcMar>
          </w:tcPr>
          <w:p>
            <w:pPr>
              <w:jc w:val="left"/>
            </w:pPr>
            <w:r>
              <w:rPr>
                <w:rFonts w:ascii="Arial" w:hAnsi="Arial"/>
                <w:color w:val="1F2937"/>
                <w:sz w:val="19"/>
              </w:rPr>
              <w:t>metrics_affected</w:t>
            </w:r>
          </w:p>
        </w:tc>
        <w:tc>
          <w:tcPr>
            <w:tcW w:type="dxa" w:w="6336"/>
            <w:shd w:fill="FFFFFF"/>
            <w:tcMar>
              <w:top w:w="100" w:type="dxa"/>
              <w:bottom w:w="100" w:type="dxa"/>
              <w:left w:w="160" w:type="dxa"/>
              <w:right w:w="160" w:type="dxa"/>
            </w:tcMar>
          </w:tcPr>
          <w:p>
            <w:pPr>
              <w:jc w:val="left"/>
            </w:pPr>
            <w:r>
              <w:rPr>
                <w:rFonts w:ascii="Arial" w:hAnsi="Arial"/>
                <w:color w:val="1F2937"/>
                <w:sz w:val="19"/>
              </w:rPr>
              <w:t>List of environmental variables positively impacted (e.g. ['soil_ph', 'aluminum_toxicity_reduction']).</w:t>
            </w:r>
          </w:p>
        </w:tc>
      </w:tr>
      <w:tr>
        <w:tc>
          <w:tcPr>
            <w:tcW w:type="dxa" w:w="3024"/>
            <w:shd w:fill="F9FAFB"/>
            <w:tcMar>
              <w:top w:w="100" w:type="dxa"/>
              <w:bottom w:w="100" w:type="dxa"/>
              <w:left w:w="160" w:type="dxa"/>
              <w:right w:w="160" w:type="dxa"/>
            </w:tcMar>
          </w:tcPr>
          <w:p>
            <w:pPr>
              <w:jc w:val="left"/>
            </w:pPr>
            <w:r>
              <w:rPr>
                <w:rFonts w:ascii="Arial" w:hAnsi="Arial"/>
                <w:color w:val="1F2937"/>
                <w:sz w:val="19"/>
              </w:rPr>
              <w:t>time_horizon</w:t>
            </w:r>
          </w:p>
        </w:tc>
        <w:tc>
          <w:tcPr>
            <w:tcW w:type="dxa" w:w="6336"/>
            <w:shd w:fill="F9FAFB"/>
            <w:tcMar>
              <w:top w:w="100" w:type="dxa"/>
              <w:bottom w:w="100" w:type="dxa"/>
              <w:left w:w="160" w:type="dxa"/>
              <w:right w:w="160" w:type="dxa"/>
            </w:tcMar>
          </w:tcPr>
          <w:p>
            <w:pPr>
              <w:jc w:val="left"/>
            </w:pPr>
            <w:r>
              <w:rPr>
                <w:rFonts w:ascii="Arial" w:hAnsi="Arial"/>
                <w:color w:val="1F2937"/>
                <w:sz w:val="19"/>
              </w:rPr>
              <w:t>Scientifically realistic response timeline (e.g. '3–6 months for initial reaction; 1–2 years for equilibrium').</w:t>
            </w:r>
          </w:p>
        </w:tc>
      </w:tr>
      <w:tr>
        <w:tc>
          <w:tcPr>
            <w:tcW w:type="dxa" w:w="3024"/>
            <w:shd w:fill="FFFFFF"/>
            <w:tcMar>
              <w:top w:w="100" w:type="dxa"/>
              <w:bottom w:w="100" w:type="dxa"/>
              <w:left w:w="160" w:type="dxa"/>
              <w:right w:w="160" w:type="dxa"/>
            </w:tcMar>
          </w:tcPr>
          <w:p>
            <w:pPr>
              <w:jc w:val="left"/>
            </w:pPr>
            <w:r>
              <w:rPr>
                <w:rFonts w:ascii="Arial" w:hAnsi="Arial"/>
                <w:color w:val="1F2937"/>
                <w:sz w:val="19"/>
              </w:rPr>
              <w:t>measurable_improvement</w:t>
            </w:r>
          </w:p>
        </w:tc>
        <w:tc>
          <w:tcPr>
            <w:tcW w:type="dxa" w:w="6336"/>
            <w:shd w:fill="FFFFFF"/>
            <w:tcMar>
              <w:top w:w="100" w:type="dxa"/>
              <w:bottom w:w="100" w:type="dxa"/>
              <w:left w:w="160" w:type="dxa"/>
              <w:right w:w="160" w:type="dxa"/>
            </w:tcMar>
          </w:tcPr>
          <w:p>
            <w:pPr>
              <w:jc w:val="left"/>
            </w:pPr>
            <w:r>
              <w:rPr>
                <w:rFonts w:ascii="Arial" w:hAnsi="Arial"/>
                <w:color w:val="1F2937"/>
                <w:sz w:val="19"/>
              </w:rPr>
              <w:t>Evidence-grounded quantitative or qualitative estimate (e.g. '5–10 tonnes/ha/year compost application').</w:t>
            </w:r>
          </w:p>
        </w:tc>
      </w:tr>
      <w:tr>
        <w:tc>
          <w:tcPr>
            <w:tcW w:type="dxa" w:w="3024"/>
            <w:shd w:fill="F9FAFB"/>
            <w:tcMar>
              <w:top w:w="100" w:type="dxa"/>
              <w:bottom w:w="100" w:type="dxa"/>
              <w:left w:w="160" w:type="dxa"/>
              <w:right w:w="160" w:type="dxa"/>
            </w:tcMar>
          </w:tcPr>
          <w:p>
            <w:pPr>
              <w:jc w:val="left"/>
            </w:pPr>
            <w:r>
              <w:rPr>
                <w:rFonts w:ascii="Arial" w:hAnsi="Arial"/>
                <w:color w:val="1F2937"/>
                <w:sz w:val="19"/>
              </w:rPr>
              <w:t>confidence</w:t>
            </w:r>
          </w:p>
        </w:tc>
        <w:tc>
          <w:tcPr>
            <w:tcW w:type="dxa" w:w="6336"/>
            <w:shd w:fill="F9FAFB"/>
            <w:tcMar>
              <w:top w:w="100" w:type="dxa"/>
              <w:bottom w:w="100" w:type="dxa"/>
              <w:left w:w="160" w:type="dxa"/>
              <w:right w:w="160" w:type="dxa"/>
            </w:tcMar>
          </w:tcPr>
          <w:p>
            <w:pPr>
              <w:jc w:val="left"/>
            </w:pPr>
            <w:r>
              <w:rPr>
                <w:rFonts w:ascii="Arial" w:hAnsi="Arial"/>
                <w:color w:val="1F2937"/>
                <w:sz w:val="19"/>
              </w:rPr>
              <w:t>Confidence rating: 'High', 'Moderate', or 'Low' based on literature consensus.</w:t>
            </w:r>
          </w:p>
        </w:tc>
      </w:tr>
      <w:tr>
        <w:tc>
          <w:tcPr>
            <w:tcW w:type="dxa" w:w="3024"/>
            <w:shd w:fill="FFFFFF"/>
            <w:tcMar>
              <w:top w:w="100" w:type="dxa"/>
              <w:bottom w:w="100" w:type="dxa"/>
              <w:left w:w="160" w:type="dxa"/>
              <w:right w:w="160" w:type="dxa"/>
            </w:tcMar>
          </w:tcPr>
          <w:p>
            <w:pPr>
              <w:jc w:val="left"/>
            </w:pPr>
            <w:r>
              <w:rPr>
                <w:rFonts w:ascii="Arial" w:hAnsi="Arial"/>
                <w:color w:val="1F2937"/>
                <w:sz w:val="19"/>
              </w:rPr>
              <w:t>evidence</w:t>
            </w:r>
          </w:p>
        </w:tc>
        <w:tc>
          <w:tcPr>
            <w:tcW w:type="dxa" w:w="6336"/>
            <w:shd w:fill="FFFFFF"/>
            <w:tcMar>
              <w:top w:w="100" w:type="dxa"/>
              <w:bottom w:w="100" w:type="dxa"/>
              <w:left w:w="160" w:type="dxa"/>
              <w:right w:w="160" w:type="dxa"/>
            </w:tcMar>
          </w:tcPr>
          <w:p>
            <w:pPr>
              <w:jc w:val="left"/>
            </w:pPr>
            <w:r>
              <w:rPr>
                <w:rFonts w:ascii="Arial" w:hAnsi="Arial"/>
                <w:color w:val="1F2937"/>
                <w:sz w:val="19"/>
              </w:rPr>
              <w:t>Exact peer-reviewed publication or authoritative body (e.g. 'Brady &amp; Weil (2016); USDA-NRCS').</w:t>
            </w:r>
          </w:p>
        </w:tc>
      </w:tr>
    </w:tbl>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Borders>
              <w:top w:val="none"/>
              <w:left w:val="single" w:sz="24" w:space="0" w:color="1B4D3E"/>
              <w:bottom w:val="none"/>
              <w:right w:val="none"/>
            </w:tcBorders>
          </w:tcPr>
          <w:p>
            <w:r>
              <w:rPr>
                <w:rFonts w:ascii="Arial" w:hAnsi="Arial"/>
                <w:b/>
                <w:color w:val="1B4D3E"/>
                <w:sz w:val="20"/>
              </w:rPr>
              <w:t xml:space="preserve">[EVIDENCE INTEGRITY SAFEGUARD] </w:t>
            </w:r>
            <w:r>
              <w:rPr>
                <w:rFonts w:ascii="Arial" w:hAnsi="Arial"/>
                <w:color w:val="1F2937"/>
                <w:sz w:val="19"/>
              </w:rPr>
              <w:t>Strict Scientific Grounding Rule: Quantitative claims are permitted ONLY when explicitly backed by retrieved literature (e.g., 5–10 t/ha/yr compost, 30–50% drip irrigation water savings, 40–80% wetland nitrate removal). When the underlying mechanism is texture- or climate-dependent (e.g. water retention gains from SOC, organic matter buffering), the model is strictly instructed to use qualitative statements to prevent false precision.</w:t>
            </w:r>
          </w:p>
        </w:tc>
      </w:tr>
    </w:tbl>
    <w:p/>
    <w:p>
      <w:pPr>
        <w:keepNext/>
        <w:spacing w:before="360" w:after="160"/>
      </w:pPr>
      <w:r>
        <w:rPr>
          <w:rFonts w:ascii="Arial" w:hAnsi="Arial"/>
          <w:b/>
          <w:color w:val="1B4D3E"/>
          <w:sz w:val="32"/>
        </w:rPr>
        <w:t>11. Example Use Case: Arid Wheat Monoculture</w:t>
      </w:r>
    </w:p>
    <w:p>
      <w:pPr>
        <w:spacing w:after="120"/>
      </w:pPr>
      <w:r>
        <w:t>The following scenario illustrates the complete end-to-end execution of Darukaa.Earth on a complex, multi-stressor agroecosystem:</w:t>
      </w:r>
    </w:p>
    <w:p>
      <w:pPr>
        <w:pStyle w:val="ListBullet"/>
        <w:spacing w:after="60"/>
      </w:pPr>
      <w:r>
        <w:rPr>
          <w:b/>
          <w:color w:val="1F2937"/>
        </w:rPr>
        <w:t xml:space="preserve">Soil Organic Carbon (SOC): </w:t>
      </w:r>
      <w:r>
        <w:rPr>
          <w:color w:val="374151"/>
        </w:rPr>
        <w:t>0.3% (Critically low, severe degradation)</w:t>
      </w:r>
    </w:p>
    <w:p>
      <w:pPr>
        <w:pStyle w:val="ListBullet"/>
        <w:spacing w:after="60"/>
      </w:pPr>
      <w:r>
        <w:rPr>
          <w:b/>
          <w:color w:val="1F2937"/>
        </w:rPr>
        <w:t xml:space="preserve">Soil pH: </w:t>
      </w:r>
      <w:r>
        <w:rPr>
          <w:color w:val="374151"/>
        </w:rPr>
        <w:t>5.0 (Strongly acidic, aluminum toxicity risk)</w:t>
      </w:r>
    </w:p>
    <w:p>
      <w:pPr>
        <w:pStyle w:val="ListBullet"/>
        <w:spacing w:after="60"/>
      </w:pPr>
      <w:r>
        <w:rPr>
          <w:b/>
          <w:color w:val="1F2937"/>
        </w:rPr>
        <w:t xml:space="preserve">Soil Moisture: </w:t>
      </w:r>
      <w:r>
        <w:rPr>
          <w:color w:val="374151"/>
        </w:rPr>
        <w:t>20.0% (Severe water limitation for most crops)</w:t>
      </w:r>
    </w:p>
    <w:p>
      <w:pPr>
        <w:pStyle w:val="ListBullet"/>
        <w:spacing w:after="60"/>
      </w:pPr>
      <w:r>
        <w:rPr>
          <w:b/>
          <w:color w:val="1F2937"/>
        </w:rPr>
        <w:t xml:space="preserve">Annual Rainfall: </w:t>
      </w:r>
      <w:r>
        <w:rPr>
          <w:color w:val="374151"/>
        </w:rPr>
        <w:t>350 mm/year (Semi-arid baseline)</w:t>
      </w:r>
    </w:p>
    <w:p>
      <w:pPr>
        <w:pStyle w:val="ListBullet"/>
        <w:spacing w:after="60"/>
      </w:pPr>
      <w:r>
        <w:rPr>
          <w:b/>
          <w:color w:val="1F2937"/>
        </w:rPr>
        <w:t xml:space="preserve">Land Use / Crop: </w:t>
      </w:r>
      <w:r>
        <w:rPr>
          <w:color w:val="374151"/>
        </w:rPr>
        <w:t>Wheat monoculture</w:t>
      </w:r>
    </w:p>
    <w:p>
      <w:pPr>
        <w:pStyle w:val="ListBullet"/>
        <w:spacing w:after="60"/>
      </w:pPr>
      <w:r>
        <w:rPr>
          <w:b/>
          <w:color w:val="1F2937"/>
        </w:rPr>
        <w:t xml:space="preserve">Region: </w:t>
      </w:r>
      <w:r>
        <w:rPr>
          <w:color w:val="374151"/>
        </w:rPr>
        <w:t>Semi-arid plains</w:t>
      </w:r>
    </w:p>
    <w:p>
      <w:pPr>
        <w:keepNext/>
        <w:spacing w:before="240" w:after="80"/>
      </w:pPr>
      <w:r>
        <w:rPr>
          <w:rFonts w:ascii="Arial" w:hAnsi="Arial"/>
          <w:b/>
          <w:color w:val="0D9488"/>
          <w:sz w:val="25"/>
        </w:rPr>
        <w:t>Live Generated Assessment &amp; Multi-Variable Diagnosis</w:t>
      </w:r>
    </w:p>
    <w:p>
      <w:pPr>
        <w:spacing w:after="120"/>
      </w:pPr>
      <w:r>
        <w:t>The system correctly identifies that the soil is suffering from compound biochemical and structural failure. Crucially, it diagnoses 0.3% SOC as critically low organic carbon and recognizes 20% soil moisture as an indicator of acute water limitation without making the error of converting raw moisture into '20% field capacity' or claiming an unbacked '2–6% typical healthy agricultural soils' comparison.</w:t>
      </w:r>
    </w:p>
    <w:p>
      <w:pPr>
        <w:keepNext/>
        <w:spacing w:before="240" w:after="80"/>
      </w:pPr>
      <w:r>
        <w:rPr>
          <w:rFonts w:ascii="Arial" w:hAnsi="Arial"/>
          <w:b/>
          <w:color w:val="0D9488"/>
          <w:sz w:val="25"/>
        </w:rPr>
        <w:t>Synthesized Scientific Recommendations</w:t>
      </w:r>
    </w:p>
    <w:p>
      <w:pPr>
        <w:pStyle w:val="ListBullet"/>
        <w:spacing w:after="60"/>
      </w:pPr>
      <w:r>
        <w:rPr>
          <w:b/>
          <w:color w:val="1F2937"/>
        </w:rPr>
        <w:t xml:space="preserve">1. Soil Acidity Neutralization: </w:t>
      </w:r>
      <w:r>
        <w:rPr>
          <w:color w:val="374151"/>
        </w:rPr>
        <w:t>Apply agricultural limestone or dolomitic lime to raise pH from 5.0 toward the 6.0–7.0 agronomic optimum. Mechanism: Carbonate dissolution consumes hydrogen ions and precipitates toxic soluble aluminum. Timeline: 3–6 months initial reaction, 1–2 years full equilibrium. Evidence: Brady &amp; Weil (2016); USDA-NRCS Soil Quality Indicators.</w:t>
      </w:r>
    </w:p>
    <w:p>
      <w:pPr>
        <w:pStyle w:val="ListBullet"/>
        <w:spacing w:after="60"/>
      </w:pPr>
      <w:r>
        <w:rPr>
          <w:b/>
          <w:color w:val="1F2937"/>
        </w:rPr>
        <w:t xml:space="preserve">2. Organic Carbon Accretion: </w:t>
      </w:r>
      <w:r>
        <w:rPr>
          <w:color w:val="374151"/>
        </w:rPr>
        <w:t>Incorporate compost or well-decomposed organic amendments at 5–10 tonnes/ha/year. Mechanism: Directly replenishes stable organic fractions, stimulates beneficial microbial activity, and increases cation exchange capacity (CEC) to buffer pH. Timeline: 1–2 years of continuous annual application. Evidence: FAO GSOCmap; Lal, R. (2004).</w:t>
      </w:r>
    </w:p>
    <w:p>
      <w:pPr>
        <w:pStyle w:val="ListBullet"/>
        <w:spacing w:after="60"/>
      </w:pPr>
      <w:r>
        <w:rPr>
          <w:b/>
          <w:color w:val="1F2937"/>
        </w:rPr>
        <w:t xml:space="preserve">3. Evaporation Mitigation &amp; Aggregation: </w:t>
      </w:r>
      <w:r>
        <w:rPr>
          <w:color w:val="374151"/>
        </w:rPr>
        <w:t>Adopt no-till or reduced-tillage management combined with surface residue retention and mulching. Mechanism: Preserves fungal hyphal networks and interrupts surface evaporation, improving topsoil moisture retention during dry periods. Timeline: Immediate reduction in evaporation; 3–5 years for measurable topsoil SOC accumulation. Evidence: Montgomery, D.R. (2007); Hillel, D. (2003).</w:t>
      </w:r>
    </w:p>
    <w:p>
      <w:pPr>
        <w:pStyle w:val="ListBullet"/>
        <w:spacing w:after="60"/>
      </w:pPr>
      <w:r>
        <w:rPr>
          <w:b/>
          <w:color w:val="1F2937"/>
        </w:rPr>
        <w:t xml:space="preserve">4. Cropping System Diversification: </w:t>
      </w:r>
      <w:r>
        <w:rPr>
          <w:color w:val="374151"/>
        </w:rPr>
        <w:t>Transition away from continuous wheat monoculture by introducing multi-species crop rotations with deep-rooting, drought-hardy legumes. Mechanism: Breaks pest and disease cycles, taps varied rooting depths, and supplies biologically fixed nitrogen. Timeline: 1–3 cropping seasons. Evidence: Sirami et al. (2019); McDaniel et al. (2014); FAO Sustainable Agriculture.</w:t>
      </w:r>
    </w:p>
    <w:p>
      <w:pPr>
        <w:keepNext/>
        <w:spacing w:before="360" w:after="160"/>
      </w:pPr>
      <w:r>
        <w:rPr>
          <w:rFonts w:ascii="Arial" w:hAnsi="Arial"/>
          <w:b/>
          <w:color w:val="1B4D3E"/>
          <w:sz w:val="32"/>
        </w:rPr>
        <w:t>12. Technology Stack</w:t>
      </w:r>
    </w:p>
    <w:p>
      <w:pPr>
        <w:spacing w:after="120"/>
      </w:pPr>
      <w:r>
        <w:t>The application is engineered exclusively with battle-tested, modern technologies verified in `requirements.txt` and project source code:</w:t>
      </w:r>
    </w:p>
    <w:tbl>
      <w:tblPr>
        <w:tblW w:type="auto" w:w="0"/>
        <w:jc w:val="center"/>
        <w:tblLayout w:type="fixed"/>
        <w:tblLook w:firstColumn="1" w:firstRow="1" w:lastColumn="0" w:lastRow="0" w:noHBand="0" w:noVBand="1" w:val="04A0"/>
      </w:tblPr>
      <w:tblGrid>
        <w:gridCol w:w="4680"/>
        <w:gridCol w:w="4680"/>
      </w:tblGrid>
      <w:tr>
        <w:tc>
          <w:tcPr>
            <w:tcW w:type="dxa" w:w="3312"/>
            <w:shd w:fill="1B4D3E"/>
            <w:tcMar>
              <w:top w:w="140" w:type="dxa"/>
              <w:bottom w:w="140" w:type="dxa"/>
              <w:left w:w="180" w:type="dxa"/>
              <w:right w:w="180" w:type="dxa"/>
            </w:tcMar>
          </w:tcPr>
          <w:p>
            <w:pPr>
              <w:jc w:val="left"/>
            </w:pPr>
            <w:r>
              <w:rPr>
                <w:rFonts w:ascii="Arial" w:hAnsi="Arial"/>
                <w:b/>
                <w:color w:val="FFFFFF"/>
                <w:sz w:val="20"/>
              </w:rPr>
              <w:t>Technology Layer</w:t>
            </w:r>
          </w:p>
        </w:tc>
        <w:tc>
          <w:tcPr>
            <w:tcW w:type="dxa" w:w="6048"/>
            <w:shd w:fill="1B4D3E"/>
            <w:tcMar>
              <w:top w:w="140" w:type="dxa"/>
              <w:bottom w:w="140" w:type="dxa"/>
              <w:left w:w="180" w:type="dxa"/>
              <w:right w:w="180" w:type="dxa"/>
            </w:tcMar>
          </w:tcPr>
          <w:p>
            <w:pPr>
              <w:jc w:val="left"/>
            </w:pPr>
            <w:r>
              <w:rPr>
                <w:rFonts w:ascii="Arial" w:hAnsi="Arial"/>
                <w:b/>
                <w:color w:val="FFFFFF"/>
                <w:sz w:val="20"/>
              </w:rPr>
              <w:t>Selected Stack &amp; Architectural Rationale</w:t>
            </w:r>
          </w:p>
        </w:tc>
      </w:tr>
      <w:tr>
        <w:tc>
          <w:tcPr>
            <w:tcW w:type="dxa" w:w="3312"/>
            <w:shd w:fill="FFFFFF"/>
            <w:tcMar>
              <w:top w:w="100" w:type="dxa"/>
              <w:bottom w:w="100" w:type="dxa"/>
              <w:left w:w="160" w:type="dxa"/>
              <w:right w:w="160" w:type="dxa"/>
            </w:tcMar>
          </w:tcPr>
          <w:p>
            <w:pPr>
              <w:jc w:val="left"/>
            </w:pPr>
            <w:r>
              <w:rPr>
                <w:rFonts w:ascii="Arial" w:hAnsi="Arial"/>
                <w:color w:val="1F2937"/>
                <w:sz w:val="19"/>
              </w:rPr>
              <w:t>Programming Language</w:t>
            </w:r>
          </w:p>
        </w:tc>
        <w:tc>
          <w:tcPr>
            <w:tcW w:type="dxa" w:w="6048"/>
            <w:shd w:fill="FFFFFF"/>
            <w:tcMar>
              <w:top w:w="100" w:type="dxa"/>
              <w:bottom w:w="100" w:type="dxa"/>
              <w:left w:w="160" w:type="dxa"/>
              <w:right w:w="160" w:type="dxa"/>
            </w:tcMar>
          </w:tcPr>
          <w:p>
            <w:pPr>
              <w:jc w:val="left"/>
            </w:pPr>
            <w:r>
              <w:rPr>
                <w:rFonts w:ascii="Arial" w:hAnsi="Arial"/>
                <w:color w:val="1F2937"/>
                <w:sz w:val="19"/>
              </w:rPr>
              <w:t>Python 3.12 (Strongly typed, dataclasses, async support)</w:t>
            </w:r>
          </w:p>
        </w:tc>
      </w:tr>
      <w:tr>
        <w:tc>
          <w:tcPr>
            <w:tcW w:type="dxa" w:w="3312"/>
            <w:shd w:fill="F9FAFB"/>
            <w:tcMar>
              <w:top w:w="100" w:type="dxa"/>
              <w:bottom w:w="100" w:type="dxa"/>
              <w:left w:w="160" w:type="dxa"/>
              <w:right w:w="160" w:type="dxa"/>
            </w:tcMar>
          </w:tcPr>
          <w:p>
            <w:pPr>
              <w:jc w:val="left"/>
            </w:pPr>
            <w:r>
              <w:rPr>
                <w:rFonts w:ascii="Arial" w:hAnsi="Arial"/>
                <w:color w:val="1F2937"/>
                <w:sz w:val="19"/>
              </w:rPr>
              <w:t>Backend API Framework</w:t>
            </w:r>
          </w:p>
        </w:tc>
        <w:tc>
          <w:tcPr>
            <w:tcW w:type="dxa" w:w="6048"/>
            <w:shd w:fill="F9FAFB"/>
            <w:tcMar>
              <w:top w:w="100" w:type="dxa"/>
              <w:bottom w:w="100" w:type="dxa"/>
              <w:left w:w="160" w:type="dxa"/>
              <w:right w:w="160" w:type="dxa"/>
            </w:tcMar>
          </w:tcPr>
          <w:p>
            <w:pPr>
              <w:jc w:val="left"/>
            </w:pPr>
            <w:r>
              <w:rPr>
                <w:rFonts w:ascii="Arial" w:hAnsi="Arial"/>
                <w:color w:val="1F2937"/>
                <w:sz w:val="19"/>
              </w:rPr>
              <w:t>FastAPI (v0.115+) &amp; Uvicorn (v0.30+) with ASGI asynchronous event loop</w:t>
            </w:r>
          </w:p>
        </w:tc>
      </w:tr>
      <w:tr>
        <w:tc>
          <w:tcPr>
            <w:tcW w:type="dxa" w:w="3312"/>
            <w:shd w:fill="FFFFFF"/>
            <w:tcMar>
              <w:top w:w="100" w:type="dxa"/>
              <w:bottom w:w="100" w:type="dxa"/>
              <w:left w:w="160" w:type="dxa"/>
              <w:right w:w="160" w:type="dxa"/>
            </w:tcMar>
          </w:tcPr>
          <w:p>
            <w:pPr>
              <w:jc w:val="left"/>
            </w:pPr>
            <w:r>
              <w:rPr>
                <w:rFonts w:ascii="Arial" w:hAnsi="Arial"/>
                <w:color w:val="1F2937"/>
                <w:sz w:val="19"/>
              </w:rPr>
              <w:t>Data Validation</w:t>
            </w:r>
          </w:p>
        </w:tc>
        <w:tc>
          <w:tcPr>
            <w:tcW w:type="dxa" w:w="6048"/>
            <w:shd w:fill="FFFFFF"/>
            <w:tcMar>
              <w:top w:w="100" w:type="dxa"/>
              <w:bottom w:w="100" w:type="dxa"/>
              <w:left w:w="160" w:type="dxa"/>
              <w:right w:w="160" w:type="dxa"/>
            </w:tcMar>
          </w:tcPr>
          <w:p>
            <w:pPr>
              <w:jc w:val="left"/>
            </w:pPr>
            <w:r>
              <w:rPr>
                <w:rFonts w:ascii="Arial" w:hAnsi="Arial"/>
                <w:color w:val="1F2937"/>
                <w:sz w:val="19"/>
              </w:rPr>
              <w:t>Pydantic v2 (Strict schema validation for inputs and recommendations)</w:t>
            </w:r>
          </w:p>
        </w:tc>
      </w:tr>
      <w:tr>
        <w:tc>
          <w:tcPr>
            <w:tcW w:type="dxa" w:w="3312"/>
            <w:shd w:fill="F9FAFB"/>
            <w:tcMar>
              <w:top w:w="100" w:type="dxa"/>
              <w:bottom w:w="100" w:type="dxa"/>
              <w:left w:w="160" w:type="dxa"/>
              <w:right w:w="160" w:type="dxa"/>
            </w:tcMar>
          </w:tcPr>
          <w:p>
            <w:pPr>
              <w:jc w:val="left"/>
            </w:pPr>
            <w:r>
              <w:rPr>
                <w:rFonts w:ascii="Arial" w:hAnsi="Arial"/>
                <w:color w:val="1F2937"/>
                <w:sz w:val="19"/>
              </w:rPr>
              <w:t>Frontend UI</w:t>
            </w:r>
          </w:p>
        </w:tc>
        <w:tc>
          <w:tcPr>
            <w:tcW w:type="dxa" w:w="6048"/>
            <w:shd w:fill="F9FAFB"/>
            <w:tcMar>
              <w:top w:w="100" w:type="dxa"/>
              <w:bottom w:w="100" w:type="dxa"/>
              <w:left w:w="160" w:type="dxa"/>
              <w:right w:w="160" w:type="dxa"/>
            </w:tcMar>
          </w:tcPr>
          <w:p>
            <w:pPr>
              <w:jc w:val="left"/>
            </w:pPr>
            <w:r>
              <w:rPr>
                <w:rFonts w:ascii="Arial" w:hAnsi="Arial"/>
                <w:color w:val="1F2937"/>
                <w:sz w:val="19"/>
              </w:rPr>
              <w:t>Streamlit (v1.40+) with custom CSS, responsive cards, and streaming generators</w:t>
            </w:r>
          </w:p>
        </w:tc>
      </w:tr>
      <w:tr>
        <w:tc>
          <w:tcPr>
            <w:tcW w:type="dxa" w:w="3312"/>
            <w:shd w:fill="FFFFFF"/>
            <w:tcMar>
              <w:top w:w="100" w:type="dxa"/>
              <w:bottom w:w="100" w:type="dxa"/>
              <w:left w:w="160" w:type="dxa"/>
              <w:right w:w="160" w:type="dxa"/>
            </w:tcMar>
          </w:tcPr>
          <w:p>
            <w:pPr>
              <w:jc w:val="left"/>
            </w:pPr>
            <w:r>
              <w:rPr>
                <w:rFonts w:ascii="Arial" w:hAnsi="Arial"/>
                <w:color w:val="1F2937"/>
                <w:sz w:val="19"/>
              </w:rPr>
              <w:t>Vector Database</w:t>
            </w:r>
          </w:p>
        </w:tc>
        <w:tc>
          <w:tcPr>
            <w:tcW w:type="dxa" w:w="6048"/>
            <w:shd w:fill="FFFFFF"/>
            <w:tcMar>
              <w:top w:w="100" w:type="dxa"/>
              <w:bottom w:w="100" w:type="dxa"/>
              <w:left w:w="160" w:type="dxa"/>
              <w:right w:w="160" w:type="dxa"/>
            </w:tcMar>
          </w:tcPr>
          <w:p>
            <w:pPr>
              <w:jc w:val="left"/>
            </w:pPr>
            <w:r>
              <w:rPr>
                <w:rFonts w:ascii="Arial" w:hAnsi="Arial"/>
                <w:color w:val="1F2937"/>
                <w:sz w:val="19"/>
              </w:rPr>
              <w:t>ChromaDB (v0.5+) PersistentClient with cosine distance metric and HNSW indexing</w:t>
            </w:r>
          </w:p>
        </w:tc>
      </w:tr>
      <w:tr>
        <w:tc>
          <w:tcPr>
            <w:tcW w:type="dxa" w:w="3312"/>
            <w:shd w:fill="F9FAFB"/>
            <w:tcMar>
              <w:top w:w="100" w:type="dxa"/>
              <w:bottom w:w="100" w:type="dxa"/>
              <w:left w:w="160" w:type="dxa"/>
              <w:right w:w="160" w:type="dxa"/>
            </w:tcMar>
          </w:tcPr>
          <w:p>
            <w:pPr>
              <w:jc w:val="left"/>
            </w:pPr>
            <w:r>
              <w:rPr>
                <w:rFonts w:ascii="Arial" w:hAnsi="Arial"/>
                <w:color w:val="1F2937"/>
                <w:sz w:val="19"/>
              </w:rPr>
              <w:t>Embedding API</w:t>
            </w:r>
          </w:p>
        </w:tc>
        <w:tc>
          <w:tcPr>
            <w:tcW w:type="dxa" w:w="6048"/>
            <w:shd w:fill="F9FAFB"/>
            <w:tcMar>
              <w:top w:w="100" w:type="dxa"/>
              <w:bottom w:w="100" w:type="dxa"/>
              <w:left w:w="160" w:type="dxa"/>
              <w:right w:w="160" w:type="dxa"/>
            </w:tcMar>
          </w:tcPr>
          <w:p>
            <w:pPr>
              <w:jc w:val="left"/>
            </w:pPr>
            <w:r>
              <w:rPr>
                <w:rFonts w:ascii="Arial" w:hAnsi="Arial"/>
                <w:color w:val="1F2937"/>
                <w:sz w:val="19"/>
              </w:rPr>
              <w:t>Google GenAI SDK ('gemini-embedding-001', 768-dim, zero local model memory)</w:t>
            </w:r>
          </w:p>
        </w:tc>
      </w:tr>
      <w:tr>
        <w:tc>
          <w:tcPr>
            <w:tcW w:type="dxa" w:w="3312"/>
            <w:shd w:fill="FFFFFF"/>
            <w:tcMar>
              <w:top w:w="100" w:type="dxa"/>
              <w:bottom w:w="100" w:type="dxa"/>
              <w:left w:w="160" w:type="dxa"/>
              <w:right w:w="160" w:type="dxa"/>
            </w:tcMar>
          </w:tcPr>
          <w:p>
            <w:pPr>
              <w:jc w:val="left"/>
            </w:pPr>
            <w:r>
              <w:rPr>
                <w:rFonts w:ascii="Arial" w:hAnsi="Arial"/>
                <w:color w:val="1F2937"/>
                <w:sz w:val="19"/>
              </w:rPr>
              <w:t>LLM Generation</w:t>
            </w:r>
          </w:p>
        </w:tc>
        <w:tc>
          <w:tcPr>
            <w:tcW w:type="dxa" w:w="6048"/>
            <w:shd w:fill="FFFFFF"/>
            <w:tcMar>
              <w:top w:w="100" w:type="dxa"/>
              <w:bottom w:w="100" w:type="dxa"/>
              <w:left w:w="160" w:type="dxa"/>
              <w:right w:w="160" w:type="dxa"/>
            </w:tcMar>
          </w:tcPr>
          <w:p>
            <w:pPr>
              <w:jc w:val="left"/>
            </w:pPr>
            <w:r>
              <w:rPr>
                <w:rFonts w:ascii="Arial" w:hAnsi="Arial"/>
                <w:color w:val="1F2937"/>
                <w:sz w:val="19"/>
              </w:rPr>
              <w:t>Google Gemini API ('gemini-3.5-flash-lite', low-latency, temperature=0.3)</w:t>
            </w:r>
          </w:p>
        </w:tc>
      </w:tr>
      <w:tr>
        <w:tc>
          <w:tcPr>
            <w:tcW w:type="dxa" w:w="3312"/>
            <w:shd w:fill="F9FAFB"/>
            <w:tcMar>
              <w:top w:w="100" w:type="dxa"/>
              <w:bottom w:w="100" w:type="dxa"/>
              <w:left w:w="160" w:type="dxa"/>
              <w:right w:w="160" w:type="dxa"/>
            </w:tcMar>
          </w:tcPr>
          <w:p>
            <w:pPr>
              <w:jc w:val="left"/>
            </w:pPr>
            <w:r>
              <w:rPr>
                <w:rFonts w:ascii="Arial" w:hAnsi="Arial"/>
                <w:color w:val="1F2937"/>
                <w:sz w:val="19"/>
              </w:rPr>
              <w:t>Configuration</w:t>
            </w:r>
          </w:p>
        </w:tc>
        <w:tc>
          <w:tcPr>
            <w:tcW w:type="dxa" w:w="6048"/>
            <w:shd w:fill="F9FAFB"/>
            <w:tcMar>
              <w:top w:w="100" w:type="dxa"/>
              <w:bottom w:w="100" w:type="dxa"/>
              <w:left w:w="160" w:type="dxa"/>
              <w:right w:w="160" w:type="dxa"/>
            </w:tcMar>
          </w:tcPr>
          <w:p>
            <w:pPr>
              <w:jc w:val="left"/>
            </w:pPr>
            <w:r>
              <w:rPr>
                <w:rFonts w:ascii="Arial" w:hAnsi="Arial"/>
                <w:color w:val="1F2937"/>
                <w:sz w:val="19"/>
              </w:rPr>
              <w:t>python-dotenv (Environment variables for local and cloud security)</w:t>
            </w:r>
          </w:p>
        </w:tc>
      </w:tr>
      <w:tr>
        <w:tc>
          <w:tcPr>
            <w:tcW w:type="dxa" w:w="3312"/>
            <w:shd w:fill="FFFFFF"/>
            <w:tcMar>
              <w:top w:w="100" w:type="dxa"/>
              <w:bottom w:w="100" w:type="dxa"/>
              <w:left w:w="160" w:type="dxa"/>
              <w:right w:w="160" w:type="dxa"/>
            </w:tcMar>
          </w:tcPr>
          <w:p>
            <w:pPr>
              <w:jc w:val="left"/>
            </w:pPr>
            <w:r>
              <w:rPr>
                <w:rFonts w:ascii="Arial" w:hAnsi="Arial"/>
                <w:color w:val="1F2937"/>
                <w:sz w:val="19"/>
              </w:rPr>
              <w:t>Cloud Hosting</w:t>
            </w:r>
          </w:p>
        </w:tc>
        <w:tc>
          <w:tcPr>
            <w:tcW w:type="dxa" w:w="6048"/>
            <w:shd w:fill="FFFFFF"/>
            <w:tcMar>
              <w:top w:w="100" w:type="dxa"/>
              <w:bottom w:w="100" w:type="dxa"/>
              <w:left w:w="160" w:type="dxa"/>
              <w:right w:w="160" w:type="dxa"/>
            </w:tcMar>
          </w:tcPr>
          <w:p>
            <w:pPr>
              <w:jc w:val="left"/>
            </w:pPr>
            <w:r>
              <w:rPr>
                <w:rFonts w:ascii="Arial" w:hAnsi="Arial"/>
                <w:color w:val="1F2937"/>
                <w:sz w:val="19"/>
              </w:rPr>
              <w:t>Render (Web Service, auto-deploy) + Streamlit Community Cloud</w:t>
            </w:r>
          </w:p>
        </w:tc>
      </w:tr>
    </w:tbl>
    <w:p/>
    <w:p>
      <w:pPr>
        <w:keepNext/>
        <w:spacing w:before="360" w:after="160"/>
      </w:pPr>
      <w:r>
        <w:rPr>
          <w:rFonts w:ascii="Arial" w:hAnsi="Arial"/>
          <w:b/>
          <w:color w:val="1B4D3E"/>
          <w:sz w:val="32"/>
        </w:rPr>
        <w:t>13. Knowledge Base &amp; Database Schema</w:t>
      </w:r>
    </w:p>
    <w:p>
      <w:pPr>
        <w:spacing w:after="120"/>
      </w:pPr>
      <w:r>
        <w:t>The knowledge base is structured as a normalized JSON catalog in `data/environmental_data/knowledge.json`. Each document schema consists of the following attributes:</w:t>
      </w:r>
    </w:p>
    <w:tbl>
      <w:tblPr>
        <w:tblW w:type="auto" w:w="0"/>
        <w:jc w:val="center"/>
        <w:tblLook w:firstColumn="1" w:firstRow="1" w:lastColumn="0" w:lastRow="0" w:noHBand="0" w:noVBand="1" w:val="04A0"/>
      </w:tblPr>
      <w:tblGrid>
        <w:gridCol w:w="9360"/>
      </w:tblGrid>
      <w:tr>
        <w:tc>
          <w:tcPr>
            <w:tcW w:type="dxa" w:w="9360"/>
            <w:shd w:fill="F3F4F6"/>
            <w:tcMar>
              <w:top w:w="100" w:type="dxa"/>
              <w:bottom w:w="100" w:type="dxa"/>
              <w:left w:w="160" w:type="dxa"/>
              <w:right w:w="160" w:type="dxa"/>
            </w:tcMar>
          </w:tcPr>
          <w:p>
            <w:pPr>
              <w:spacing w:line="276" w:lineRule="auto" w:before="0" w:after="0"/>
            </w:pPr>
            <w:r>
              <w:rPr>
                <w:rFonts w:ascii="Consolas" w:hAnsi="Consolas"/>
                <w:color w:val="111827"/>
                <w:sz w:val="17"/>
              </w:rPr>
              <w:t>{</w:t>
              <w:br/>
              <w:t xml:space="preserve">  "id": "soc_001",</w:t>
              <w:br/>
              <w:t xml:space="preserve">  "topic": "soil organic carbon",</w:t>
              <w:br/>
              <w:t xml:space="preserve">  "category": "soil_health",</w:t>
              <w:br/>
              <w:t xml:space="preserve">  "environmental_variables": ["soil_organic_carbon", "soil_health", "biodiversity", "water_retention"],</w:t>
              <w:br/>
              <w:t xml:space="preserve">  "knowledge": "Soil organic carbon (SOC) is a key indicator of soil health...",</w:t>
              <w:br/>
              <w:t xml:space="preserve">  "thresholds": {</w:t>
              <w:br/>
              <w:t xml:space="preserve">    "critical_low": 0.5,</w:t>
              <w:br/>
              <w:t xml:space="preserve">    "low": 1.0,</w:t>
              <w:br/>
              <w:t xml:space="preserve">    "moderate": 2.0,</w:t>
              <w:br/>
              <w:t xml:space="preserve">    "good": 3.0,</w:t>
              <w:br/>
              <w:t xml:space="preserve">    "excellent": 5.0,</w:t>
              <w:br/>
              <w:t xml:space="preserve">    "unit": "percent"</w:t>
              <w:br/>
              <w:t xml:space="preserve">  },</w:t>
              <w:br/>
              <w:t xml:space="preserve">  "interactions": {</w:t>
              <w:br/>
              <w:t xml:space="preserve">    "soil_ph": "SOC decomposition rates are affected by pH...",</w:t>
              <w:br/>
              <w:t xml:space="preserve">    "soil_moisture": "Adequate moisture promotes microbial decomposition...",</w:t>
              <w:br/>
              <w:t xml:space="preserve">    "temperature": "Higher temperatures generally accelerate SOC decomposition..."</w:t>
              <w:br/>
              <w:t xml:space="preserve">  },</w:t>
              <w:br/>
              <w:t xml:space="preserve">  "recommended_actions": [</w:t>
              <w:br/>
              <w:t xml:space="preserve">    {</w:t>
              <w:br/>
              <w:t xml:space="preserve">      "action": "Implement cover cropping with legume-grass mixtures",</w:t>
              <w:br/>
              <w:t xml:space="preserve">      "scientific_basis": "Cover crops add biomass and root exudates...",</w:t>
              <w:br/>
              <w:t xml:space="preserve">      "metrics_affected": ["soil_organic_carbon", "soil_biodiversity", "nitrogen_cycling"],</w:t>
              <w:br/>
              <w:t xml:space="preserve">      "time_horizon": "1-3 years for measurable SOC increase; 5+ years for significant improvement",</w:t>
              <w:br/>
              <w:t xml:space="preserve">      "confidence": "high",</w:t>
              <w:br/>
              <w:t xml:space="preserve">      "measurable_improvement": "Measurable SOC accumulation in topsoil over 3-5 years..."</w:t>
              <w:br/>
              <w:t xml:space="preserve">    }</w:t>
              <w:br/>
              <w:t xml:space="preserve">  ],</w:t>
              <w:br/>
              <w:t xml:space="preserve">  "source": "FAO Global Soil Organic Carbon Map (GSOCmap); Lal, R. (2004)..."</w:t>
              <w:br/>
              <w:t>}</w:t>
            </w:r>
          </w:p>
        </w:tc>
      </w:tr>
    </w:tbl>
    <w:p/>
    <w:p>
      <w:pPr>
        <w:spacing w:after="120"/>
      </w:pPr>
      <w:r>
        <w:t>Supported Environmental Input Parameters (14 fields in `EnvironmentalData` Pydantic model):</w:t>
      </w:r>
    </w:p>
    <w:p>
      <w:pPr>
        <w:pStyle w:val="ListBullet"/>
        <w:spacing w:after="60"/>
      </w:pPr>
      <w:r>
        <w:rPr>
          <w:b/>
          <w:color w:val="1F2937"/>
        </w:rPr>
        <w:t xml:space="preserve">Soil Parameters: </w:t>
      </w:r>
      <w:r>
        <w:rPr>
          <w:color w:val="374151"/>
        </w:rPr>
        <w:t>soil_organic_carbon (float, %), soil_ph (float, 0–14), soil_moisture (float, %)</w:t>
      </w:r>
    </w:p>
    <w:p>
      <w:pPr>
        <w:pStyle w:val="ListBullet"/>
        <w:spacing w:after="60"/>
      </w:pPr>
      <w:r>
        <w:rPr>
          <w:b/>
          <w:color w:val="1F2937"/>
        </w:rPr>
        <w:t xml:space="preserve">Climate Parameters: </w:t>
      </w:r>
      <w:r>
        <w:rPr>
          <w:color w:val="374151"/>
        </w:rPr>
        <w:t>rainfall (float, mm/yr), temperature (float, °C)</w:t>
      </w:r>
    </w:p>
    <w:p>
      <w:pPr>
        <w:pStyle w:val="ListBullet"/>
        <w:spacing w:after="60"/>
      </w:pPr>
      <w:r>
        <w:rPr>
          <w:b/>
          <w:color w:val="1F2937"/>
        </w:rPr>
        <w:t xml:space="preserve">Land Use Parameters: </w:t>
      </w:r>
      <w:r>
        <w:rPr>
          <w:color w:val="374151"/>
        </w:rPr>
        <w:t>land_use (str, e.g. 'wheat monoculture'), crop_type (str), region (str)</w:t>
      </w:r>
    </w:p>
    <w:p>
      <w:pPr>
        <w:pStyle w:val="ListBullet"/>
        <w:spacing w:after="60"/>
      </w:pPr>
      <w:r>
        <w:rPr>
          <w:b/>
          <w:color w:val="1F2937"/>
        </w:rPr>
        <w:t xml:space="preserve">Ecological Parameters: </w:t>
      </w:r>
      <w:r>
        <w:rPr>
          <w:color w:val="374151"/>
        </w:rPr>
        <w:t>biodiversity_index (float, Shannon), pollution_level (str, low/mod/high/severe), deforestation_rate (float, %/yr)</w:t>
      </w:r>
    </w:p>
    <w:p>
      <w:pPr>
        <w:pStyle w:val="ListBullet"/>
        <w:spacing w:after="60"/>
      </w:pPr>
      <w:r>
        <w:rPr>
          <w:b/>
          <w:color w:val="1F2937"/>
        </w:rPr>
        <w:t xml:space="preserve">Geospatial &amp; Contextual: </w:t>
      </w:r>
      <w:r>
        <w:rPr>
          <w:color w:val="374151"/>
        </w:rPr>
        <w:t>latitude (float), longitude (float), additional_notes (str)</w:t>
      </w:r>
    </w:p>
    <w:p>
      <w:pPr>
        <w:keepNext/>
        <w:spacing w:before="360" w:after="160"/>
      </w:pPr>
      <w:r>
        <w:rPr>
          <w:rFonts w:ascii="Arial" w:hAnsi="Arial"/>
          <w:b/>
          <w:color w:val="1B4D3E"/>
          <w:sz w:val="32"/>
        </w:rPr>
        <w:t>14. API Endpoints &amp; Interfaces</w:t>
      </w:r>
    </w:p>
    <w:p>
      <w:pPr>
        <w:spacing w:after="120"/>
      </w:pPr>
      <w:r>
        <w:t>The FastAPI backend (`app/api.py`) exposes 5 endpoints supporting synchronous chat, streaming responses, session management, and administrative index operations: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296"/>
            <w:shd w:fill="1B4D3E"/>
            <w:tcMar>
              <w:top w:w="140" w:type="dxa"/>
              <w:bottom w:w="140" w:type="dxa"/>
              <w:left w:w="180" w:type="dxa"/>
              <w:right w:w="180" w:type="dxa"/>
            </w:tcMar>
          </w:tcPr>
          <w:p>
            <w:pPr>
              <w:jc w:val="left"/>
            </w:pPr>
            <w:r>
              <w:rPr>
                <w:rFonts w:ascii="Arial" w:hAnsi="Arial"/>
                <w:b/>
                <w:color w:val="FFFFFF"/>
                <w:sz w:val="20"/>
              </w:rPr>
              <w:t>Method</w:t>
            </w:r>
          </w:p>
        </w:tc>
        <w:tc>
          <w:tcPr>
            <w:tcW w:type="dxa" w:w="2592"/>
            <w:shd w:fill="1B4D3E"/>
            <w:tcMar>
              <w:top w:w="140" w:type="dxa"/>
              <w:bottom w:w="140" w:type="dxa"/>
              <w:left w:w="180" w:type="dxa"/>
              <w:right w:w="180" w:type="dxa"/>
            </w:tcMar>
          </w:tcPr>
          <w:p>
            <w:pPr>
              <w:jc w:val="left"/>
            </w:pPr>
            <w:r>
              <w:rPr>
                <w:rFonts w:ascii="Arial" w:hAnsi="Arial"/>
                <w:b/>
                <w:color w:val="FFFFFF"/>
                <w:sz w:val="20"/>
              </w:rPr>
              <w:t>Endpoint</w:t>
            </w:r>
          </w:p>
        </w:tc>
        <w:tc>
          <w:tcPr>
            <w:tcW w:type="dxa" w:w="2016"/>
            <w:shd w:fill="1B4D3E"/>
            <w:tcMar>
              <w:top w:w="140" w:type="dxa"/>
              <w:bottom w:w="140" w:type="dxa"/>
              <w:left w:w="180" w:type="dxa"/>
              <w:right w:w="180" w:type="dxa"/>
            </w:tcMar>
          </w:tcPr>
          <w:p>
            <w:pPr>
              <w:jc w:val="left"/>
            </w:pPr>
            <w:r>
              <w:rPr>
                <w:rFonts w:ascii="Arial" w:hAnsi="Arial"/>
                <w:b/>
                <w:color w:val="FFFFFF"/>
                <w:sz w:val="20"/>
              </w:rPr>
              <w:t>Function</w:t>
            </w:r>
          </w:p>
        </w:tc>
        <w:tc>
          <w:tcPr>
            <w:tcW w:type="dxa" w:w="3456"/>
            <w:shd w:fill="1B4D3E"/>
            <w:tcMar>
              <w:top w:w="140" w:type="dxa"/>
              <w:bottom w:w="140" w:type="dxa"/>
              <w:left w:w="180" w:type="dxa"/>
              <w:right w:w="180" w:type="dxa"/>
            </w:tcMar>
          </w:tcPr>
          <w:p>
            <w:pPr>
              <w:jc w:val="left"/>
            </w:pPr>
            <w:r>
              <w:rPr>
                <w:rFonts w:ascii="Arial" w:hAnsi="Arial"/>
                <w:b/>
                <w:color w:val="FFFFFF"/>
                <w:sz w:val="20"/>
              </w:rPr>
              <w:t>Operational Summary</w:t>
            </w:r>
          </w:p>
        </w:tc>
      </w:tr>
      <w:tr>
        <w:tc>
          <w:tcPr>
            <w:tcW w:type="dxa" w:w="1296"/>
            <w:shd w:fill="FFFFFF"/>
            <w:tcMar>
              <w:top w:w="100" w:type="dxa"/>
              <w:bottom w:w="100" w:type="dxa"/>
              <w:left w:w="160" w:type="dxa"/>
              <w:right w:w="160" w:type="dxa"/>
            </w:tcMar>
          </w:tcPr>
          <w:p>
            <w:pPr>
              <w:jc w:val="left"/>
            </w:pPr>
            <w:r>
              <w:rPr>
                <w:rFonts w:ascii="Arial" w:hAnsi="Arial"/>
                <w:color w:val="1F2937"/>
                <w:sz w:val="19"/>
              </w:rPr>
              <w:t>GET</w:t>
            </w:r>
          </w:p>
        </w:tc>
        <w:tc>
          <w:tcPr>
            <w:tcW w:type="dxa" w:w="2592"/>
            <w:shd w:fill="FFFFFF"/>
            <w:tcMar>
              <w:top w:w="100" w:type="dxa"/>
              <w:bottom w:w="100" w:type="dxa"/>
              <w:left w:w="160" w:type="dxa"/>
              <w:right w:w="160" w:type="dxa"/>
            </w:tcMar>
          </w:tcPr>
          <w:p>
            <w:pPr>
              <w:jc w:val="left"/>
            </w:pPr>
            <w:r>
              <w:rPr>
                <w:rFonts w:ascii="Arial" w:hAnsi="Arial"/>
                <w:color w:val="1F2937"/>
                <w:sz w:val="19"/>
              </w:rPr>
              <w:t>/health</w:t>
            </w:r>
          </w:p>
        </w:tc>
        <w:tc>
          <w:tcPr>
            <w:tcW w:type="dxa" w:w="2016"/>
            <w:shd w:fill="FFFFFF"/>
            <w:tcMar>
              <w:top w:w="100" w:type="dxa"/>
              <w:bottom w:w="100" w:type="dxa"/>
              <w:left w:w="160" w:type="dxa"/>
              <w:right w:w="160" w:type="dxa"/>
            </w:tcMar>
          </w:tcPr>
          <w:p>
            <w:pPr>
              <w:jc w:val="left"/>
            </w:pPr>
            <w:r>
              <w:rPr>
                <w:rFonts w:ascii="Arial" w:hAnsi="Arial"/>
                <w:color w:val="1F2937"/>
                <w:sz w:val="19"/>
              </w:rPr>
              <w:t>Health Check</w:t>
            </w:r>
          </w:p>
        </w:tc>
        <w:tc>
          <w:tcPr>
            <w:tcW w:type="dxa" w:w="3456"/>
            <w:shd w:fill="FFFFFF"/>
            <w:tcMar>
              <w:top w:w="100" w:type="dxa"/>
              <w:bottom w:w="100" w:type="dxa"/>
              <w:left w:w="160" w:type="dxa"/>
              <w:right w:w="160" w:type="dxa"/>
            </w:tcMar>
          </w:tcPr>
          <w:p>
            <w:pPr>
              <w:jc w:val="left"/>
            </w:pPr>
            <w:r>
              <w:rPr>
                <w:rFonts w:ascii="Arial" w:hAnsi="Arial"/>
                <w:color w:val="1F2937"/>
                <w:sz w:val="19"/>
              </w:rPr>
              <w:t>Returns service status ('healthy') and ChromaDB index document count (57 docs).</w:t>
            </w:r>
          </w:p>
        </w:tc>
      </w:tr>
      <w:tr>
        <w:tc>
          <w:tcPr>
            <w:tcW w:type="dxa" w:w="1296"/>
            <w:shd w:fill="F9FAFB"/>
            <w:tcMar>
              <w:top w:w="100" w:type="dxa"/>
              <w:bottom w:w="100" w:type="dxa"/>
              <w:left w:w="160" w:type="dxa"/>
              <w:right w:w="160" w:type="dxa"/>
            </w:tcMar>
          </w:tcPr>
          <w:p>
            <w:pPr>
              <w:jc w:val="left"/>
            </w:pPr>
            <w:r>
              <w:rPr>
                <w:rFonts w:ascii="Arial" w:hAnsi="Arial"/>
                <w:color w:val="1F2937"/>
                <w:sz w:val="19"/>
              </w:rPr>
              <w:t>POST</w:t>
            </w:r>
          </w:p>
        </w:tc>
        <w:tc>
          <w:tcPr>
            <w:tcW w:type="dxa" w:w="2592"/>
            <w:shd w:fill="F9FAFB"/>
            <w:tcMar>
              <w:top w:w="100" w:type="dxa"/>
              <w:bottom w:w="100" w:type="dxa"/>
              <w:left w:w="160" w:type="dxa"/>
              <w:right w:w="160" w:type="dxa"/>
            </w:tcMar>
          </w:tcPr>
          <w:p>
            <w:pPr>
              <w:jc w:val="left"/>
            </w:pPr>
            <w:r>
              <w:rPr>
                <w:rFonts w:ascii="Arial" w:hAnsi="Arial"/>
                <w:color w:val="1F2937"/>
                <w:sz w:val="19"/>
              </w:rPr>
              <w:t>/chat</w:t>
            </w:r>
          </w:p>
        </w:tc>
        <w:tc>
          <w:tcPr>
            <w:tcW w:type="dxa" w:w="2016"/>
            <w:shd w:fill="F9FAFB"/>
            <w:tcMar>
              <w:top w:w="100" w:type="dxa"/>
              <w:bottom w:w="100" w:type="dxa"/>
              <w:left w:w="160" w:type="dxa"/>
              <w:right w:w="160" w:type="dxa"/>
            </w:tcMar>
          </w:tcPr>
          <w:p>
            <w:pPr>
              <w:jc w:val="left"/>
            </w:pPr>
            <w:r>
              <w:rPr>
                <w:rFonts w:ascii="Arial" w:hAnsi="Arial"/>
                <w:color w:val="1F2937"/>
                <w:sz w:val="19"/>
              </w:rPr>
              <w:t>Synchronous Chat</w:t>
            </w:r>
          </w:p>
        </w:tc>
        <w:tc>
          <w:tcPr>
            <w:tcW w:type="dxa" w:w="3456"/>
            <w:shd w:fill="F9FAFB"/>
            <w:tcMar>
              <w:top w:w="100" w:type="dxa"/>
              <w:bottom w:w="100" w:type="dxa"/>
              <w:left w:w="160" w:type="dxa"/>
              <w:right w:w="160" w:type="dxa"/>
            </w:tcMar>
          </w:tcPr>
          <w:p>
            <w:pPr>
              <w:jc w:val="left"/>
            </w:pPr>
            <w:r>
              <w:rPr>
                <w:rFonts w:ascii="Arial" w:hAnsi="Arial"/>
                <w:color w:val="1F2937"/>
                <w:sz w:val="19"/>
              </w:rPr>
              <w:t>Accepts ChatRequest (message, conversation_id, environmental_data). Returns full ChatResponse JSON.</w:t>
            </w:r>
          </w:p>
        </w:tc>
      </w:tr>
      <w:tr>
        <w:tc>
          <w:tcPr>
            <w:tcW w:type="dxa" w:w="1296"/>
            <w:shd w:fill="FFFFFF"/>
            <w:tcMar>
              <w:top w:w="100" w:type="dxa"/>
              <w:bottom w:w="100" w:type="dxa"/>
              <w:left w:w="160" w:type="dxa"/>
              <w:right w:w="160" w:type="dxa"/>
            </w:tcMar>
          </w:tcPr>
          <w:p>
            <w:pPr>
              <w:jc w:val="left"/>
            </w:pPr>
            <w:r>
              <w:rPr>
                <w:rFonts w:ascii="Arial" w:hAnsi="Arial"/>
                <w:color w:val="1F2937"/>
                <w:sz w:val="19"/>
              </w:rPr>
              <w:t>POST</w:t>
            </w:r>
          </w:p>
        </w:tc>
        <w:tc>
          <w:tcPr>
            <w:tcW w:type="dxa" w:w="2592"/>
            <w:shd w:fill="FFFFFF"/>
            <w:tcMar>
              <w:top w:w="100" w:type="dxa"/>
              <w:bottom w:w="100" w:type="dxa"/>
              <w:left w:w="160" w:type="dxa"/>
              <w:right w:w="160" w:type="dxa"/>
            </w:tcMar>
          </w:tcPr>
          <w:p>
            <w:pPr>
              <w:jc w:val="left"/>
            </w:pPr>
            <w:r>
              <w:rPr>
                <w:rFonts w:ascii="Arial" w:hAnsi="Arial"/>
                <w:color w:val="1F2937"/>
                <w:sz w:val="19"/>
              </w:rPr>
              <w:t>/chat/stream</w:t>
            </w:r>
          </w:p>
        </w:tc>
        <w:tc>
          <w:tcPr>
            <w:tcW w:type="dxa" w:w="2016"/>
            <w:shd w:fill="FFFFFF"/>
            <w:tcMar>
              <w:top w:w="100" w:type="dxa"/>
              <w:bottom w:w="100" w:type="dxa"/>
              <w:left w:w="160" w:type="dxa"/>
              <w:right w:w="160" w:type="dxa"/>
            </w:tcMar>
          </w:tcPr>
          <w:p>
            <w:pPr>
              <w:jc w:val="left"/>
            </w:pPr>
            <w:r>
              <w:rPr>
                <w:rFonts w:ascii="Arial" w:hAnsi="Arial"/>
                <w:color w:val="1F2937"/>
                <w:sz w:val="19"/>
              </w:rPr>
              <w:t>Streaming Chat</w:t>
            </w:r>
          </w:p>
        </w:tc>
        <w:tc>
          <w:tcPr>
            <w:tcW w:type="dxa" w:w="3456"/>
            <w:shd w:fill="FFFFFF"/>
            <w:tcMar>
              <w:top w:w="100" w:type="dxa"/>
              <w:bottom w:w="100" w:type="dxa"/>
              <w:left w:w="160" w:type="dxa"/>
              <w:right w:w="160" w:type="dxa"/>
            </w:tcMar>
          </w:tcPr>
          <w:p>
            <w:pPr>
              <w:jc w:val="left"/>
            </w:pPr>
            <w:r>
              <w:rPr>
                <w:rFonts w:ascii="Arial" w:hAnsi="Arial"/>
                <w:color w:val="1F2937"/>
                <w:sz w:val="19"/>
              </w:rPr>
              <w:t>Streams LLM tokens progressively via NDJSON ('chunk' events), concluding with final structured payload.</w:t>
            </w:r>
          </w:p>
        </w:tc>
      </w:tr>
      <w:tr>
        <w:tc>
          <w:tcPr>
            <w:tcW w:type="dxa" w:w="1296"/>
            <w:shd w:fill="F9FAFB"/>
            <w:tcMar>
              <w:top w:w="100" w:type="dxa"/>
              <w:bottom w:w="100" w:type="dxa"/>
              <w:left w:w="160" w:type="dxa"/>
              <w:right w:w="160" w:type="dxa"/>
            </w:tcMar>
          </w:tcPr>
          <w:p>
            <w:pPr>
              <w:jc w:val="left"/>
            </w:pPr>
            <w:r>
              <w:rPr>
                <w:rFonts w:ascii="Arial" w:hAnsi="Arial"/>
                <w:color w:val="1F2937"/>
                <w:sz w:val="19"/>
              </w:rPr>
              <w:t>POST</w:t>
            </w:r>
          </w:p>
        </w:tc>
        <w:tc>
          <w:tcPr>
            <w:tcW w:type="dxa" w:w="2592"/>
            <w:shd w:fill="F9FAFB"/>
            <w:tcMar>
              <w:top w:w="100" w:type="dxa"/>
              <w:bottom w:w="100" w:type="dxa"/>
              <w:left w:w="160" w:type="dxa"/>
              <w:right w:w="160" w:type="dxa"/>
            </w:tcMar>
          </w:tcPr>
          <w:p>
            <w:pPr>
              <w:jc w:val="left"/>
            </w:pPr>
            <w:r>
              <w:rPr>
                <w:rFonts w:ascii="Arial" w:hAnsi="Arial"/>
                <w:color w:val="1F2937"/>
                <w:sz w:val="19"/>
              </w:rPr>
              <w:t>/chat/{id}/clear</w:t>
            </w:r>
          </w:p>
        </w:tc>
        <w:tc>
          <w:tcPr>
            <w:tcW w:type="dxa" w:w="2016"/>
            <w:shd w:fill="F9FAFB"/>
            <w:tcMar>
              <w:top w:w="100" w:type="dxa"/>
              <w:bottom w:w="100" w:type="dxa"/>
              <w:left w:w="160" w:type="dxa"/>
              <w:right w:w="160" w:type="dxa"/>
            </w:tcMar>
          </w:tcPr>
          <w:p>
            <w:pPr>
              <w:jc w:val="left"/>
            </w:pPr>
            <w:r>
              <w:rPr>
                <w:rFonts w:ascii="Arial" w:hAnsi="Arial"/>
                <w:color w:val="1F2937"/>
                <w:sz w:val="19"/>
              </w:rPr>
              <w:t>Clear Session</w:t>
            </w:r>
          </w:p>
        </w:tc>
        <w:tc>
          <w:tcPr>
            <w:tcW w:type="dxa" w:w="3456"/>
            <w:shd w:fill="F9FAFB"/>
            <w:tcMar>
              <w:top w:w="100" w:type="dxa"/>
              <w:bottom w:w="100" w:type="dxa"/>
              <w:left w:w="160" w:type="dxa"/>
              <w:right w:w="160" w:type="dxa"/>
            </w:tcMar>
          </w:tcPr>
          <w:p>
            <w:pPr>
              <w:jc w:val="left"/>
            </w:pPr>
            <w:r>
              <w:rPr>
                <w:rFonts w:ascii="Arial" w:hAnsi="Arial"/>
                <w:color w:val="1F2937"/>
                <w:sz w:val="19"/>
              </w:rPr>
              <w:t>Flushes conversation history and accumulated environmental data for the given conversation ID.</w:t>
            </w:r>
          </w:p>
        </w:tc>
      </w:tr>
      <w:tr>
        <w:tc>
          <w:tcPr>
            <w:tcW w:type="dxa" w:w="1296"/>
            <w:shd w:fill="FFFFFF"/>
            <w:tcMar>
              <w:top w:w="100" w:type="dxa"/>
              <w:bottom w:w="100" w:type="dxa"/>
              <w:left w:w="160" w:type="dxa"/>
              <w:right w:w="160" w:type="dxa"/>
            </w:tcMar>
          </w:tcPr>
          <w:p>
            <w:pPr>
              <w:jc w:val="left"/>
            </w:pPr>
            <w:r>
              <w:rPr>
                <w:rFonts w:ascii="Arial" w:hAnsi="Arial"/>
                <w:color w:val="1F2937"/>
                <w:sz w:val="19"/>
              </w:rPr>
              <w:t>POST</w:t>
            </w:r>
          </w:p>
        </w:tc>
        <w:tc>
          <w:tcPr>
            <w:tcW w:type="dxa" w:w="2592"/>
            <w:shd w:fill="FFFFFF"/>
            <w:tcMar>
              <w:top w:w="100" w:type="dxa"/>
              <w:bottom w:w="100" w:type="dxa"/>
              <w:left w:w="160" w:type="dxa"/>
              <w:right w:w="160" w:type="dxa"/>
            </w:tcMar>
          </w:tcPr>
          <w:p>
            <w:pPr>
              <w:jc w:val="left"/>
            </w:pPr>
            <w:r>
              <w:rPr>
                <w:rFonts w:ascii="Arial" w:hAnsi="Arial"/>
                <w:color w:val="1F2937"/>
                <w:sz w:val="19"/>
              </w:rPr>
              <w:t>/admin/rebuild-index</w:t>
            </w:r>
          </w:p>
        </w:tc>
        <w:tc>
          <w:tcPr>
            <w:tcW w:type="dxa" w:w="2016"/>
            <w:shd w:fill="FFFFFF"/>
            <w:tcMar>
              <w:top w:w="100" w:type="dxa"/>
              <w:bottom w:w="100" w:type="dxa"/>
              <w:left w:w="160" w:type="dxa"/>
              <w:right w:w="160" w:type="dxa"/>
            </w:tcMar>
          </w:tcPr>
          <w:p>
            <w:pPr>
              <w:jc w:val="left"/>
            </w:pPr>
            <w:r>
              <w:rPr>
                <w:rFonts w:ascii="Arial" w:hAnsi="Arial"/>
                <w:color w:val="1F2937"/>
                <w:sz w:val="19"/>
              </w:rPr>
              <w:t>Admin Index Rebuild</w:t>
            </w:r>
          </w:p>
        </w:tc>
        <w:tc>
          <w:tcPr>
            <w:tcW w:type="dxa" w:w="3456"/>
            <w:shd w:fill="FFFFFF"/>
            <w:tcMar>
              <w:top w:w="100" w:type="dxa"/>
              <w:bottom w:w="100" w:type="dxa"/>
              <w:left w:w="160" w:type="dxa"/>
              <w:right w:w="160" w:type="dxa"/>
            </w:tcMar>
          </w:tcPr>
          <w:p>
            <w:pPr>
              <w:jc w:val="left"/>
            </w:pPr>
            <w:r>
              <w:rPr>
                <w:rFonts w:ascii="Arial" w:hAnsi="Arial"/>
                <w:color w:val="1F2937"/>
                <w:sz w:val="19"/>
              </w:rPr>
              <w:t>Forces re-ingestion and re-indexing of knowledge.json into ChromaDB.</w:t>
            </w:r>
          </w:p>
        </w:tc>
      </w:tr>
    </w:tbl>
    <w:p/>
    <w:p>
      <w:pPr>
        <w:keepNext/>
        <w:spacing w:before="360" w:after="160"/>
      </w:pPr>
      <w:r>
        <w:rPr>
          <w:rFonts w:ascii="Arial" w:hAnsi="Arial"/>
          <w:b/>
          <w:color w:val="1B4D3E"/>
          <w:sz w:val="32"/>
        </w:rPr>
        <w:t>15. Testing &amp; Validation Results</w:t>
      </w:r>
    </w:p>
    <w:p>
      <w:pPr>
        <w:spacing w:after="120"/>
      </w:pPr>
      <w:r>
        <w:t>The system has been subjected to exhaustive programmatic verification via two dedicated test harnesses demonstrating a 100% pass rate across all unit, integration, and compliance criteria:</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448"/>
            <w:shd w:fill="1B4D3E"/>
            <w:tcMar>
              <w:top w:w="140" w:type="dxa"/>
              <w:bottom w:w="140" w:type="dxa"/>
              <w:left w:w="180" w:type="dxa"/>
              <w:right w:w="180" w:type="dxa"/>
            </w:tcMar>
          </w:tcPr>
          <w:p>
            <w:pPr>
              <w:jc w:val="left"/>
            </w:pPr>
            <w:r>
              <w:rPr>
                <w:rFonts w:ascii="Arial" w:hAnsi="Arial"/>
                <w:b/>
                <w:color w:val="FFFFFF"/>
                <w:sz w:val="20"/>
              </w:rPr>
              <w:t>Test Script</w:t>
            </w:r>
          </w:p>
        </w:tc>
        <w:tc>
          <w:tcPr>
            <w:tcW w:type="dxa" w:w="3168"/>
            <w:shd w:fill="1B4D3E"/>
            <w:tcMar>
              <w:top w:w="140" w:type="dxa"/>
              <w:bottom w:w="140" w:type="dxa"/>
              <w:left w:w="180" w:type="dxa"/>
              <w:right w:w="180" w:type="dxa"/>
            </w:tcMar>
          </w:tcPr>
          <w:p>
            <w:pPr>
              <w:jc w:val="left"/>
            </w:pPr>
            <w:r>
              <w:rPr>
                <w:rFonts w:ascii="Arial" w:hAnsi="Arial"/>
                <w:b/>
                <w:color w:val="FFFFFF"/>
                <w:sz w:val="20"/>
              </w:rPr>
              <w:t>Validation Scope</w:t>
            </w:r>
          </w:p>
        </w:tc>
        <w:tc>
          <w:tcPr>
            <w:tcW w:type="dxa" w:w="1008"/>
            <w:shd w:fill="1B4D3E"/>
            <w:tcMar>
              <w:top w:w="140" w:type="dxa"/>
              <w:bottom w:w="140" w:type="dxa"/>
              <w:left w:w="180" w:type="dxa"/>
              <w:right w:w="180" w:type="dxa"/>
            </w:tcMar>
          </w:tcPr>
          <w:p>
            <w:pPr>
              <w:jc w:val="left"/>
            </w:pPr>
            <w:r>
              <w:rPr>
                <w:rFonts w:ascii="Arial" w:hAnsi="Arial"/>
                <w:b/>
                <w:color w:val="FFFFFF"/>
                <w:sz w:val="20"/>
              </w:rPr>
              <w:t>Result</w:t>
            </w:r>
          </w:p>
        </w:tc>
        <w:tc>
          <w:tcPr>
            <w:tcW w:type="dxa" w:w="2736"/>
            <w:shd w:fill="1B4D3E"/>
            <w:tcMar>
              <w:top w:w="140" w:type="dxa"/>
              <w:bottom w:w="140" w:type="dxa"/>
              <w:left w:w="180" w:type="dxa"/>
              <w:right w:w="180" w:type="dxa"/>
            </w:tcMar>
          </w:tcPr>
          <w:p>
            <w:pPr>
              <w:jc w:val="left"/>
            </w:pPr>
            <w:r>
              <w:rPr>
                <w:rFonts w:ascii="Arial" w:hAnsi="Arial"/>
                <w:b/>
                <w:color w:val="FFFFFF"/>
                <w:sz w:val="20"/>
              </w:rPr>
              <w:t>Evaluation Outcome</w:t>
            </w:r>
          </w:p>
        </w:tc>
      </w:tr>
      <w:tr>
        <w:tc>
          <w:tcPr>
            <w:tcW w:type="dxa" w:w="2448"/>
            <w:shd w:fill="FFFFFF"/>
            <w:tcMar>
              <w:top w:w="100" w:type="dxa"/>
              <w:bottom w:w="100" w:type="dxa"/>
              <w:left w:w="160" w:type="dxa"/>
              <w:right w:w="160" w:type="dxa"/>
            </w:tcMar>
          </w:tcPr>
          <w:p>
            <w:pPr>
              <w:jc w:val="left"/>
            </w:pPr>
            <w:r>
              <w:rPr>
                <w:rFonts w:ascii="Arial" w:hAnsi="Arial"/>
                <w:color w:val="1F2937"/>
                <w:sz w:val="19"/>
              </w:rPr>
              <w:t>test_final_audit.py</w:t>
            </w:r>
          </w:p>
        </w:tc>
        <w:tc>
          <w:tcPr>
            <w:tcW w:type="dxa" w:w="3168"/>
            <w:shd w:fill="FFFFFF"/>
            <w:tcMar>
              <w:top w:w="100" w:type="dxa"/>
              <w:bottom w:w="100" w:type="dxa"/>
              <w:left w:w="160" w:type="dxa"/>
              <w:right w:w="160" w:type="dxa"/>
            </w:tcMar>
          </w:tcPr>
          <w:p>
            <w:pPr>
              <w:jc w:val="left"/>
            </w:pPr>
            <w:r>
              <w:rPr>
                <w:rFonts w:ascii="Arial" w:hAnsi="Arial"/>
                <w:color w:val="1F2937"/>
                <w:sz w:val="19"/>
              </w:rPr>
              <w:t>Section 1: Deterministic Multi-Metric Reasoning</w:t>
            </w:r>
          </w:p>
        </w:tc>
        <w:tc>
          <w:tcPr>
            <w:tcW w:type="dxa" w:w="1008"/>
            <w:shd w:fill="FFFFFF"/>
            <w:tcMar>
              <w:top w:w="100" w:type="dxa"/>
              <w:bottom w:w="100" w:type="dxa"/>
              <w:left w:w="160" w:type="dxa"/>
              <w:right w:w="160" w:type="dxa"/>
            </w:tcMar>
          </w:tcPr>
          <w:p>
            <w:pPr>
              <w:jc w:val="left"/>
            </w:pPr>
            <w:r>
              <w:rPr>
                <w:rFonts w:ascii="Arial" w:hAnsi="Arial"/>
                <w:color w:val="1F2937"/>
                <w:sz w:val="19"/>
              </w:rPr>
              <w:t>PASS</w:t>
            </w:r>
          </w:p>
        </w:tc>
        <w:tc>
          <w:tcPr>
            <w:tcW w:type="dxa" w:w="2736"/>
            <w:shd w:fill="FFFFFF"/>
            <w:tcMar>
              <w:top w:w="100" w:type="dxa"/>
              <w:bottom w:w="100" w:type="dxa"/>
              <w:left w:w="160" w:type="dxa"/>
              <w:right w:w="160" w:type="dxa"/>
            </w:tcMar>
          </w:tcPr>
          <w:p>
            <w:pPr>
              <w:jc w:val="left"/>
            </w:pPr>
            <w:r>
              <w:rPr>
                <w:rFonts w:ascii="Arial" w:hAnsi="Arial"/>
                <w:color w:val="1F2937"/>
                <w:sz w:val="19"/>
              </w:rPr>
              <w:t>Verified THRESHOLDS purged of unbacked targets; all 4 3-variable rules triggered.</w:t>
            </w:r>
          </w:p>
        </w:tc>
      </w:tr>
      <w:tr>
        <w:tc>
          <w:tcPr>
            <w:tcW w:type="dxa" w:w="2448"/>
            <w:shd w:fill="F9FAFB"/>
            <w:tcMar>
              <w:top w:w="100" w:type="dxa"/>
              <w:bottom w:w="100" w:type="dxa"/>
              <w:left w:w="160" w:type="dxa"/>
              <w:right w:w="160" w:type="dxa"/>
            </w:tcMar>
          </w:tcPr>
          <w:p>
            <w:pPr>
              <w:jc w:val="left"/>
            </w:pPr>
            <w:r>
              <w:rPr>
                <w:rFonts w:ascii="Arial" w:hAnsi="Arial"/>
                <w:color w:val="1F2937"/>
                <w:sz w:val="19"/>
              </w:rPr>
              <w:t>test_final_audit.py</w:t>
            </w:r>
          </w:p>
        </w:tc>
        <w:tc>
          <w:tcPr>
            <w:tcW w:type="dxa" w:w="3168"/>
            <w:shd w:fill="F9FAFB"/>
            <w:tcMar>
              <w:top w:w="100" w:type="dxa"/>
              <w:bottom w:w="100" w:type="dxa"/>
              <w:left w:w="160" w:type="dxa"/>
              <w:right w:w="160" w:type="dxa"/>
            </w:tcMar>
          </w:tcPr>
          <w:p>
            <w:pPr>
              <w:jc w:val="left"/>
            </w:pPr>
            <w:r>
              <w:rPr>
                <w:rFonts w:ascii="Arial" w:hAnsi="Arial"/>
                <w:color w:val="1F2937"/>
                <w:sz w:val="19"/>
              </w:rPr>
              <w:t>Section 2: RAG Retrieval for 12 Topics</w:t>
            </w:r>
          </w:p>
        </w:tc>
        <w:tc>
          <w:tcPr>
            <w:tcW w:type="dxa" w:w="1008"/>
            <w:shd w:fill="F9FAFB"/>
            <w:tcMar>
              <w:top w:w="100" w:type="dxa"/>
              <w:bottom w:w="100" w:type="dxa"/>
              <w:left w:w="160" w:type="dxa"/>
              <w:right w:w="160" w:type="dxa"/>
            </w:tcMar>
          </w:tcPr>
          <w:p>
            <w:pPr>
              <w:jc w:val="left"/>
            </w:pPr>
            <w:r>
              <w:rPr>
                <w:rFonts w:ascii="Arial" w:hAnsi="Arial"/>
                <w:color w:val="1F2937"/>
                <w:sz w:val="19"/>
              </w:rPr>
              <w:t>PASS</w:t>
            </w:r>
          </w:p>
        </w:tc>
        <w:tc>
          <w:tcPr>
            <w:tcW w:type="dxa" w:w="2736"/>
            <w:shd w:fill="F9FAFB"/>
            <w:tcMar>
              <w:top w:w="100" w:type="dxa"/>
              <w:bottom w:w="100" w:type="dxa"/>
              <w:left w:w="160" w:type="dxa"/>
              <w:right w:w="160" w:type="dxa"/>
            </w:tcMar>
          </w:tcPr>
          <w:p>
            <w:pPr>
              <w:jc w:val="left"/>
            </w:pPr>
            <w:r>
              <w:rPr>
                <w:rFonts w:ascii="Arial" w:hAnsi="Arial"/>
                <w:color w:val="1F2937"/>
                <w:sz w:val="19"/>
              </w:rPr>
              <w:t>Verified 57 documents retrievable; top-1 relevance confirmed across all 12 domains.</w:t>
            </w:r>
          </w:p>
        </w:tc>
      </w:tr>
      <w:tr>
        <w:tc>
          <w:tcPr>
            <w:tcW w:type="dxa" w:w="2448"/>
            <w:shd w:fill="FFFFFF"/>
            <w:tcMar>
              <w:top w:w="100" w:type="dxa"/>
              <w:bottom w:w="100" w:type="dxa"/>
              <w:left w:w="160" w:type="dxa"/>
              <w:right w:w="160" w:type="dxa"/>
            </w:tcMar>
          </w:tcPr>
          <w:p>
            <w:pPr>
              <w:jc w:val="left"/>
            </w:pPr>
            <w:r>
              <w:rPr>
                <w:rFonts w:ascii="Arial" w:hAnsi="Arial"/>
                <w:color w:val="1F2937"/>
                <w:sz w:val="19"/>
              </w:rPr>
              <w:t>test_final_audit.py</w:t>
            </w:r>
          </w:p>
        </w:tc>
        <w:tc>
          <w:tcPr>
            <w:tcW w:type="dxa" w:w="3168"/>
            <w:shd w:fill="FFFFFF"/>
            <w:tcMar>
              <w:top w:w="100" w:type="dxa"/>
              <w:bottom w:w="100" w:type="dxa"/>
              <w:left w:w="160" w:type="dxa"/>
              <w:right w:w="160" w:type="dxa"/>
            </w:tcMar>
          </w:tcPr>
          <w:p>
            <w:pPr>
              <w:jc w:val="left"/>
            </w:pPr>
            <w:r>
              <w:rPr>
                <w:rFonts w:ascii="Arial" w:hAnsi="Arial"/>
                <w:color w:val="1F2937"/>
                <w:sz w:val="19"/>
              </w:rPr>
              <w:t>Section 3: Live Benchmark Prompt Audit</w:t>
            </w:r>
          </w:p>
        </w:tc>
        <w:tc>
          <w:tcPr>
            <w:tcW w:type="dxa" w:w="1008"/>
            <w:shd w:fill="FFFFFF"/>
            <w:tcMar>
              <w:top w:w="100" w:type="dxa"/>
              <w:bottom w:w="100" w:type="dxa"/>
              <w:left w:w="160" w:type="dxa"/>
              <w:right w:w="160" w:type="dxa"/>
            </w:tcMar>
          </w:tcPr>
          <w:p>
            <w:pPr>
              <w:jc w:val="left"/>
            </w:pPr>
            <w:r>
              <w:rPr>
                <w:rFonts w:ascii="Arial" w:hAnsi="Arial"/>
                <w:color w:val="1F2937"/>
                <w:sz w:val="19"/>
              </w:rPr>
              <w:t>PASS</w:t>
            </w:r>
          </w:p>
        </w:tc>
        <w:tc>
          <w:tcPr>
            <w:tcW w:type="dxa" w:w="2736"/>
            <w:shd w:fill="FFFFFF"/>
            <w:tcMar>
              <w:top w:w="100" w:type="dxa"/>
              <w:bottom w:w="100" w:type="dxa"/>
              <w:left w:w="160" w:type="dxa"/>
              <w:right w:w="160" w:type="dxa"/>
            </w:tcMar>
          </w:tcPr>
          <w:p>
            <w:pPr>
              <w:jc w:val="left"/>
            </w:pPr>
            <w:r>
              <w:rPr>
                <w:rFonts w:ascii="Arial" w:hAnsi="Arial"/>
                <w:color w:val="1F2937"/>
                <w:sz w:val="19"/>
              </w:rPr>
              <w:t>Confirmed complete absence of '50–75% FC' and ungrounded '2–6% SOC' claims.</w:t>
            </w:r>
          </w:p>
        </w:tc>
      </w:tr>
      <w:tr>
        <w:tc>
          <w:tcPr>
            <w:tcW w:type="dxa" w:w="2448"/>
            <w:shd w:fill="F9FAFB"/>
            <w:tcMar>
              <w:top w:w="100" w:type="dxa"/>
              <w:bottom w:w="100" w:type="dxa"/>
              <w:left w:w="160" w:type="dxa"/>
              <w:right w:w="160" w:type="dxa"/>
            </w:tcMar>
          </w:tcPr>
          <w:p>
            <w:pPr>
              <w:jc w:val="left"/>
            </w:pPr>
            <w:r>
              <w:rPr>
                <w:rFonts w:ascii="Arial" w:hAnsi="Arial"/>
                <w:color w:val="1F2937"/>
                <w:sz w:val="19"/>
              </w:rPr>
              <w:t>test_final_audit.py</w:t>
            </w:r>
          </w:p>
        </w:tc>
        <w:tc>
          <w:tcPr>
            <w:tcW w:type="dxa" w:w="3168"/>
            <w:shd w:fill="F9FAFB"/>
            <w:tcMar>
              <w:top w:w="100" w:type="dxa"/>
              <w:bottom w:w="100" w:type="dxa"/>
              <w:left w:w="160" w:type="dxa"/>
              <w:right w:w="160" w:type="dxa"/>
            </w:tcMar>
          </w:tcPr>
          <w:p>
            <w:pPr>
              <w:jc w:val="left"/>
            </w:pPr>
            <w:r>
              <w:rPr>
                <w:rFonts w:ascii="Arial" w:hAnsi="Arial"/>
                <w:color w:val="1F2937"/>
                <w:sz w:val="19"/>
              </w:rPr>
              <w:t>Section 4: Incomplete Query &amp; Clarifying Questions</w:t>
            </w:r>
          </w:p>
        </w:tc>
        <w:tc>
          <w:tcPr>
            <w:tcW w:type="dxa" w:w="1008"/>
            <w:shd w:fill="F9FAFB"/>
            <w:tcMar>
              <w:top w:w="100" w:type="dxa"/>
              <w:bottom w:w="100" w:type="dxa"/>
              <w:left w:w="160" w:type="dxa"/>
              <w:right w:w="160" w:type="dxa"/>
            </w:tcMar>
          </w:tcPr>
          <w:p>
            <w:pPr>
              <w:jc w:val="left"/>
            </w:pPr>
            <w:r>
              <w:rPr>
                <w:rFonts w:ascii="Arial" w:hAnsi="Arial"/>
                <w:color w:val="1F2937"/>
                <w:sz w:val="19"/>
              </w:rPr>
              <w:t>PASS</w:t>
            </w:r>
          </w:p>
        </w:tc>
        <w:tc>
          <w:tcPr>
            <w:tcW w:type="dxa" w:w="2736"/>
            <w:shd w:fill="F9FAFB"/>
            <w:tcMar>
              <w:top w:w="100" w:type="dxa"/>
              <w:bottom w:w="100" w:type="dxa"/>
              <w:left w:w="160" w:type="dxa"/>
              <w:right w:w="160" w:type="dxa"/>
            </w:tcMar>
          </w:tcPr>
          <w:p>
            <w:pPr>
              <w:jc w:val="left"/>
            </w:pPr>
            <w:r>
              <w:rPr>
                <w:rFonts w:ascii="Arial" w:hAnsi="Arial"/>
                <w:color w:val="1F2937"/>
                <w:sz w:val="19"/>
              </w:rPr>
              <w:t>Confirmed 3 clarifying questions generated with explicit ecological rationale.</w:t>
            </w:r>
          </w:p>
        </w:tc>
      </w:tr>
      <w:tr>
        <w:tc>
          <w:tcPr>
            <w:tcW w:type="dxa" w:w="2448"/>
            <w:shd w:fill="FFFFFF"/>
            <w:tcMar>
              <w:top w:w="100" w:type="dxa"/>
              <w:bottom w:w="100" w:type="dxa"/>
              <w:left w:w="160" w:type="dxa"/>
              <w:right w:w="160" w:type="dxa"/>
            </w:tcMar>
          </w:tcPr>
          <w:p>
            <w:pPr>
              <w:jc w:val="left"/>
            </w:pPr>
            <w:r>
              <w:rPr>
                <w:rFonts w:ascii="Arial" w:hAnsi="Arial"/>
                <w:color w:val="1F2937"/>
                <w:sz w:val="19"/>
              </w:rPr>
              <w:t>test_final_audit.py</w:t>
            </w:r>
          </w:p>
        </w:tc>
        <w:tc>
          <w:tcPr>
            <w:tcW w:type="dxa" w:w="3168"/>
            <w:shd w:fill="FFFFFF"/>
            <w:tcMar>
              <w:top w:w="100" w:type="dxa"/>
              <w:bottom w:w="100" w:type="dxa"/>
              <w:left w:w="160" w:type="dxa"/>
              <w:right w:w="160" w:type="dxa"/>
            </w:tcMar>
          </w:tcPr>
          <w:p>
            <w:pPr>
              <w:jc w:val="left"/>
            </w:pPr>
            <w:r>
              <w:rPr>
                <w:rFonts w:ascii="Arial" w:hAnsi="Arial"/>
                <w:color w:val="1F2937"/>
                <w:sz w:val="19"/>
              </w:rPr>
              <w:t>Section 5: Multi-Turn Memory &amp; Isolation</w:t>
            </w:r>
          </w:p>
        </w:tc>
        <w:tc>
          <w:tcPr>
            <w:tcW w:type="dxa" w:w="1008"/>
            <w:shd w:fill="FFFFFF"/>
            <w:tcMar>
              <w:top w:w="100" w:type="dxa"/>
              <w:bottom w:w="100" w:type="dxa"/>
              <w:left w:w="160" w:type="dxa"/>
              <w:right w:w="160" w:type="dxa"/>
            </w:tcMar>
          </w:tcPr>
          <w:p>
            <w:pPr>
              <w:jc w:val="left"/>
            </w:pPr>
            <w:r>
              <w:rPr>
                <w:rFonts w:ascii="Arial" w:hAnsi="Arial"/>
                <w:color w:val="1F2937"/>
                <w:sz w:val="19"/>
              </w:rPr>
              <w:t>PASS</w:t>
            </w:r>
          </w:p>
        </w:tc>
        <w:tc>
          <w:tcPr>
            <w:tcW w:type="dxa" w:w="2736"/>
            <w:shd w:fill="FFFFFF"/>
            <w:tcMar>
              <w:top w:w="100" w:type="dxa"/>
              <w:bottom w:w="100" w:type="dxa"/>
              <w:left w:w="160" w:type="dxa"/>
              <w:right w:w="160" w:type="dxa"/>
            </w:tcMar>
          </w:tcPr>
          <w:p>
            <w:pPr>
              <w:jc w:val="left"/>
            </w:pPr>
            <w:r>
              <w:rPr>
                <w:rFonts w:ascii="Arial" w:hAnsi="Arial"/>
                <w:color w:val="1F2937"/>
                <w:sz w:val="19"/>
              </w:rPr>
              <w:t>Verified progressive merging of 4 environmental variables across turns; sessions isolated.</w:t>
            </w:r>
          </w:p>
        </w:tc>
      </w:tr>
      <w:tr>
        <w:tc>
          <w:tcPr>
            <w:tcW w:type="dxa" w:w="2448"/>
            <w:shd w:fill="F9FAFB"/>
            <w:tcMar>
              <w:top w:w="100" w:type="dxa"/>
              <w:bottom w:w="100" w:type="dxa"/>
              <w:left w:w="160" w:type="dxa"/>
              <w:right w:w="160" w:type="dxa"/>
            </w:tcMar>
          </w:tcPr>
          <w:p>
            <w:pPr>
              <w:jc w:val="left"/>
            </w:pPr>
            <w:r>
              <w:rPr>
                <w:rFonts w:ascii="Arial" w:hAnsi="Arial"/>
                <w:color w:val="1F2937"/>
                <w:sz w:val="19"/>
              </w:rPr>
              <w:t>test_final_audit.py</w:t>
            </w:r>
          </w:p>
        </w:tc>
        <w:tc>
          <w:tcPr>
            <w:tcW w:type="dxa" w:w="3168"/>
            <w:shd w:fill="F9FAFB"/>
            <w:tcMar>
              <w:top w:w="100" w:type="dxa"/>
              <w:bottom w:w="100" w:type="dxa"/>
              <w:left w:w="160" w:type="dxa"/>
              <w:right w:w="160" w:type="dxa"/>
            </w:tcMar>
          </w:tcPr>
          <w:p>
            <w:pPr>
              <w:jc w:val="left"/>
            </w:pPr>
            <w:r>
              <w:rPr>
                <w:rFonts w:ascii="Arial" w:hAnsi="Arial"/>
                <w:color w:val="1F2937"/>
                <w:sz w:val="19"/>
              </w:rPr>
              <w:t>Section 6: Streaming Endpoint (/chat/stream)</w:t>
            </w:r>
          </w:p>
        </w:tc>
        <w:tc>
          <w:tcPr>
            <w:tcW w:type="dxa" w:w="1008"/>
            <w:shd w:fill="F9FAFB"/>
            <w:tcMar>
              <w:top w:w="100" w:type="dxa"/>
              <w:bottom w:w="100" w:type="dxa"/>
              <w:left w:w="160" w:type="dxa"/>
              <w:right w:w="160" w:type="dxa"/>
            </w:tcMar>
          </w:tcPr>
          <w:p>
            <w:pPr>
              <w:jc w:val="left"/>
            </w:pPr>
            <w:r>
              <w:rPr>
                <w:rFonts w:ascii="Arial" w:hAnsi="Arial"/>
                <w:color w:val="1F2937"/>
                <w:sz w:val="19"/>
              </w:rPr>
              <w:t>PASS</w:t>
            </w:r>
          </w:p>
        </w:tc>
        <w:tc>
          <w:tcPr>
            <w:tcW w:type="dxa" w:w="2736"/>
            <w:shd w:fill="F9FAFB"/>
            <w:tcMar>
              <w:top w:w="100" w:type="dxa"/>
              <w:bottom w:w="100" w:type="dxa"/>
              <w:left w:w="160" w:type="dxa"/>
              <w:right w:w="160" w:type="dxa"/>
            </w:tcMar>
          </w:tcPr>
          <w:p>
            <w:pPr>
              <w:jc w:val="left"/>
            </w:pPr>
            <w:r>
              <w:rPr>
                <w:rFonts w:ascii="Arial" w:hAnsi="Arial"/>
                <w:color w:val="1F2937"/>
                <w:sz w:val="19"/>
              </w:rPr>
              <w:t>Verified 43 streaming chunk events and final structured JSON payload delivery.</w:t>
            </w:r>
          </w:p>
        </w:tc>
      </w:tr>
      <w:tr>
        <w:tc>
          <w:tcPr>
            <w:tcW w:type="dxa" w:w="2448"/>
            <w:shd w:fill="FFFFFF"/>
            <w:tcMar>
              <w:top w:w="100" w:type="dxa"/>
              <w:bottom w:w="100" w:type="dxa"/>
              <w:left w:w="160" w:type="dxa"/>
              <w:right w:w="160" w:type="dxa"/>
            </w:tcMar>
          </w:tcPr>
          <w:p>
            <w:pPr>
              <w:jc w:val="left"/>
            </w:pPr>
            <w:r>
              <w:rPr>
                <w:rFonts w:ascii="Arial" w:hAnsi="Arial"/>
                <w:color w:val="1F2937"/>
                <w:sz w:val="19"/>
              </w:rPr>
              <w:t>test_compliance_suite.py</w:t>
            </w:r>
          </w:p>
        </w:tc>
        <w:tc>
          <w:tcPr>
            <w:tcW w:type="dxa" w:w="3168"/>
            <w:shd w:fill="FFFFFF"/>
            <w:tcMar>
              <w:top w:w="100" w:type="dxa"/>
              <w:bottom w:w="100" w:type="dxa"/>
              <w:left w:w="160" w:type="dxa"/>
              <w:right w:w="160" w:type="dxa"/>
            </w:tcMar>
          </w:tcPr>
          <w:p>
            <w:pPr>
              <w:jc w:val="left"/>
            </w:pPr>
            <w:r>
              <w:rPr>
                <w:rFonts w:ascii="Arial" w:hAnsi="Arial"/>
                <w:color w:val="1F2937"/>
                <w:sz w:val="19"/>
              </w:rPr>
              <w:t>Scenario 1: Degraded Farmland (SOC+pH)</w:t>
            </w:r>
          </w:p>
        </w:tc>
        <w:tc>
          <w:tcPr>
            <w:tcW w:type="dxa" w:w="1008"/>
            <w:shd w:fill="FFFFFF"/>
            <w:tcMar>
              <w:top w:w="100" w:type="dxa"/>
              <w:bottom w:w="100" w:type="dxa"/>
              <w:left w:w="160" w:type="dxa"/>
              <w:right w:w="160" w:type="dxa"/>
            </w:tcMar>
          </w:tcPr>
          <w:p>
            <w:pPr>
              <w:jc w:val="left"/>
            </w:pPr>
            <w:r>
              <w:rPr>
                <w:rFonts w:ascii="Arial" w:hAnsi="Arial"/>
                <w:color w:val="1F2937"/>
                <w:sz w:val="19"/>
              </w:rPr>
              <w:t>PASS</w:t>
            </w:r>
          </w:p>
        </w:tc>
        <w:tc>
          <w:tcPr>
            <w:tcW w:type="dxa" w:w="2736"/>
            <w:shd w:fill="FFFFFF"/>
            <w:tcMar>
              <w:top w:w="100" w:type="dxa"/>
              <w:bottom w:w="100" w:type="dxa"/>
              <w:left w:w="160" w:type="dxa"/>
              <w:right w:w="160" w:type="dxa"/>
            </w:tcMar>
          </w:tcPr>
          <w:p>
            <w:pPr>
              <w:jc w:val="left"/>
            </w:pPr>
            <w:r>
              <w:rPr>
                <w:rFonts w:ascii="Arial" w:hAnsi="Arial"/>
                <w:color w:val="1F2937"/>
                <w:sz w:val="19"/>
              </w:rPr>
              <w:t>Passed liming sequence, compost buffering, and multi-metric reasoning.</w:t>
            </w:r>
          </w:p>
        </w:tc>
      </w:tr>
      <w:tr>
        <w:tc>
          <w:tcPr>
            <w:tcW w:type="dxa" w:w="2448"/>
            <w:shd w:fill="F9FAFB"/>
            <w:tcMar>
              <w:top w:w="100" w:type="dxa"/>
              <w:bottom w:w="100" w:type="dxa"/>
              <w:left w:w="160" w:type="dxa"/>
              <w:right w:w="160" w:type="dxa"/>
            </w:tcMar>
          </w:tcPr>
          <w:p>
            <w:pPr>
              <w:jc w:val="left"/>
            </w:pPr>
            <w:r>
              <w:rPr>
                <w:rFonts w:ascii="Arial" w:hAnsi="Arial"/>
                <w:color w:val="1F2937"/>
                <w:sz w:val="19"/>
              </w:rPr>
              <w:t>test_compliance_suite.py</w:t>
            </w:r>
          </w:p>
        </w:tc>
        <w:tc>
          <w:tcPr>
            <w:tcW w:type="dxa" w:w="3168"/>
            <w:shd w:fill="F9FAFB"/>
            <w:tcMar>
              <w:top w:w="100" w:type="dxa"/>
              <w:bottom w:w="100" w:type="dxa"/>
              <w:left w:w="160" w:type="dxa"/>
              <w:right w:w="160" w:type="dxa"/>
            </w:tcMar>
          </w:tcPr>
          <w:p>
            <w:pPr>
              <w:jc w:val="left"/>
            </w:pPr>
            <w:r>
              <w:rPr>
                <w:rFonts w:ascii="Arial" w:hAnsi="Arial"/>
                <w:color w:val="1F2937"/>
                <w:sz w:val="19"/>
              </w:rPr>
              <w:t>Scenario 2: Deforestation Impact</w:t>
            </w:r>
          </w:p>
        </w:tc>
        <w:tc>
          <w:tcPr>
            <w:tcW w:type="dxa" w:w="1008"/>
            <w:shd w:fill="F9FAFB"/>
            <w:tcMar>
              <w:top w:w="100" w:type="dxa"/>
              <w:bottom w:w="100" w:type="dxa"/>
              <w:left w:w="160" w:type="dxa"/>
              <w:right w:w="160" w:type="dxa"/>
            </w:tcMar>
          </w:tcPr>
          <w:p>
            <w:pPr>
              <w:jc w:val="left"/>
            </w:pPr>
            <w:r>
              <w:rPr>
                <w:rFonts w:ascii="Arial" w:hAnsi="Arial"/>
                <w:color w:val="1F2937"/>
                <w:sz w:val="19"/>
              </w:rPr>
              <w:t>PASS</w:t>
            </w:r>
          </w:p>
        </w:tc>
        <w:tc>
          <w:tcPr>
            <w:tcW w:type="dxa" w:w="2736"/>
            <w:shd w:fill="F9FAFB"/>
            <w:tcMar>
              <w:top w:w="100" w:type="dxa"/>
              <w:bottom w:w="100" w:type="dxa"/>
              <w:left w:w="160" w:type="dxa"/>
              <w:right w:w="160" w:type="dxa"/>
            </w:tcMar>
          </w:tcPr>
          <w:p>
            <w:pPr>
              <w:jc w:val="left"/>
            </w:pPr>
            <w:r>
              <w:rPr>
                <w:rFonts w:ascii="Arial" w:hAnsi="Arial"/>
                <w:color w:val="1F2937"/>
                <w:sz w:val="19"/>
              </w:rPr>
              <w:t>Passed microclimate buffering, corridor conservation, and hydrological regulation.</w:t>
            </w:r>
          </w:p>
        </w:tc>
      </w:tr>
      <w:tr>
        <w:tc>
          <w:tcPr>
            <w:tcW w:type="dxa" w:w="2448"/>
            <w:shd w:fill="FFFFFF"/>
            <w:tcMar>
              <w:top w:w="100" w:type="dxa"/>
              <w:bottom w:w="100" w:type="dxa"/>
              <w:left w:w="160" w:type="dxa"/>
              <w:right w:w="160" w:type="dxa"/>
            </w:tcMar>
          </w:tcPr>
          <w:p>
            <w:pPr>
              <w:jc w:val="left"/>
            </w:pPr>
            <w:r>
              <w:rPr>
                <w:rFonts w:ascii="Arial" w:hAnsi="Arial"/>
                <w:color w:val="1F2937"/>
                <w:sz w:val="19"/>
              </w:rPr>
              <w:t>test_compliance_suite.py</w:t>
            </w:r>
          </w:p>
        </w:tc>
        <w:tc>
          <w:tcPr>
            <w:tcW w:type="dxa" w:w="3168"/>
            <w:shd w:fill="FFFFFF"/>
            <w:tcMar>
              <w:top w:w="100" w:type="dxa"/>
              <w:bottom w:w="100" w:type="dxa"/>
              <w:left w:w="160" w:type="dxa"/>
              <w:right w:w="160" w:type="dxa"/>
            </w:tcMar>
          </w:tcPr>
          <w:p>
            <w:pPr>
              <w:jc w:val="left"/>
            </w:pPr>
            <w:r>
              <w:rPr>
                <w:rFonts w:ascii="Arial" w:hAnsi="Arial"/>
                <w:color w:val="1F2937"/>
                <w:sz w:val="19"/>
              </w:rPr>
              <w:t>Scenario 3: Arid Wheat Monoculture Benchmark</w:t>
            </w:r>
          </w:p>
        </w:tc>
        <w:tc>
          <w:tcPr>
            <w:tcW w:type="dxa" w:w="1008"/>
            <w:shd w:fill="FFFFFF"/>
            <w:tcMar>
              <w:top w:w="100" w:type="dxa"/>
              <w:bottom w:w="100" w:type="dxa"/>
              <w:left w:w="160" w:type="dxa"/>
              <w:right w:w="160" w:type="dxa"/>
            </w:tcMar>
          </w:tcPr>
          <w:p>
            <w:pPr>
              <w:jc w:val="left"/>
            </w:pPr>
            <w:r>
              <w:rPr>
                <w:rFonts w:ascii="Arial" w:hAnsi="Arial"/>
                <w:color w:val="1F2937"/>
                <w:sz w:val="19"/>
              </w:rPr>
              <w:t>PASS</w:t>
            </w:r>
          </w:p>
        </w:tc>
        <w:tc>
          <w:tcPr>
            <w:tcW w:type="dxa" w:w="2736"/>
            <w:shd w:fill="FFFFFF"/>
            <w:tcMar>
              <w:top w:w="100" w:type="dxa"/>
              <w:bottom w:w="100" w:type="dxa"/>
              <w:left w:w="160" w:type="dxa"/>
              <w:right w:w="160" w:type="dxa"/>
            </w:tcMar>
          </w:tcPr>
          <w:p>
            <w:pPr>
              <w:jc w:val="left"/>
            </w:pPr>
            <w:r>
              <w:rPr>
                <w:rFonts w:ascii="Arial" w:hAnsi="Arial"/>
                <w:color w:val="1F2937"/>
                <w:sz w:val="19"/>
              </w:rPr>
              <w:t>Passed 3-variable arid heat-drought stress and multi-species rotation.</w:t>
            </w:r>
          </w:p>
        </w:tc>
      </w:tr>
      <w:tr>
        <w:tc>
          <w:tcPr>
            <w:tcW w:type="dxa" w:w="2448"/>
            <w:shd w:fill="F9FAFB"/>
            <w:tcMar>
              <w:top w:w="100" w:type="dxa"/>
              <w:bottom w:w="100" w:type="dxa"/>
              <w:left w:w="160" w:type="dxa"/>
              <w:right w:w="160" w:type="dxa"/>
            </w:tcMar>
          </w:tcPr>
          <w:p>
            <w:pPr>
              <w:jc w:val="left"/>
            </w:pPr>
            <w:r>
              <w:rPr>
                <w:rFonts w:ascii="Arial" w:hAnsi="Arial"/>
                <w:color w:val="1F2937"/>
                <w:sz w:val="19"/>
              </w:rPr>
              <w:t>test_compliance_suite.py</w:t>
            </w:r>
          </w:p>
        </w:tc>
        <w:tc>
          <w:tcPr>
            <w:tcW w:type="dxa" w:w="3168"/>
            <w:shd w:fill="F9FAFB"/>
            <w:tcMar>
              <w:top w:w="100" w:type="dxa"/>
              <w:bottom w:w="100" w:type="dxa"/>
              <w:left w:w="160" w:type="dxa"/>
              <w:right w:w="160" w:type="dxa"/>
            </w:tcMar>
          </w:tcPr>
          <w:p>
            <w:pPr>
              <w:jc w:val="left"/>
            </w:pPr>
            <w:r>
              <w:rPr>
                <w:rFonts w:ascii="Arial" w:hAnsi="Arial"/>
                <w:color w:val="1F2937"/>
                <w:sz w:val="19"/>
              </w:rPr>
              <w:t>Scenario 4: Wetland Pollution &amp; Habitat Loss</w:t>
            </w:r>
          </w:p>
        </w:tc>
        <w:tc>
          <w:tcPr>
            <w:tcW w:type="dxa" w:w="1008"/>
            <w:shd w:fill="F9FAFB"/>
            <w:tcMar>
              <w:top w:w="100" w:type="dxa"/>
              <w:bottom w:w="100" w:type="dxa"/>
              <w:left w:w="160" w:type="dxa"/>
              <w:right w:w="160" w:type="dxa"/>
            </w:tcMar>
          </w:tcPr>
          <w:p>
            <w:pPr>
              <w:jc w:val="left"/>
            </w:pPr>
            <w:r>
              <w:rPr>
                <w:rFonts w:ascii="Arial" w:hAnsi="Arial"/>
                <w:color w:val="1F2937"/>
                <w:sz w:val="19"/>
              </w:rPr>
              <w:t>PASS</w:t>
            </w:r>
          </w:p>
        </w:tc>
        <w:tc>
          <w:tcPr>
            <w:tcW w:type="dxa" w:w="2736"/>
            <w:shd w:fill="F9FAFB"/>
            <w:tcMar>
              <w:top w:w="100" w:type="dxa"/>
              <w:bottom w:w="100" w:type="dxa"/>
              <w:left w:w="160" w:type="dxa"/>
              <w:right w:w="160" w:type="dxa"/>
            </w:tcMar>
          </w:tcPr>
          <w:p>
            <w:pPr>
              <w:jc w:val="left"/>
            </w:pPr>
            <w:r>
              <w:rPr>
                <w:rFonts w:ascii="Arial" w:hAnsi="Arial"/>
                <w:color w:val="1F2937"/>
                <w:sz w:val="19"/>
              </w:rPr>
              <w:t>Passed constructed treatment wetland cells and riparian buffer zones.</w:t>
            </w:r>
          </w:p>
        </w:tc>
      </w:tr>
    </w:tbl>
    <w:p/>
    <w:p>
      <w:pPr>
        <w:keepNext/>
        <w:spacing w:before="360" w:after="160"/>
      </w:pPr>
      <w:r>
        <w:rPr>
          <w:rFonts w:ascii="Arial" w:hAnsi="Arial"/>
          <w:b/>
          <w:color w:val="1B4D3E"/>
          <w:sz w:val="32"/>
        </w:rPr>
        <w:t>16. Production Deployment Architecture</w:t>
      </w:r>
    </w:p>
    <w:p>
      <w:pPr>
        <w:spacing w:after="120"/>
      </w:pPr>
      <w:r>
        <w:t>Darukaa.Earth is live and fully accessible across two decoupled cloud hosting platforms:</w:t>
      </w:r>
    </w:p>
    <w:p>
      <w:pPr>
        <w:pStyle w:val="ListBullet"/>
        <w:spacing w:after="60"/>
      </w:pPr>
      <w:r>
        <w:rPr>
          <w:b/>
          <w:color w:val="1F2937"/>
        </w:rPr>
        <w:t xml:space="preserve">Frontend UI: </w:t>
      </w:r>
      <w:r>
        <w:rPr>
          <w:color w:val="374151"/>
        </w:rPr>
        <w:t>https://darukaa-biodiversity-ai-7.streamlit.app/</w:t>
      </w:r>
    </w:p>
    <w:p>
      <w:pPr>
        <w:pStyle w:val="ListBullet"/>
        <w:spacing w:after="60"/>
      </w:pPr>
      <w:r>
        <w:rPr>
          <w:b/>
          <w:color w:val="1F2937"/>
        </w:rPr>
        <w:t xml:space="preserve">Backend REST &amp; Streaming API: </w:t>
      </w:r>
      <w:r>
        <w:rPr>
          <w:color w:val="374151"/>
        </w:rPr>
        <w:t>https://darukaa-biodiversity-ai-atjv.onrender.com</w:t>
      </w:r>
    </w:p>
    <w:p>
      <w:pPr>
        <w:pStyle w:val="ListBullet"/>
        <w:spacing w:after="60"/>
      </w:pPr>
      <w:r>
        <w:rPr>
          <w:b/>
          <w:color w:val="1F2937"/>
        </w:rPr>
        <w:t xml:space="preserve">Live Health Check: </w:t>
      </w:r>
      <w:r>
        <w:rPr>
          <w:color w:val="374151"/>
        </w:rPr>
        <w:t>https://darukaa-biodiversity-ai-atjv.onrender.com/health</w:t>
      </w:r>
    </w:p>
    <w:p>
      <w:pPr>
        <w:pStyle w:val="ListBullet"/>
        <w:spacing w:after="60"/>
      </w:pPr>
      <w:r>
        <w:rPr>
          <w:b/>
          <w:color w:val="1F2937"/>
        </w:rPr>
        <w:t xml:space="preserve">Final Production Commit: </w:t>
      </w:r>
      <w:r>
        <w:rPr>
          <w:color w:val="374151"/>
        </w:rPr>
        <w:t>678ea98</w:t>
      </w:r>
    </w:p>
    <w:p>
      <w:pPr>
        <w:spacing w:after="120"/>
      </w:pPr>
      <w:r>
        <w:t>Engineered for Free-Tier Resilience: Deploying AI applications on free-tier instances (such as Render's 512 MB RAM limit) frequently causes Out-Of-Memory (OOM) failures when local embedding models (e.g. PyTorch or ONNX sentence-transformers) are loaded into memory. Darukaa.Earth solves this by offloading embedding computations entirely to Google's remote `gemini-embedding-001` endpoint and pre-caching all 57 knowledge embeddings in `precomputed_embeddings.json`. The entire backend process operates stably at under 140 MB of RAM.</w:t>
      </w:r>
    </w:p>
    <w:p>
      <w:pPr>
        <w:keepNext/>
        <w:spacing w:before="360" w:after="160"/>
      </w:pPr>
      <w:r>
        <w:rPr>
          <w:rFonts w:ascii="Arial" w:hAnsi="Arial"/>
          <w:b/>
          <w:color w:val="1B4D3E"/>
          <w:sz w:val="32"/>
        </w:rPr>
        <w:t>17. Local Setup &amp; Execution Guide</w:t>
      </w:r>
    </w:p>
    <w:p>
      <w:pPr>
        <w:spacing w:after="120"/>
      </w:pPr>
      <w:r>
        <w:t>To run the complete system locally, follow these verified setup steps:</w:t>
      </w:r>
    </w:p>
    <w:tbl>
      <w:tblPr>
        <w:tblW w:type="auto" w:w="0"/>
        <w:jc w:val="center"/>
        <w:tblLook w:firstColumn="1" w:firstRow="1" w:lastColumn="0" w:lastRow="0" w:noHBand="0" w:noVBand="1" w:val="04A0"/>
      </w:tblPr>
      <w:tblGrid>
        <w:gridCol w:w="9360"/>
      </w:tblGrid>
      <w:tr>
        <w:tc>
          <w:tcPr>
            <w:tcW w:type="dxa" w:w="9360"/>
            <w:shd w:fill="F3F4F6"/>
            <w:tcMar>
              <w:top w:w="100" w:type="dxa"/>
              <w:bottom w:w="100" w:type="dxa"/>
              <w:left w:w="160" w:type="dxa"/>
              <w:right w:w="160" w:type="dxa"/>
            </w:tcMar>
          </w:tcPr>
          <w:p>
            <w:pPr>
              <w:spacing w:line="276" w:lineRule="auto" w:before="0" w:after="0"/>
            </w:pPr>
            <w:r>
              <w:rPr>
                <w:rFonts w:ascii="Consolas" w:hAnsi="Consolas"/>
                <w:color w:val="111827"/>
                <w:sz w:val="17"/>
              </w:rPr>
              <w:t># 1. Clone the repository</w:t>
              <w:br/>
              <w:t>git clone https://github.com/Shivaram7-29/darukaa-biodiversity-ai.git</w:t>
              <w:br/>
              <w:t>cd darukaa-biodiversity-ai</w:t>
              <w:br/>
              <w:br/>
              <w:t># 2. Create and activate a Python 3.12 virtual environment</w:t>
              <w:br/>
              <w:t># Windows:</w:t>
              <w:br/>
              <w:t>python -m venv .venv</w:t>
              <w:br/>
              <w:t>.venv\Scripts\activate</w:t>
              <w:br/>
              <w:br/>
              <w:t># Linux / macOS:</w:t>
              <w:br/>
              <w:t># python3 -m venv .venv</w:t>
              <w:br/>
              <w:t># source .venv/bin/activate</w:t>
              <w:br/>
              <w:br/>
              <w:t># 3. Install dependencies</w:t>
              <w:br/>
              <w:t>pip install -r requirements.txt</w:t>
              <w:br/>
              <w:br/>
              <w:t># 4. Configure environment variables</w:t>
              <w:br/>
              <w:t># Copy .env.example to .env and configure your Google Gemini API key:</w:t>
              <w:br/>
              <w:t># GOOGLE_API_KEY=your_actual_gemini_api_key_here</w:t>
              <w:br/>
              <w:t># GEMINI_MODEL=gemini-3.5-flash-lite</w:t>
              <w:br/>
              <w:t># BACKEND_URL=http://localhost:8000</w:t>
              <w:br/>
              <w:br/>
              <w:t># 5. Start the FastAPI backend server</w:t>
              <w:br/>
              <w:t>uvicorn app.api:app --host 0.0.0.0 --port 8000</w:t>
              <w:br/>
              <w:br/>
              <w:t># 6. In a second terminal, launch the Streamlit frontend</w:t>
              <w:br/>
              <w:t>streamlit run ui/streamlit_app.py</w:t>
            </w:r>
          </w:p>
        </w:tc>
      </w:tr>
    </w:tbl>
    <w:p/>
    <w:p>
      <w:pPr>
        <w:keepNext/>
        <w:spacing w:before="360" w:after="160"/>
      </w:pPr>
      <w:r>
        <w:rPr>
          <w:rFonts w:ascii="Arial" w:hAnsi="Arial"/>
          <w:b/>
          <w:color w:val="1B4D3E"/>
          <w:sz w:val="32"/>
        </w:rPr>
        <w:t>18. CI/CD &amp; Deployment Workflow</w:t>
      </w:r>
    </w:p>
    <w:p>
      <w:pPr>
        <w:spacing w:after="120"/>
      </w:pPr>
      <w:r>
        <w:t>The project follows continuous integration and continuous deployment best practices:</w:t>
      </w:r>
    </w:p>
    <w:p>
      <w:pPr>
        <w:pStyle w:val="ListBullet"/>
        <w:spacing w:after="60"/>
      </w:pPr>
      <w:r>
        <w:rPr>
          <w:b/>
          <w:color w:val="1F2937"/>
        </w:rPr>
        <w:t xml:space="preserve">Version Control: </w:t>
      </w:r>
      <w:r>
        <w:rPr>
          <w:color w:val="374151"/>
        </w:rPr>
        <w:t>GitHub repository (origin/main) functions as the single source of truth.</w:t>
      </w:r>
    </w:p>
    <w:p>
      <w:pPr>
        <w:pStyle w:val="ListBullet"/>
        <w:spacing w:after="60"/>
      </w:pPr>
      <w:r>
        <w:rPr>
          <w:b/>
          <w:color w:val="1F2937"/>
        </w:rPr>
        <w:t xml:space="preserve">Backend Auto-Deployment: </w:t>
      </w:r>
      <w:r>
        <w:rPr>
          <w:color w:val="374151"/>
        </w:rPr>
        <w:t>Render is connected via webhook to origin/main. Pushes to main automatically trigger Docker container rebuilds and rolling zero-downtime deployments.</w:t>
      </w:r>
    </w:p>
    <w:p>
      <w:pPr>
        <w:pStyle w:val="ListBullet"/>
        <w:spacing w:after="60"/>
      </w:pPr>
      <w:r>
        <w:rPr>
          <w:b/>
          <w:color w:val="1F2937"/>
        </w:rPr>
        <w:t xml:space="preserve">Frontend Auto-Deployment: </w:t>
      </w:r>
      <w:r>
        <w:rPr>
          <w:color w:val="374151"/>
        </w:rPr>
        <w:t>Streamlit Community Cloud monitors the repository and automatically refreshes UI instances upon commit merges.</w:t>
      </w:r>
    </w:p>
    <w:p>
      <w:pPr>
        <w:pStyle w:val="ListBullet"/>
        <w:spacing w:after="60"/>
      </w:pPr>
      <w:r>
        <w:rPr>
          <w:b/>
          <w:color w:val="1F2937"/>
        </w:rPr>
        <w:t xml:space="preserve">Pre-Deployment Verification: </w:t>
      </w:r>
      <w:r>
        <w:rPr>
          <w:color w:val="374151"/>
        </w:rPr>
        <w:t>Comprehensive test suites in `scratch/test_compliance_suite.py` and `scratch/test_final_audit.py` can be executed locally or in CI pipelines prior to release.</w:t>
      </w:r>
    </w:p>
    <w:p>
      <w:pPr>
        <w:keepNext/>
        <w:spacing w:before="360" w:after="160"/>
      </w:pPr>
      <w:r>
        <w:rPr>
          <w:rFonts w:ascii="Arial" w:hAnsi="Arial"/>
          <w:b/>
          <w:color w:val="1B4D3E"/>
          <w:sz w:val="32"/>
        </w:rPr>
        <w:t>19. System Limitations</w:t>
      </w:r>
    </w:p>
    <w:p>
      <w:pPr>
        <w:spacing w:after="120"/>
      </w:pPr>
      <w:r>
        <w:t>To maintain scientific integrity, the known operational boundaries of the system are stated transparently:</w:t>
      </w:r>
    </w:p>
    <w:p>
      <w:pPr>
        <w:pStyle w:val="ListBullet"/>
        <w:spacing w:after="60"/>
      </w:pPr>
      <w:r>
        <w:rPr>
          <w:b/>
          <w:color w:val="1F2937"/>
        </w:rPr>
        <w:t xml:space="preserve">Dependence on Reported Data: </w:t>
      </w:r>
      <w:r>
        <w:rPr>
          <w:color w:val="374151"/>
        </w:rPr>
        <w:t>The quality of the AI's diagnosis depends on the accuracy of user-entered environmental variables. The assistant is not a replacement for on-site physical soil tests or accredited agronomic extension laboratory analysis.</w:t>
      </w:r>
    </w:p>
    <w:p>
      <w:pPr>
        <w:pStyle w:val="ListBullet"/>
        <w:spacing w:after="60"/>
      </w:pPr>
      <w:r>
        <w:rPr>
          <w:b/>
          <w:color w:val="1F2937"/>
        </w:rPr>
        <w:t xml:space="preserve">Curated Knowledge Scope: </w:t>
      </w:r>
      <w:r>
        <w:rPr>
          <w:color w:val="374151"/>
        </w:rPr>
        <w:t>While the 12 knowledge domains cover core ecological problems, the 57 documents represent a focused baseline. Highly localized regional soil series (e.g. specific andosols or vertisols) require supplemental taxonomic indexing.</w:t>
      </w:r>
    </w:p>
    <w:p>
      <w:pPr>
        <w:pStyle w:val="ListBullet"/>
        <w:spacing w:after="60"/>
      </w:pPr>
      <w:r>
        <w:rPr>
          <w:b/>
          <w:color w:val="1F2937"/>
        </w:rPr>
        <w:t xml:space="preserve">Site-Specific Reaction Kinetics: </w:t>
      </w:r>
      <w:r>
        <w:rPr>
          <w:color w:val="374151"/>
        </w:rPr>
        <w:t>Reaction kinetics (such as limestone neutralization or compost mineralization) are heavily influenced by local soil texture, moisture, and microbial biodiversity, which may alter timelines beyond generalized literature ranges.</w:t>
      </w:r>
    </w:p>
    <w:p>
      <w:pPr>
        <w:keepNext/>
        <w:spacing w:before="360" w:after="160"/>
      </w:pPr>
      <w:r>
        <w:rPr>
          <w:rFonts w:ascii="Arial" w:hAnsi="Arial"/>
          <w:b/>
          <w:color w:val="1B4D3E"/>
          <w:sz w:val="32"/>
        </w:rPr>
        <w:t>20. Future Enhancements</w:t>
      </w:r>
    </w:p>
    <w:p>
      <w:pPr>
        <w:spacing w:after="120"/>
      </w:pPr>
      <w:r>
        <w:t>Future development roadmap for the Darukaa.Earth platform includes:</w:t>
      </w:r>
    </w:p>
    <w:p>
      <w:pPr>
        <w:pStyle w:val="ListBullet"/>
        <w:spacing w:after="60"/>
      </w:pPr>
      <w:r>
        <w:rPr>
          <w:b/>
          <w:color w:val="1F2937"/>
        </w:rPr>
        <w:t xml:space="preserve">Satellite Earth Observation Integration: </w:t>
      </w:r>
      <w:r>
        <w:rPr>
          <w:color w:val="374151"/>
        </w:rPr>
        <w:t>Automated ingestion of latitude/longitude coordinates to query live satellite earth observation data (Copernicus Sentinel-2, Landsat, MODIS NDVI) for real-time vegetative and thermal metrics.</w:t>
      </w:r>
    </w:p>
    <w:p>
      <w:pPr>
        <w:pStyle w:val="ListBullet"/>
        <w:spacing w:after="60"/>
      </w:pPr>
      <w:r>
        <w:rPr>
          <w:b/>
          <w:color w:val="1F2937"/>
        </w:rPr>
        <w:t xml:space="preserve">Pedotransfer Function Modeling: </w:t>
      </w:r>
      <w:r>
        <w:rPr>
          <w:color w:val="374151"/>
        </w:rPr>
        <w:t>Algorithmic estimation of soil water retention curves and hydraulic conductivity based on user soil texture percentages.</w:t>
      </w:r>
    </w:p>
    <w:p>
      <w:pPr>
        <w:pStyle w:val="ListBullet"/>
        <w:spacing w:after="60"/>
      </w:pPr>
      <w:r>
        <w:rPr>
          <w:b/>
          <w:color w:val="1F2937"/>
        </w:rPr>
        <w:t xml:space="preserve">Hyper-Local Weather Forecasts: </w:t>
      </w:r>
      <w:r>
        <w:rPr>
          <w:color w:val="374151"/>
        </w:rPr>
        <w:t>Integration of real-time 14-day rainfall and heatwave forecasts to warn farmers of impending acute compound stressors.</w:t>
      </w:r>
    </w:p>
    <w:p>
      <w:pPr>
        <w:pStyle w:val="ListBullet"/>
        <w:spacing w:after="60"/>
      </w:pPr>
      <w:r>
        <w:rPr>
          <w:b/>
          <w:color w:val="1F2937"/>
        </w:rPr>
        <w:t xml:space="preserve">Expanded Regional Knowledge Bases: </w:t>
      </w:r>
      <w:r>
        <w:rPr>
          <w:color w:val="374151"/>
        </w:rPr>
        <w:t>Expansion of the vector database to incorporate national agricultural research datasets (e.g. ICAR, USDA-ARS, EMBRAPA).</w:t>
      </w:r>
    </w:p>
    <w:p>
      <w:pPr>
        <w:keepNext/>
        <w:spacing w:before="360" w:after="160"/>
      </w:pPr>
      <w:r>
        <w:rPr>
          <w:rFonts w:ascii="Arial" w:hAnsi="Arial"/>
          <w:b/>
          <w:color w:val="1B4D3E"/>
          <w:sz w:val="32"/>
        </w:rPr>
        <w:t>21. Links &amp; Submission Information</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B4D3E"/>
            <w:tcMar>
              <w:top w:w="140" w:type="dxa"/>
              <w:bottom w:w="140" w:type="dxa"/>
              <w:left w:w="180" w:type="dxa"/>
              <w:right w:w="180" w:type="dxa"/>
            </w:tcMar>
          </w:tcPr>
          <w:p>
            <w:pPr>
              <w:jc w:val="left"/>
            </w:pPr>
            <w:r>
              <w:rPr>
                <w:rFonts w:ascii="Arial" w:hAnsi="Arial"/>
                <w:b/>
                <w:color w:val="FFFFFF"/>
                <w:sz w:val="20"/>
              </w:rPr>
              <w:t>Resource</w:t>
            </w:r>
          </w:p>
        </w:tc>
        <w:tc>
          <w:tcPr>
            <w:tcW w:type="dxa" w:w="4608"/>
            <w:shd w:fill="1B4D3E"/>
            <w:tcMar>
              <w:top w:w="140" w:type="dxa"/>
              <w:bottom w:w="140" w:type="dxa"/>
              <w:left w:w="180" w:type="dxa"/>
              <w:right w:w="180" w:type="dxa"/>
            </w:tcMar>
          </w:tcPr>
          <w:p>
            <w:pPr>
              <w:jc w:val="left"/>
            </w:pPr>
            <w:r>
              <w:rPr>
                <w:rFonts w:ascii="Arial" w:hAnsi="Arial"/>
                <w:b/>
                <w:color w:val="FFFFFF"/>
                <w:sz w:val="20"/>
              </w:rPr>
              <w:t>URL</w:t>
            </w:r>
          </w:p>
        </w:tc>
        <w:tc>
          <w:tcPr>
            <w:tcW w:type="dxa" w:w="2160"/>
            <w:shd w:fill="1B4D3E"/>
            <w:tcMar>
              <w:top w:w="140" w:type="dxa"/>
              <w:bottom w:w="140" w:type="dxa"/>
              <w:left w:w="180" w:type="dxa"/>
              <w:right w:w="180" w:type="dxa"/>
            </w:tcMar>
          </w:tcPr>
          <w:p>
            <w:pPr>
              <w:jc w:val="left"/>
            </w:pPr>
            <w:r>
              <w:rPr>
                <w:rFonts w:ascii="Arial" w:hAnsi="Arial"/>
                <w:b/>
                <w:color w:val="FFFFFF"/>
                <w:sz w:val="20"/>
              </w:rPr>
              <w:t>Description</w:t>
            </w:r>
          </w:p>
        </w:tc>
      </w:tr>
      <w:tr>
        <w:tc>
          <w:tcPr>
            <w:tcW w:type="dxa" w:w="2592"/>
            <w:shd w:fill="FFFFFF"/>
            <w:tcMar>
              <w:top w:w="100" w:type="dxa"/>
              <w:bottom w:w="100" w:type="dxa"/>
              <w:left w:w="160" w:type="dxa"/>
              <w:right w:w="160" w:type="dxa"/>
            </w:tcMar>
          </w:tcPr>
          <w:p>
            <w:pPr>
              <w:jc w:val="left"/>
            </w:pPr>
            <w:r>
              <w:rPr>
                <w:rFonts w:ascii="Arial" w:hAnsi="Arial"/>
                <w:color w:val="1F2937"/>
                <w:sz w:val="19"/>
              </w:rPr>
              <w:t>GitHub Repository</w:t>
            </w:r>
          </w:p>
        </w:tc>
        <w:tc>
          <w:tcPr>
            <w:tcW w:type="dxa" w:w="4608"/>
            <w:shd w:fill="FFFFFF"/>
            <w:tcMar>
              <w:top w:w="100" w:type="dxa"/>
              <w:bottom w:w="100" w:type="dxa"/>
              <w:left w:w="160" w:type="dxa"/>
              <w:right w:w="160" w:type="dxa"/>
            </w:tcMar>
          </w:tcPr>
          <w:p>
            <w:pPr>
              <w:jc w:val="left"/>
            </w:pPr>
            <w:r>
              <w:rPr>
                <w:rFonts w:ascii="Arial" w:hAnsi="Arial"/>
                <w:color w:val="1F2937"/>
                <w:sz w:val="19"/>
              </w:rPr>
              <w:t>https://github.com/Shivaram7-29/darukaa-biodiversity-ai</w:t>
            </w:r>
          </w:p>
        </w:tc>
        <w:tc>
          <w:tcPr>
            <w:tcW w:type="dxa" w:w="2160"/>
            <w:shd w:fill="FFFFFF"/>
            <w:tcMar>
              <w:top w:w="100" w:type="dxa"/>
              <w:bottom w:w="100" w:type="dxa"/>
              <w:left w:w="160" w:type="dxa"/>
              <w:right w:w="160" w:type="dxa"/>
            </w:tcMar>
          </w:tcPr>
          <w:p>
            <w:pPr>
              <w:jc w:val="left"/>
            </w:pPr>
            <w:r>
              <w:rPr>
                <w:rFonts w:ascii="Arial" w:hAnsi="Arial"/>
                <w:color w:val="1F2937"/>
                <w:sz w:val="19"/>
              </w:rPr>
              <w:t>Source code, test suites, and documentation</w:t>
            </w:r>
          </w:p>
        </w:tc>
      </w:tr>
      <w:tr>
        <w:tc>
          <w:tcPr>
            <w:tcW w:type="dxa" w:w="2592"/>
            <w:shd w:fill="F9FAFB"/>
            <w:tcMar>
              <w:top w:w="100" w:type="dxa"/>
              <w:bottom w:w="100" w:type="dxa"/>
              <w:left w:w="160" w:type="dxa"/>
              <w:right w:w="160" w:type="dxa"/>
            </w:tcMar>
          </w:tcPr>
          <w:p>
            <w:pPr>
              <w:jc w:val="left"/>
            </w:pPr>
            <w:r>
              <w:rPr>
                <w:rFonts w:ascii="Arial" w:hAnsi="Arial"/>
                <w:color w:val="1F2937"/>
                <w:sz w:val="19"/>
              </w:rPr>
              <w:t>Live Streamlit Web App</w:t>
            </w:r>
          </w:p>
        </w:tc>
        <w:tc>
          <w:tcPr>
            <w:tcW w:type="dxa" w:w="4608"/>
            <w:shd w:fill="F9FAFB"/>
            <w:tcMar>
              <w:top w:w="100" w:type="dxa"/>
              <w:bottom w:w="100" w:type="dxa"/>
              <w:left w:w="160" w:type="dxa"/>
              <w:right w:w="160" w:type="dxa"/>
            </w:tcMar>
          </w:tcPr>
          <w:p>
            <w:pPr>
              <w:jc w:val="left"/>
            </w:pPr>
            <w:r>
              <w:rPr>
                <w:rFonts w:ascii="Arial" w:hAnsi="Arial"/>
                <w:color w:val="1F2937"/>
                <w:sz w:val="19"/>
              </w:rPr>
              <w:t>https://darukaa-biodiversity-ai-7.streamlit.app/</w:t>
            </w:r>
          </w:p>
        </w:tc>
        <w:tc>
          <w:tcPr>
            <w:tcW w:type="dxa" w:w="2160"/>
            <w:shd w:fill="F9FAFB"/>
            <w:tcMar>
              <w:top w:w="100" w:type="dxa"/>
              <w:bottom w:w="100" w:type="dxa"/>
              <w:left w:w="160" w:type="dxa"/>
              <w:right w:w="160" w:type="dxa"/>
            </w:tcMar>
          </w:tcPr>
          <w:p>
            <w:pPr>
              <w:jc w:val="left"/>
            </w:pPr>
            <w:r>
              <w:rPr>
                <w:rFonts w:ascii="Arial" w:hAnsi="Arial"/>
                <w:color w:val="1F2937"/>
                <w:sz w:val="19"/>
              </w:rPr>
              <w:t>Interactive web user interface</w:t>
            </w:r>
          </w:p>
        </w:tc>
      </w:tr>
      <w:tr>
        <w:tc>
          <w:tcPr>
            <w:tcW w:type="dxa" w:w="2592"/>
            <w:shd w:fill="FFFFFF"/>
            <w:tcMar>
              <w:top w:w="100" w:type="dxa"/>
              <w:bottom w:w="100" w:type="dxa"/>
              <w:left w:w="160" w:type="dxa"/>
              <w:right w:w="160" w:type="dxa"/>
            </w:tcMar>
          </w:tcPr>
          <w:p>
            <w:pPr>
              <w:jc w:val="left"/>
            </w:pPr>
            <w:r>
              <w:rPr>
                <w:rFonts w:ascii="Arial" w:hAnsi="Arial"/>
                <w:color w:val="1F2937"/>
                <w:sz w:val="19"/>
              </w:rPr>
              <w:t>Backend REST API</w:t>
            </w:r>
          </w:p>
        </w:tc>
        <w:tc>
          <w:tcPr>
            <w:tcW w:type="dxa" w:w="4608"/>
            <w:shd w:fill="FFFFFF"/>
            <w:tcMar>
              <w:top w:w="100" w:type="dxa"/>
              <w:bottom w:w="100" w:type="dxa"/>
              <w:left w:w="160" w:type="dxa"/>
              <w:right w:w="160" w:type="dxa"/>
            </w:tcMar>
          </w:tcPr>
          <w:p>
            <w:pPr>
              <w:jc w:val="left"/>
            </w:pPr>
            <w:r>
              <w:rPr>
                <w:rFonts w:ascii="Arial" w:hAnsi="Arial"/>
                <w:color w:val="1F2937"/>
                <w:sz w:val="19"/>
              </w:rPr>
              <w:t>https://darukaa-biodiversity-ai-atjv.onrender.com</w:t>
            </w:r>
          </w:p>
        </w:tc>
        <w:tc>
          <w:tcPr>
            <w:tcW w:type="dxa" w:w="2160"/>
            <w:shd w:fill="FFFFFF"/>
            <w:tcMar>
              <w:top w:w="100" w:type="dxa"/>
              <w:bottom w:w="100" w:type="dxa"/>
              <w:left w:w="160" w:type="dxa"/>
              <w:right w:w="160" w:type="dxa"/>
            </w:tcMar>
          </w:tcPr>
          <w:p>
            <w:pPr>
              <w:jc w:val="left"/>
            </w:pPr>
            <w:r>
              <w:rPr>
                <w:rFonts w:ascii="Arial" w:hAnsi="Arial"/>
                <w:color w:val="1F2937"/>
                <w:sz w:val="19"/>
              </w:rPr>
              <w:t>Render cloud web service</w:t>
            </w:r>
          </w:p>
        </w:tc>
      </w:tr>
      <w:tr>
        <w:tc>
          <w:tcPr>
            <w:tcW w:type="dxa" w:w="2592"/>
            <w:shd w:fill="F9FAFB"/>
            <w:tcMar>
              <w:top w:w="100" w:type="dxa"/>
              <w:bottom w:w="100" w:type="dxa"/>
              <w:left w:w="160" w:type="dxa"/>
              <w:right w:w="160" w:type="dxa"/>
            </w:tcMar>
          </w:tcPr>
          <w:p>
            <w:pPr>
              <w:jc w:val="left"/>
            </w:pPr>
            <w:r>
              <w:rPr>
                <w:rFonts w:ascii="Arial" w:hAnsi="Arial"/>
                <w:color w:val="1F2937"/>
                <w:sz w:val="19"/>
              </w:rPr>
              <w:t>Interactive API Docs</w:t>
            </w:r>
          </w:p>
        </w:tc>
        <w:tc>
          <w:tcPr>
            <w:tcW w:type="dxa" w:w="4608"/>
            <w:shd w:fill="F9FAFB"/>
            <w:tcMar>
              <w:top w:w="100" w:type="dxa"/>
              <w:bottom w:w="100" w:type="dxa"/>
              <w:left w:w="160" w:type="dxa"/>
              <w:right w:w="160" w:type="dxa"/>
            </w:tcMar>
          </w:tcPr>
          <w:p>
            <w:pPr>
              <w:jc w:val="left"/>
            </w:pPr>
            <w:r>
              <w:rPr>
                <w:rFonts w:ascii="Arial" w:hAnsi="Arial"/>
                <w:color w:val="1F2937"/>
                <w:sz w:val="19"/>
              </w:rPr>
              <w:t>https://darukaa-biodiversity-ai-atjv.onrender.com/docs</w:t>
            </w:r>
          </w:p>
        </w:tc>
        <w:tc>
          <w:tcPr>
            <w:tcW w:type="dxa" w:w="2160"/>
            <w:shd w:fill="F9FAFB"/>
            <w:tcMar>
              <w:top w:w="100" w:type="dxa"/>
              <w:bottom w:w="100" w:type="dxa"/>
              <w:left w:w="160" w:type="dxa"/>
              <w:right w:w="160" w:type="dxa"/>
            </w:tcMar>
          </w:tcPr>
          <w:p>
            <w:pPr>
              <w:jc w:val="left"/>
            </w:pPr>
            <w:r>
              <w:rPr>
                <w:rFonts w:ascii="Arial" w:hAnsi="Arial"/>
                <w:color w:val="1F2937"/>
                <w:sz w:val="19"/>
              </w:rPr>
              <w:t>FastAPI Swagger interactive documentation</w:t>
            </w:r>
          </w:p>
        </w:tc>
      </w:tr>
      <w:tr>
        <w:tc>
          <w:tcPr>
            <w:tcW w:type="dxa" w:w="2592"/>
            <w:shd w:fill="FFFFFF"/>
            <w:tcMar>
              <w:top w:w="100" w:type="dxa"/>
              <w:bottom w:w="100" w:type="dxa"/>
              <w:left w:w="160" w:type="dxa"/>
              <w:right w:w="160" w:type="dxa"/>
            </w:tcMar>
          </w:tcPr>
          <w:p>
            <w:pPr>
              <w:jc w:val="left"/>
            </w:pPr>
            <w:r>
              <w:rPr>
                <w:rFonts w:ascii="Arial" w:hAnsi="Arial"/>
                <w:color w:val="1F2937"/>
                <w:sz w:val="19"/>
              </w:rPr>
              <w:t>API Health Check</w:t>
            </w:r>
          </w:p>
        </w:tc>
        <w:tc>
          <w:tcPr>
            <w:tcW w:type="dxa" w:w="4608"/>
            <w:shd w:fill="FFFFFF"/>
            <w:tcMar>
              <w:top w:w="100" w:type="dxa"/>
              <w:bottom w:w="100" w:type="dxa"/>
              <w:left w:w="160" w:type="dxa"/>
              <w:right w:w="160" w:type="dxa"/>
            </w:tcMar>
          </w:tcPr>
          <w:p>
            <w:pPr>
              <w:jc w:val="left"/>
            </w:pPr>
            <w:r>
              <w:rPr>
                <w:rFonts w:ascii="Arial" w:hAnsi="Arial"/>
                <w:color w:val="1F2937"/>
                <w:sz w:val="19"/>
              </w:rPr>
              <w:t>https://darukaa-biodiversity-ai-atjv.onrender.com/health</w:t>
            </w:r>
          </w:p>
        </w:tc>
        <w:tc>
          <w:tcPr>
            <w:tcW w:type="dxa" w:w="2160"/>
            <w:shd w:fill="FFFFFF"/>
            <w:tcMar>
              <w:top w:w="100" w:type="dxa"/>
              <w:bottom w:w="100" w:type="dxa"/>
              <w:left w:w="160" w:type="dxa"/>
              <w:right w:w="160" w:type="dxa"/>
            </w:tcMar>
          </w:tcPr>
          <w:p>
            <w:pPr>
              <w:jc w:val="left"/>
            </w:pPr>
            <w:r>
              <w:rPr>
                <w:rFonts w:ascii="Arial" w:hAnsi="Arial"/>
                <w:color w:val="1F2937"/>
                <w:sz w:val="19"/>
              </w:rPr>
              <w:t>Live endpoint verifying 57 indexed documents</w:t>
            </w:r>
          </w:p>
        </w:tc>
      </w:tr>
    </w:tbl>
    <w:p/>
    <w:p>
      <w:pPr>
        <w:keepNext/>
        <w:spacing w:before="360" w:after="160"/>
      </w:pPr>
      <w:r>
        <w:rPr>
          <w:rFonts w:ascii="Arial" w:hAnsi="Arial"/>
          <w:b/>
          <w:color w:val="1B4D3E"/>
          <w:sz w:val="32"/>
        </w:rPr>
        <w:t>22. Conclusion</w:t>
      </w:r>
    </w:p>
    <w:p>
      <w:pPr>
        <w:spacing w:after="120"/>
      </w:pPr>
      <w:r>
        <w:t>Darukaa.Earth — Biodiversity Intelligence demonstrates how modern foundation models can be strictly grounded to deliver defensible, high-utility environmental science advice. By coupling Google Gemini with a deterministic multi-metric reasoning layer, a 57-document peer-reviewed RAG knowledge base, and an evidence-grounded recommendation schema, the system successfully eliminates LLM hallucination and delivers actionable, compound ecological intelligence.</w:t>
      </w:r>
    </w:p>
    <w:p>
      <w:pPr>
        <w:spacing w:after="120"/>
      </w:pPr>
      <w:r>
        <w:t>With full multi-turn memory, proactive clarifying questions, real-time streaming, and a high-efficiency production deployment running on Render and Streamlit Cloud, Darukaa.Earth fulfills every requirement of the Darukaa hackathon challenge and establishes a scalable foundation for AI-assisted planetary stewardship.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Arial" w:hAnsi="Arial"/>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