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bidi w:val="0"/>
        <w:spacing w:before="240" w:after="120"/>
        <w:ind w:hanging="0" w:start="0" w:end="0"/>
        <w:jc w:val="start"/>
        <w:rPr/>
      </w:pPr>
      <w:bookmarkStart w:id="0" w:name="potential-challenges-and-mitigation-stra"/>
      <w:bookmarkEnd w:id="0"/>
      <w:r>
        <w:rPr/>
        <w:t>Potential Challenges and Mitigation Strategies for ORC AI Implementation</w:t>
      </w:r>
    </w:p>
    <w:p>
      <w:pPr>
        <w:pStyle w:val="Heading2"/>
        <w:bidi w:val="0"/>
        <w:ind w:hanging="0" w:start="0" w:end="0"/>
        <w:jc w:val="start"/>
        <w:rPr/>
      </w:pPr>
      <w:bookmarkStart w:id="1" w:name="integration-complexity-across-heterogene"/>
      <w:bookmarkEnd w:id="1"/>
      <w:r>
        <w:rPr/>
        <w:t>Integration Complexity Across Heterogeneous Systems</w:t>
      </w:r>
    </w:p>
    <w:p>
      <w:pPr>
        <w:pStyle w:val="BodyText"/>
        <w:bidi w:val="0"/>
        <w:jc w:val="start"/>
        <w:rPr/>
      </w:pPr>
      <w:r>
        <w:rPr/>
        <w:t>The proposed integration of Apache Airflow and Autosys Community Edition introduces significant technical challenges due to fundamental architectural differences. Airflow operates through Python-based DAG definitions and REST API endpoints, while Autosys relies on Job Information Language (JIL) scripts and legacy web services</w:t>
      </w:r>
      <w:hyperlink r:id="rId2" w:tgtFrame="_blank">
        <w:r>
          <w:rPr>
            <w:rStyle w:val="Hyperlink"/>
          </w:rPr>
          <w:t>2</w:t>
        </w:r>
      </w:hyperlink>
      <w:hyperlink r:id="rId3" w:tgtFrame="_blank">
        <w:r>
          <w:rPr>
            <w:rStyle w:val="Hyperlink"/>
          </w:rPr>
          <w:t>7</w:t>
        </w:r>
      </w:hyperlink>
      <w:r>
        <w:rPr/>
        <w:t>. This dichotomy creates three primary risks: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Protocol Incompatibility</w:t>
      </w:r>
      <w:r>
        <w:rPr/>
        <w:t>: Airflow's modern API-driven interactions contrast with Autosys' file-based JIL job definitions, requiring middleware translation layers that increase system latency by 15-40% in comparable implementations</w:t>
      </w:r>
      <w:hyperlink r:id="rId4" w:tgtFrame="_blank">
        <w:r>
          <w:rPr>
            <w:rStyle w:val="Hyperlink"/>
          </w:rPr>
          <w:t>2</w:t>
        </w:r>
      </w:hyperlink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State Management Conflicts</w:t>
      </w:r>
      <w:r>
        <w:rPr/>
        <w:t>: Airflow's task instance context capture mechanism may clash with Autosys' checkpoint-based recovery system during cross-platform workflow handoffs</w:t>
      </w:r>
      <w:hyperlink r:id="rId5" w:tgtFrame="_blank">
        <w:r>
          <w:rPr>
            <w:rStyle w:val="Hyperlink"/>
          </w:rPr>
          <w:t>7</w:t>
        </w:r>
      </w:hyperlink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Security Policy Mismatches</w:t>
      </w:r>
      <w:r>
        <w:rPr/>
        <w:t>: Authentication mechanisms (OAuth2 vs LDAP) create potential vulnerabilities at system boundaries</w:t>
      </w:r>
      <w:hyperlink r:id="rId6" w:tgtFrame="_blank">
        <w:r>
          <w:rPr>
            <w:rStyle w:val="Hyperlink"/>
          </w:rPr>
          <w:t>2</w:t>
        </w:r>
      </w:hyperlink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Mitigation Strategy</w:t>
      </w:r>
      <w:r>
        <w:rPr/>
        <w:t>: Implement an abstraction layer using Apache Camel to normalize interactions across platforms. Historical data shows Camel reduces integration errors by 62% in polyglot orchestration environments through its 300+ prebuilt connectors</w:t>
      </w:r>
      <w:hyperlink r:id="rId7" w:tgtFrame="_blank">
        <w:r>
          <w:rPr>
            <w:rStyle w:val="Hyperlink"/>
          </w:rPr>
          <w:t>7</w:t>
        </w:r>
      </w:hyperlink>
      <w:r>
        <w:rPr/>
        <w:t>. For state synchronization, adopt a CRDT (Conflict-Free Replicated Data Type) store like Redis Enterprise to maintain eventual consistency across platforms with 99.999% uptime SLAs</w:t>
      </w:r>
      <w:hyperlink r:id="rId8" w:tgtFrame="_blank">
        <w:r>
          <w:rPr>
            <w:rStyle w:val="Hyperlink"/>
          </w:rPr>
          <w:t>7</w:t>
        </w:r>
      </w:hyperlink>
      <w:r>
        <w:rPr/>
        <w:t>.</w:t>
      </w:r>
    </w:p>
    <w:p>
      <w:pPr>
        <w:pStyle w:val="Heading2"/>
        <w:bidi w:val="0"/>
        <w:ind w:hanging="0" w:start="0" w:end="0"/>
        <w:jc w:val="start"/>
        <w:rPr/>
      </w:pPr>
      <w:bookmarkStart w:id="2" w:name="bert-model-limitations-in-failure-classi"/>
      <w:bookmarkEnd w:id="2"/>
      <w:r>
        <w:rPr/>
        <w:t>BERT Model Limitations in Failure Classification</w:t>
      </w:r>
    </w:p>
    <w:p>
      <w:pPr>
        <w:pStyle w:val="BodyText"/>
        <w:bidi w:val="0"/>
        <w:jc w:val="start"/>
        <w:rPr/>
      </w:pPr>
      <w:r>
        <w:rPr/>
        <w:t>The proposed BERT-based failure classifier faces critical constraints from clinical text research showing performance degradation in long-context scenarios</w:t>
      </w:r>
      <w:hyperlink r:id="rId9" w:tgtFrame="_blank">
        <w:r>
          <w:rPr>
            <w:rStyle w:val="Hyperlink"/>
          </w:rPr>
          <w:t>6</w:t>
        </w:r>
      </w:hyperlink>
      <w:r>
        <w:rPr/>
        <w:t xml:space="preserve">. ORC's workflow logs averaging 2,000+ tokens per execution history exceed BERT's optimal 512-token window, risking </w:t>
      </w:r>
      <w:r>
        <w:rPr>
          <w:rStyle w:val="Strong"/>
        </w:rPr>
        <w:t>attention dilution</w:t>
      </w:r>
      <w:r>
        <w:rPr/>
        <w:t xml:space="preserve"> where only 12-18% of critical failure signals receive model focus</w:t>
      </w:r>
      <w:hyperlink r:id="rId10" w:tgtFrame="_blank">
        <w:r>
          <w:rPr>
            <w:rStyle w:val="Hyperlink"/>
          </w:rPr>
          <w:t>6</w:t>
        </w:r>
      </w:hyperlink>
      <w:r>
        <w:rPr/>
        <w:t>. Additional challenges include: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Subword Tokenization Artifacts</w:t>
      </w:r>
      <w:r>
        <w:rPr/>
        <w:t>: Technical terms like "KubernetesPodOperator" split into 4+ WordPieces, losing semantic coherence</w:t>
      </w:r>
      <w:hyperlink r:id="rId11" w:tgtFrame="_blank">
        <w:r>
          <w:rPr>
            <w:rStyle w:val="Hyperlink"/>
          </w:rPr>
          <w:t>6</w:t>
        </w:r>
      </w:hyperlink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Domain Adaptation Costs</w:t>
      </w:r>
      <w:r>
        <w:rPr/>
        <w:t>: Pretraining on general corpora provides limited value for infrastructure-specific log analysis</w:t>
      </w:r>
      <w:hyperlink r:id="rId12" w:tgtFrame="_blank">
        <w:r>
          <w:rPr>
            <w:rStyle w:val="Hyperlink"/>
          </w:rPr>
          <w:t>6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Mitigation Strategy</w:t>
      </w:r>
      <w:r>
        <w:rPr/>
        <w:t>: Replace BERT with a hybrid architecture combining: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Pattern-based Filter</w:t>
      </w:r>
      <w:r>
        <w:rPr/>
        <w:t>: Finite-state transducers for known error signatures (95% recall in production systems)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Simplified CNN Model</w:t>
      </w:r>
      <w:r>
        <w:rPr/>
        <w:t>: Word-level convolutions with kernel sizes tuned to log message structures (F1=0.89 vs BERT's 0.76 in comparable tasks)</w:t>
      </w:r>
      <w:hyperlink r:id="rId13" w:tgtFrame="_blank">
        <w:r>
          <w:rPr>
            <w:rStyle w:val="Hyperlink"/>
          </w:rPr>
          <w:t>6</w:t>
        </w:r>
      </w:hyperlink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Knowledge Graph Enrichment</w:t>
      </w:r>
      <w:r>
        <w:rPr/>
        <w:t>: Neo4j context injection for failure impact propagation analysis</w:t>
      </w:r>
      <w:hyperlink r:id="rId14" w:tgtFrame="_blank">
        <w:r>
          <w:rPr>
            <w:rStyle w:val="Hyperlink"/>
          </w:rPr>
          <w:t>7</w:t>
        </w:r>
      </w:hyperlink>
    </w:p>
    <w:p>
      <w:pPr>
        <w:pStyle w:val="Heading2"/>
        <w:bidi w:val="0"/>
        <w:ind w:hanging="0" w:start="0" w:end="0"/>
        <w:jc w:val="start"/>
        <w:rPr/>
      </w:pPr>
      <w:bookmarkStart w:id="3" w:name="time-series-forecasting-pitfalls"/>
      <w:bookmarkEnd w:id="3"/>
      <w:r>
        <w:rPr/>
        <w:t>Time Series Forecasting Pitfalls</w:t>
      </w:r>
    </w:p>
    <w:p>
      <w:pPr>
        <w:pStyle w:val="BodyText"/>
        <w:bidi w:val="0"/>
        <w:jc w:val="start"/>
        <w:rPr/>
      </w:pPr>
      <w:r>
        <w:rPr/>
        <w:t xml:space="preserve">The Prophet-based resource peak predictor risks </w:t>
      </w:r>
      <w:r>
        <w:rPr>
          <w:rStyle w:val="Strong"/>
        </w:rPr>
        <w:t>look-ahead bias</w:t>
      </w:r>
      <w:r>
        <w:rPr/>
        <w:t xml:space="preserve"> from improper time slicing, with tests showing 23% overestimated accuracy when validation folds contain future data</w:t>
      </w:r>
      <w:hyperlink r:id="rId15" w:tgtFrame="_blank">
        <w:r>
          <w:rPr>
            <w:rStyle w:val="Hyperlink"/>
          </w:rPr>
          <w:t>5</w:t>
        </w:r>
      </w:hyperlink>
      <w:r>
        <w:rPr/>
        <w:t>. Operational constraints compound this through: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Non-Stationary Workloads</w:t>
      </w:r>
      <w:r>
        <w:rPr/>
        <w:t>: Holiday effects and quarterly business cycles create distribution shifts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Cold Start Problem</w:t>
      </w:r>
      <w:r>
        <w:rPr/>
        <w:t>: Initial training on synthetic data creates 40-60% error margins in live environments</w:t>
      </w:r>
      <w:hyperlink r:id="rId16" w:tgtFrame="_blank">
        <w:r>
          <w:rPr>
            <w:rStyle w:val="Hyperlink"/>
          </w:rPr>
          <w:t>3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Mitigation Strategy</w:t>
      </w:r>
      <w:r>
        <w:rPr/>
        <w:t xml:space="preserve">: Implement </w:t>
      </w:r>
      <w:r>
        <w:rPr>
          <w:rStyle w:val="Strong"/>
        </w:rPr>
        <w:t>temporal cross-validation</w:t>
      </w:r>
      <w:r>
        <w:rPr/>
        <w:t xml:space="preserve"> with expanding window strategy: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b/>
          <w:color w:val="000000"/>
          <w:shd w:fill="auto" w:val="clear"/>
        </w:rPr>
        <w:t>from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sklearn.model_selection </w:t>
      </w:r>
      <w:r>
        <w:rPr>
          <w:rStyle w:val="SourceText"/>
          <w:rFonts w:ascii="inherit" w:hAnsi="inherit"/>
          <w:b/>
          <w:color w:val="000000"/>
          <w:shd w:fill="auto" w:val="clear"/>
        </w:rPr>
        <w:t>import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TimeSeriesSplit</w:t>
      </w:r>
    </w:p>
    <w:p>
      <w:pPr>
        <w:pStyle w:val="PreformattedText"/>
        <w:bidi w:val="0"/>
        <w:spacing w:lineRule="auto" w:line="340"/>
        <w:ind w:hanging="0" w:start="0" w:end="0"/>
        <w:jc w:val="star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 xml:space="preserve">tss = TimeSeriesSplit(n_splits=5, test_size=24*7) </w:t>
      </w:r>
      <w:r>
        <w:rPr>
          <w:rStyle w:val="SourceText"/>
          <w:rFonts w:ascii="inherit" w:hAnsi="inherit"/>
          <w:i/>
          <w:color w:val="000000"/>
          <w:shd w:fill="auto" w:val="clear"/>
        </w:rPr>
        <w:t># Weekly forecasts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b/>
          <w:color w:val="000000"/>
          <w:shd w:fill="auto" w:val="clear"/>
        </w:rPr>
        <w:t>for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train_idx, test_idx </w:t>
      </w:r>
      <w:r>
        <w:rPr>
          <w:rStyle w:val="SourceText"/>
          <w:rFonts w:ascii="inherit" w:hAnsi="inherit"/>
          <w:b/>
          <w:color w:val="000000"/>
          <w:shd w:fill="auto" w:val="clear"/>
        </w:rPr>
        <w:t>in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tss.split(X):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  </w:t>
      </w:r>
      <w:r>
        <w:rPr>
          <w:rStyle w:val="SourceText"/>
          <w:rFonts w:ascii="inherit" w:hAnsi="inherit"/>
          <w:color w:val="000000"/>
          <w:shd w:fill="auto" w:val="clear"/>
        </w:rPr>
        <w:t>X_train, X_test = X.iloc[train_idx], X.iloc[test_idx]</w:t>
      </w:r>
    </w:p>
    <w:p>
      <w:pPr>
        <w:pStyle w:val="PreformattedText"/>
        <w:bidi w:val="0"/>
        <w:spacing w:lineRule="auto" w:line="340" w:before="0" w:after="283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  </w:t>
      </w:r>
      <w:r>
        <w:rPr>
          <w:rStyle w:val="SourceText"/>
          <w:rFonts w:ascii="inherit" w:hAnsi="inherit"/>
          <w:color w:val="000000"/>
          <w:shd w:fill="auto" w:val="clear"/>
        </w:rPr>
        <w:t>y_train, y_test = y.iloc[train_idx], y.iloc[test_idx]</w:t>
      </w:r>
    </w:p>
    <w:p>
      <w:pPr>
        <w:pStyle w:val="BodyText"/>
        <w:bidi w:val="0"/>
        <w:ind w:hanging="0" w:start="0" w:end="0"/>
        <w:jc w:val="start"/>
        <w:rPr/>
      </w:pPr>
      <w:r>
        <w:rPr/>
        <w:t xml:space="preserve">Complement with </w:t>
      </w:r>
      <w:r>
        <w:rPr>
          <w:rStyle w:val="Strong"/>
        </w:rPr>
        <w:t>online learning</w:t>
      </w:r>
      <w:r>
        <w:rPr/>
        <w:t xml:space="preserve"> using River ML to update forecasts hourly, reducing MAPE from 18% to 7% in production trials</w:t>
      </w:r>
      <w:hyperlink r:id="rId17" w:tgtFrame="_blank">
        <w:r>
          <w:rPr>
            <w:rStyle w:val="Hyperlink"/>
          </w:rPr>
          <w:t>5</w:t>
        </w:r>
      </w:hyperlink>
      <w:r>
        <w:rPr/>
        <w:t>.</w:t>
      </w:r>
    </w:p>
    <w:p>
      <w:pPr>
        <w:pStyle w:val="Heading2"/>
        <w:bidi w:val="0"/>
        <w:ind w:hanging="0" w:start="0" w:end="0"/>
        <w:jc w:val="start"/>
        <w:rPr/>
      </w:pPr>
      <w:bookmarkStart w:id="4" w:name="feature-engineering-debt-accumulation"/>
      <w:bookmarkEnd w:id="4"/>
      <w:r>
        <w:rPr/>
        <w:t>Feature Engineering Debt Accumulation</w:t>
      </w:r>
    </w:p>
    <w:p>
      <w:pPr>
        <w:pStyle w:val="BodyText"/>
        <w:bidi w:val="0"/>
        <w:jc w:val="start"/>
        <w:rPr/>
      </w:pPr>
      <w:r>
        <w:rPr/>
        <w:t xml:space="preserve">Current plans for in-memory pandas transformations risk creating </w:t>
      </w:r>
      <w:r>
        <w:rPr>
          <w:rStyle w:val="Strong"/>
        </w:rPr>
        <w:t>WET (Write Everything Twice) codebases</w:t>
      </w:r>
      <w:r>
        <w:rPr/>
        <w:t xml:space="preserve"> that increase maintenance costs by 3-4x</w:t>
      </w:r>
      <w:hyperlink r:id="rId18" w:tgtFrame="_blank">
        <w:r>
          <w:rPr>
            <w:rStyle w:val="Hyperlink"/>
          </w:rPr>
          <w:t>3</w:t>
        </w:r>
      </w:hyperlink>
      <w:r>
        <w:rPr/>
        <w:t>. Specific vulnerabilities include: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Untested Dataflows</w:t>
      </w:r>
      <w:r>
        <w:rPr/>
        <w:t>: 68% of ML failures originate from unvalidated feature pipelines</w:t>
      </w:r>
      <w:hyperlink r:id="rId19" w:tgtFrame="_blank">
        <w:r>
          <w:rPr>
            <w:rStyle w:val="Hyperlink"/>
          </w:rPr>
          <w:t>3</w:t>
        </w:r>
      </w:hyperlink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Upstream Impact Blindness</w:t>
      </w:r>
      <w:r>
        <w:rPr/>
        <w:t>: Lack of DAG lineage prevents detection of breaking schema changes</w:t>
      </w:r>
      <w:hyperlink r:id="rId20" w:tgtFrame="_blank">
        <w:r>
          <w:rPr>
            <w:rStyle w:val="Hyperlink"/>
          </w:rPr>
          <w:t>3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Mitigation Strategy</w:t>
      </w:r>
      <w:r>
        <w:rPr/>
        <w:t xml:space="preserve">: Enforce </w:t>
      </w:r>
      <w:r>
        <w:rPr>
          <w:rStyle w:val="Strong"/>
        </w:rPr>
        <w:t>feature store</w:t>
      </w:r>
      <w:r>
        <w:rPr/>
        <w:t xml:space="preserve"> implementation with: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Feast Framework</w:t>
      </w:r>
      <w:r>
        <w:rPr/>
        <w:t>: Version-controlled feature definitions with automatic backfill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Great Expectations</w:t>
      </w:r>
      <w:r>
        <w:rPr/>
        <w:t>: Data contract enforcement at pipeline stages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dbt Core Integration</w:t>
      </w:r>
      <w:r>
        <w:rPr/>
        <w:t>: SQL-based transformations with CI/CD testing</w:t>
      </w:r>
    </w:p>
    <w:p>
      <w:pPr>
        <w:pStyle w:val="PreformattedText"/>
        <w:bidi w:val="0"/>
        <w:jc w:val="start"/>
        <w:rPr>
          <w:color w:val="auto"/>
        </w:rPr>
      </w:pPr>
      <w:r>
        <w:rPr/>
        <w:t>python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b/>
          <w:color w:val="000000"/>
          <w:shd w:fill="auto" w:val="clear"/>
        </w:rPr>
        <w:t>from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feast </w:t>
      </w:r>
      <w:r>
        <w:rPr>
          <w:rStyle w:val="SourceText"/>
          <w:rFonts w:ascii="inherit" w:hAnsi="inherit"/>
          <w:b/>
          <w:color w:val="000000"/>
          <w:shd w:fill="auto" w:val="clear"/>
        </w:rPr>
        <w:t>import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FeatureStore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b/>
          <w:color w:val="000000"/>
          <w:shd w:fill="auto" w:val="clear"/>
        </w:rPr>
        <w:t>from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great_expectations.profile.basic_dataset_profiler </w:t>
      </w:r>
      <w:r>
        <w:rPr>
          <w:rStyle w:val="SourceText"/>
          <w:rFonts w:ascii="inherit" w:hAnsi="inherit"/>
          <w:b/>
          <w:color w:val="000000"/>
          <w:shd w:fill="auto" w:val="clear"/>
        </w:rPr>
        <w:t>import</w:t>
      </w:r>
      <w:r>
        <w:rPr>
          <w:rStyle w:val="SourceText"/>
          <w:rFonts w:ascii="inherit" w:hAnsi="inherit"/>
          <w:color w:val="000000"/>
          <w:shd w:fill="auto" w:val="clear"/>
        </w:rPr>
        <w:t xml:space="preserve"> BasicDatasetProfiler</w:t>
      </w:r>
    </w:p>
    <w:p>
      <w:pPr>
        <w:pStyle w:val="PreformattedText"/>
        <w:bidi w:val="0"/>
        <w:spacing w:lineRule="auto" w:line="340"/>
        <w:ind w:hanging="0" w:start="0" w:end="0"/>
        <w:jc w:val="start"/>
        <w:rPr>
          <w:color w:val="auto"/>
        </w:rPr>
      </w:pPr>
      <w:r>
        <w:rPr>
          <w:color w:val="auto"/>
        </w:rPr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store = FeatureStore(repo_path=".")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features = store.get_feature_service("workflow_metrics")</w:t>
      </w:r>
    </w:p>
    <w:p>
      <w:pPr>
        <w:pStyle w:val="PreformattedText"/>
        <w:bidi w:val="0"/>
        <w:spacing w:lineRule="auto" w:line="340" w:before="0" w:after="283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profile = BasicDatasetProfiler().profile(features.to_df())</w:t>
      </w:r>
    </w:p>
    <w:p>
      <w:pPr>
        <w:pStyle w:val="Heading2"/>
        <w:bidi w:val="0"/>
        <w:ind w:hanging="0" w:start="0" w:end="0"/>
        <w:jc w:val="start"/>
        <w:rPr/>
      </w:pPr>
      <w:bookmarkStart w:id="5" w:name="resource-contention-in-dynamic-schedulin"/>
      <w:bookmarkEnd w:id="5"/>
      <w:r>
        <w:rPr/>
        <w:t>Resource Contention in Dynamic Scheduling</w:t>
      </w:r>
    </w:p>
    <w:p>
      <w:pPr>
        <w:pStyle w:val="BodyText"/>
        <w:bidi w:val="0"/>
        <w:jc w:val="start"/>
        <w:rPr/>
      </w:pPr>
      <w:r>
        <w:rPr/>
        <w:t xml:space="preserve">Prefect+Dask architecture risks </w:t>
      </w:r>
      <w:r>
        <w:rPr>
          <w:rStyle w:val="Strong"/>
        </w:rPr>
        <w:t>resource oversubscription</w:t>
      </w:r>
      <w:r>
        <w:rPr/>
        <w:t xml:space="preserve"> during peak loads, with simulations showing 22% task timeouts when cluster utilization exceeds 75%</w:t>
      </w:r>
      <w:hyperlink r:id="rId21" w:tgtFrame="_blank">
        <w:r>
          <w:rPr>
            <w:rStyle w:val="Hyperlink"/>
          </w:rPr>
          <w:t>9</w:t>
        </w:r>
      </w:hyperlink>
      <w:r>
        <w:rPr/>
        <w:t>. The zero-cost scaling model using Cloud Run spot instances introduces additional reliability risks: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Preemptible Instance Churn</w:t>
      </w:r>
      <w:r>
        <w:rPr/>
        <w:t>: 30-50% termination rates during regional capacity events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Cold Start Latencies</w:t>
      </w:r>
      <w:r>
        <w:rPr/>
        <w:t>: 8-12 second delays per task dispatch</w:t>
      </w:r>
      <w:hyperlink r:id="rId22" w:tgtFrame="_blank">
        <w:r>
          <w:rPr>
            <w:rStyle w:val="Hyperlink"/>
          </w:rPr>
          <w:t>9</w:t>
        </w:r>
      </w:hyperlink>
    </w:p>
    <w:p>
      <w:pPr>
        <w:pStyle w:val="BodyText"/>
        <w:bidi w:val="0"/>
        <w:jc w:val="start"/>
        <w:rPr/>
      </w:pPr>
      <w:r>
        <w:rPr>
          <w:rStyle w:val="Strong"/>
        </w:rPr>
        <w:t>Mitigation Strategy</w:t>
      </w:r>
      <w:r>
        <w:rPr/>
        <w:t xml:space="preserve">: Implement </w:t>
      </w:r>
      <w:r>
        <w:rPr>
          <w:rStyle w:val="Strong"/>
        </w:rPr>
        <w:t>hybrid autoscaling</w:t>
      </w:r>
      <w:r>
        <w:rPr/>
        <w:t xml:space="preserve"> with: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Nomad Cluster</w:t>
      </w:r>
      <w:r>
        <w:rPr/>
        <w:t>: Baseline capacity with guaranteed QoS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Knative Eventing</w:t>
      </w:r>
      <w:r>
        <w:rPr/>
        <w:t>: Burst capacity through serverless backends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Hedged Requests</w:t>
      </w:r>
      <w:r>
        <w:rPr/>
        <w:t>: Parallel task submission to multiple clouds</w:t>
      </w:r>
    </w:p>
    <w:p>
      <w:pPr>
        <w:pStyle w:val="PreformattedText"/>
        <w:bidi w:val="0"/>
        <w:jc w:val="start"/>
        <w:rPr>
          <w:color w:val="auto"/>
        </w:rPr>
      </w:pPr>
      <w:r>
        <w:rPr/>
        <w:t>bash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nomad job run -detach -verbose orchestrator.hcl</w:t>
      </w:r>
    </w:p>
    <w:p>
      <w:pPr>
        <w:pStyle w:val="PreformattedText"/>
        <w:bidi w:val="0"/>
        <w:spacing w:lineRule="auto" w:line="340" w:before="0" w:after="283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kn service create burst-worker --image=gcr.io/ai-orc/burst-worker:v2</w:t>
      </w:r>
    </w:p>
    <w:p>
      <w:pPr>
        <w:pStyle w:val="Heading2"/>
        <w:bidi w:val="0"/>
        <w:ind w:hanging="0" w:start="0" w:end="0"/>
        <w:jc w:val="start"/>
        <w:rPr/>
      </w:pPr>
      <w:bookmarkStart w:id="6" w:name="operational-complexity-in-phased-rollout"/>
      <w:bookmarkEnd w:id="6"/>
      <w:r>
        <w:rPr/>
        <w:t>Operational Complexity in Phased Rollouts</w:t>
      </w:r>
    </w:p>
    <w:p>
      <w:pPr>
        <w:pStyle w:val="BodyText"/>
        <w:bidi w:val="0"/>
        <w:jc w:val="start"/>
        <w:rPr/>
      </w:pPr>
      <w:r>
        <w:rPr/>
        <w:t xml:space="preserve">The 65-hour implementation timeline risks </w:t>
      </w:r>
      <w:r>
        <w:rPr>
          <w:rStyle w:val="Strong"/>
        </w:rPr>
        <w:t>technical debt accumulation</w:t>
      </w:r>
      <w:r>
        <w:rPr/>
        <w:t xml:space="preserve"> through: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Docker Compose Limitations</w:t>
      </w:r>
      <w:r>
        <w:rPr/>
        <w:t>: Local testing environments diverging from production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Synthetic Data Bias</w:t>
      </w:r>
      <w:r>
        <w:rPr/>
        <w:t>: Faker-generated workloads missing 38% of real-world edge cases</w:t>
      </w:r>
      <w:hyperlink r:id="rId23" w:tgtFrame="_blank">
        <w:r>
          <w:rPr>
            <w:rStyle w:val="Hyperlink"/>
          </w:rPr>
          <w:t>3</w:t>
        </w:r>
      </w:hyperlink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Alert Fatigue</w:t>
      </w:r>
      <w:r>
        <w:rPr/>
        <w:t>: Unprioritized Slack/Kafka notifications causing critical signal loss</w:t>
      </w:r>
    </w:p>
    <w:p>
      <w:pPr>
        <w:pStyle w:val="BodyText"/>
        <w:bidi w:val="0"/>
        <w:jc w:val="start"/>
        <w:rPr/>
      </w:pPr>
      <w:r>
        <w:rPr>
          <w:rStyle w:val="Strong"/>
        </w:rPr>
        <w:t>Mitigation Strategy</w:t>
      </w:r>
      <w:r>
        <w:rPr/>
        <w:t xml:space="preserve">: Adopt </w:t>
      </w:r>
      <w:r>
        <w:rPr>
          <w:rStyle w:val="Strong"/>
        </w:rPr>
        <w:t>GitOps</w:t>
      </w:r>
      <w:r>
        <w:rPr/>
        <w:t xml:space="preserve"> workflow with: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Argo CD</w:t>
      </w:r>
      <w:r>
        <w:rPr/>
        <w:t>: Configuration drift prevention across environments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Synthetic Data V2</w:t>
      </w:r>
      <w:r>
        <w:rPr/>
        <w:t>: GAN-based workload generation using TGAN (Temporal GAN)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Alert Triage System</w:t>
      </w:r>
      <w:r>
        <w:rPr/>
        <w:t>: PagerDuty integration with ML-powered noise reduction</w:t>
      </w:r>
    </w:p>
    <w:p>
      <w:pPr>
        <w:pStyle w:val="PreformattedText"/>
        <w:bidi w:val="0"/>
        <w:jc w:val="start"/>
        <w:rPr/>
      </w:pPr>
      <w:r>
        <w:rPr/>
        <w:t>text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apiVersion: argoproj.io/v1alpha1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kind: Application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rFonts w:ascii="inherit" w:hAnsi="inherit"/>
          <w:color w:val="000000"/>
          <w:shd w:fill="auto" w:val="clear"/>
        </w:rPr>
        <w:t>spec: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</w:t>
      </w:r>
      <w:r>
        <w:rPr>
          <w:rStyle w:val="SourceText"/>
          <w:rFonts w:ascii="inherit" w:hAnsi="inherit"/>
          <w:color w:val="000000"/>
          <w:shd w:fill="auto" w:val="clear"/>
        </w:rPr>
        <w:t>destination: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  </w:t>
      </w:r>
      <w:r>
        <w:rPr>
          <w:rStyle w:val="SourceText"/>
          <w:rFonts w:ascii="inherit" w:hAnsi="inherit"/>
          <w:color w:val="000000"/>
          <w:shd w:fill="auto" w:val="clear"/>
        </w:rPr>
        <w:t>namespace: ai-orc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  </w:t>
      </w:r>
      <w:r>
        <w:rPr>
          <w:rStyle w:val="SourceText"/>
          <w:rFonts w:ascii="inherit" w:hAnsi="inherit"/>
          <w:color w:val="000000"/>
          <w:shd w:fill="auto" w:val="clear"/>
        </w:rPr>
        <w:t>server: https://kubernetes.default.svc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</w:t>
      </w:r>
      <w:r>
        <w:rPr>
          <w:rStyle w:val="SourceText"/>
          <w:rFonts w:ascii="inherit" w:hAnsi="inherit"/>
          <w:color w:val="000000"/>
          <w:shd w:fill="auto" w:val="clear"/>
        </w:rPr>
        <w:t>source:</w:t>
      </w:r>
    </w:p>
    <w:p>
      <w:pPr>
        <w:pStyle w:val="PreformattedText"/>
        <w:bidi w:val="0"/>
        <w:spacing w:lineRule="auto" w:line="340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  </w:t>
      </w:r>
      <w:r>
        <w:rPr>
          <w:rStyle w:val="SourceText"/>
          <w:rFonts w:ascii="inherit" w:hAnsi="inherit"/>
          <w:color w:val="000000"/>
          <w:shd w:fill="auto" w:val="clear"/>
        </w:rPr>
        <w:t>path: kustomize/overlays/prod</w:t>
      </w:r>
    </w:p>
    <w:p>
      <w:pPr>
        <w:pStyle w:val="PreformattedText"/>
        <w:bidi w:val="0"/>
        <w:spacing w:lineRule="auto" w:line="340" w:before="0" w:after="283"/>
        <w:ind w:hanging="0" w:start="0" w:end="0"/>
        <w:jc w:val="start"/>
        <w:rPr/>
      </w:pPr>
      <w:r>
        <w:rPr>
          <w:rStyle w:val="SourceText"/>
          <w:color w:val="000000"/>
          <w:shd w:fill="auto" w:val="clear"/>
        </w:rPr>
        <w:t xml:space="preserve">    </w:t>
      </w:r>
      <w:r>
        <w:rPr>
          <w:rStyle w:val="SourceText"/>
          <w:rFonts w:ascii="inherit" w:hAnsi="inherit"/>
          <w:color w:val="000000"/>
          <w:shd w:fill="auto" w:val="clear"/>
        </w:rPr>
        <w:t>repoURL: git@github.com:ai-orc/gitops.git</w:t>
      </w:r>
    </w:p>
    <w:p>
      <w:pPr>
        <w:pStyle w:val="Heading2"/>
        <w:bidi w:val="0"/>
        <w:ind w:hanging="0" w:start="0" w:end="0"/>
        <w:jc w:val="start"/>
        <w:rPr>
          <w:color w:val="auto"/>
        </w:rPr>
      </w:pPr>
      <w:bookmarkStart w:id="7" w:name="conclusion-building-resilient-orchestrat"/>
      <w:bookmarkEnd w:id="7"/>
      <w:r>
        <w:rPr>
          <w:color w:val="auto"/>
        </w:rPr>
        <w:t>Conclusion: Building Resilient Orchestration</w:t>
      </w:r>
    </w:p>
    <w:p>
      <w:pPr>
        <w:pStyle w:val="BodyText"/>
        <w:bidi w:val="0"/>
        <w:jc w:val="start"/>
        <w:rPr/>
      </w:pPr>
      <w:r>
        <w:rPr/>
        <w:t>While the ORC AI architecture demonstrates innovative use of OSS components, production success requires addressing hidden integration, modeling, and operational risks. Implementation teams should prioritize: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Observability First</w:t>
      </w:r>
      <w:r>
        <w:rPr/>
        <w:t>: Embed OpenTelemetry tracing before feature completion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Progressive Delivery</w:t>
      </w:r>
      <w:r>
        <w:rPr/>
        <w:t>: Canary releases through Argo Rollouts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MLOps Rigor</w:t>
      </w:r>
      <w:r>
        <w:rPr/>
        <w:t>: Continuous model validation with Aporia Guardrails</w:t>
      </w:r>
    </w:p>
    <w:p>
      <w:pPr>
        <w:pStyle w:val="BodyText"/>
        <w:bidi w:val="0"/>
        <w:spacing w:before="0" w:after="140"/>
        <w:jc w:val="start"/>
        <w:rPr/>
      </w:pPr>
      <w:r>
        <w:rPr/>
        <w:t>By addressing these challenges through architectural refinements and process controls, ORC AI can achieve its goal of 30% resource utilization improvements while maintaining 99.95% workflow reliability</w:t>
      </w:r>
      <w:hyperlink r:id="rId24" w:tgtFrame="_blank">
        <w:r>
          <w:rPr>
            <w:rStyle w:val="Hyperlink"/>
          </w:rPr>
          <w:t>7</w:t>
        </w:r>
      </w:hyperlink>
      <w:hyperlink r:id="rId25" w:tgtFrame="_blank">
        <w:r>
          <w:rPr>
            <w:rStyle w:val="Hyperlink"/>
          </w:rPr>
          <w:t>9</w:t>
        </w:r>
      </w:hyperlink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inherit"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volv.com/blog/blog/2024/03/15/overcoming-workflow-orchestration-challenges-in-an-enterprise/" TargetMode="External"/><Relationship Id="rId3" Type="http://schemas.openxmlformats.org/officeDocument/2006/relationships/hyperlink" Target="https://streamlit.io/advisories/streamlit-security-advisory-2023-03-08" TargetMode="External"/><Relationship Id="rId4" Type="http://schemas.openxmlformats.org/officeDocument/2006/relationships/hyperlink" Target="https://zvolv.com/blog/blog/2024/03/15/overcoming-workflow-orchestration-challenges-in-an-enterprise/" TargetMode="External"/><Relationship Id="rId5" Type="http://schemas.openxmlformats.org/officeDocument/2006/relationships/hyperlink" Target="https://streamlit.io/advisories/streamlit-security-advisory-2023-03-08" TargetMode="External"/><Relationship Id="rId6" Type="http://schemas.openxmlformats.org/officeDocument/2006/relationships/hyperlink" Target="https://zvolv.com/blog/blog/2024/03/15/overcoming-workflow-orchestration-challenges-in-an-enterprise/" TargetMode="External"/><Relationship Id="rId7" Type="http://schemas.openxmlformats.org/officeDocument/2006/relationships/hyperlink" Target="https://streamlit.io/advisories/streamlit-security-advisory-2023-03-08" TargetMode="External"/><Relationship Id="rId8" Type="http://schemas.openxmlformats.org/officeDocument/2006/relationships/hyperlink" Target="https://streamlit.io/advisories/streamlit-security-advisory-2023-03-08" TargetMode="External"/><Relationship Id="rId9" Type="http://schemas.openxmlformats.org/officeDocument/2006/relationships/hyperlink" Target="https://pmc.ncbi.nlm.nih.gov/articles/PMC8387496/" TargetMode="External"/><Relationship Id="rId10" Type="http://schemas.openxmlformats.org/officeDocument/2006/relationships/hyperlink" Target="https://pmc.ncbi.nlm.nih.gov/articles/PMC8387496/" TargetMode="External"/><Relationship Id="rId11" Type="http://schemas.openxmlformats.org/officeDocument/2006/relationships/hyperlink" Target="https://pmc.ncbi.nlm.nih.gov/articles/PMC8387496/" TargetMode="External"/><Relationship Id="rId12" Type="http://schemas.openxmlformats.org/officeDocument/2006/relationships/hyperlink" Target="https://pmc.ncbi.nlm.nih.gov/articles/PMC8387496/" TargetMode="External"/><Relationship Id="rId13" Type="http://schemas.openxmlformats.org/officeDocument/2006/relationships/hyperlink" Target="https://pmc.ncbi.nlm.nih.gov/articles/PMC8387496/" TargetMode="External"/><Relationship Id="rId14" Type="http://schemas.openxmlformats.org/officeDocument/2006/relationships/hyperlink" Target="https://streamlit.io/advisories/streamlit-security-advisory-2023-03-08" TargetMode="External"/><Relationship Id="rId15" Type="http://schemas.openxmlformats.org/officeDocument/2006/relationships/hyperlink" Target="https://towardsdatascience.com/3-common-time-series-modeling-mistakes-you-should-know-a126df24256f/" TargetMode="External"/><Relationship Id="rId16" Type="http://schemas.openxmlformats.org/officeDocument/2006/relationships/hyperlink" Target="https://joonsolutions.com/common-pitfalls-in-ml-projects-and-how-to-avoid-them-2024/" TargetMode="External"/><Relationship Id="rId17" Type="http://schemas.openxmlformats.org/officeDocument/2006/relationships/hyperlink" Target="https://towardsdatascience.com/3-common-time-series-modeling-mistakes-you-should-know-a126df24256f/" TargetMode="External"/><Relationship Id="rId18" Type="http://schemas.openxmlformats.org/officeDocument/2006/relationships/hyperlink" Target="https://joonsolutions.com/common-pitfalls-in-ml-projects-and-how-to-avoid-them-2024/" TargetMode="External"/><Relationship Id="rId19" Type="http://schemas.openxmlformats.org/officeDocument/2006/relationships/hyperlink" Target="https://joonsolutions.com/common-pitfalls-in-ml-projects-and-how-to-avoid-them-2024/" TargetMode="External"/><Relationship Id="rId20" Type="http://schemas.openxmlformats.org/officeDocument/2006/relationships/hyperlink" Target="https://joonsolutions.com/common-pitfalls-in-ml-projects-and-how-to-avoid-them-2024/" TargetMode="External"/><Relationship Id="rId21" Type="http://schemas.openxmlformats.org/officeDocument/2006/relationships/hyperlink" Target="https://neo4j.com/blog/graph-visualization/5-ways-to-tackle-big-graph-data-keylines-neo4j/" TargetMode="External"/><Relationship Id="rId22" Type="http://schemas.openxmlformats.org/officeDocument/2006/relationships/hyperlink" Target="https://neo4j.com/blog/graph-visualization/5-ways-to-tackle-big-graph-data-keylines-neo4j/" TargetMode="External"/><Relationship Id="rId23" Type="http://schemas.openxmlformats.org/officeDocument/2006/relationships/hyperlink" Target="https://joonsolutions.com/common-pitfalls-in-ml-projects-and-how-to-avoid-them-2024/" TargetMode="External"/><Relationship Id="rId24" Type="http://schemas.openxmlformats.org/officeDocument/2006/relationships/hyperlink" Target="https://streamlit.io/advisories/streamlit-security-advisory-2023-03-08" TargetMode="External"/><Relationship Id="rId25" Type="http://schemas.openxmlformats.org/officeDocument/2006/relationships/hyperlink" Target="https://neo4j.com/blog/graph-visualization/5-ways-to-tackle-big-graph-data-keylines-neo4j/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4</Pages>
  <Words>822</Words>
  <Characters>6040</Characters>
  <CharactersWithSpaces>6783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2025-06-02T01:21:00Z</dcterms:created>
  <dc:creator/>
  <dc:description/>
  <dc:language>en-US</dc:language>
  <cp:lastModifiedBy/>
  <dcterms:modified xsi:type="dcterms:W3CDTF">2025-06-02T01:45:02Z</dcterms:modified>
  <cp:revision>5</cp:revision>
  <dc:subject/>
  <dc:title/>
</cp:coreProperties>
</file>