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94D068" w14:textId="77777777" w:rsidR="003D1017" w:rsidRDefault="00000000">
      <w:pPr>
        <w:spacing w:before="120" w:after="200"/>
        <w:jc w:val="center"/>
      </w:pPr>
      <w:r>
        <w:rPr>
          <w:b/>
          <w:bCs/>
          <w:sz w:val="44"/>
          <w:szCs w:val="44"/>
        </w:rPr>
        <w:t>Auditing Pretraining Contamination in 3D Brain-MRI Foundation Models Using a Same-Scanner Natural Experiment</w:t>
      </w:r>
    </w:p>
    <w:tbl>
      <w:tblPr>
        <w:tblW w:w="103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5194"/>
        <w:gridCol w:w="5194"/>
      </w:tblGrid>
      <w:tr w:rsidR="003D1017">
        <w:tc>
          <w:tcPr>
            <w:tcW w:w="5194" w:type="dxa"/>
            <w:vAlign w:val="top"/>
          </w:tcPr>
          <w:p>
            <w:pPr>
              <w:spacing w:before="40" w:after="40"/>
              <w:jc w:val="center"/>
            </w:pPr>
            <w:r>
              <w:rPr>
                <w:rFonts w:ascii="Times New Roman" w:hAnsi="Times New Roman" w:cs="Times New Roman"/>
                <w:b/>
                <w:bCs/>
                <w:sz w:val="24"/>
                <w:szCs w:val="24"/>
              </w:rPr>
              <w:t>Pranav PN</w:t>
            </w:r>
          </w:p>
          <w:p>
            <w:pPr>
              <w:spacing w:after="0"/>
              <w:jc w:val="center"/>
            </w:pPr>
            <w:r>
              <w:rPr>
                <w:rFonts w:ascii="Times New Roman" w:hAnsi="Times New Roman" w:cs="Times New Roman"/>
                <w:sz w:val="20"/>
                <w:szCs w:val="20"/>
              </w:rPr>
              <w:t>School of Computer Science and Engineering</w:t>
            </w:r>
          </w:p>
          <w:p>
            <w:pPr>
              <w:spacing w:after="0"/>
              <w:jc w:val="center"/>
            </w:pPr>
            <w:r>
              <w:rPr>
                <w:rFonts w:ascii="Times New Roman" w:hAnsi="Times New Roman" w:cs="Times New Roman"/>
                <w:sz w:val="20"/>
                <w:szCs w:val="20"/>
              </w:rPr>
              <w:t>Vellore Institute of Technology</w:t>
            </w:r>
          </w:p>
          <w:p>
            <w:pPr>
              <w:spacing w:after="40"/>
              <w:jc w:val="center"/>
            </w:pPr>
            <w:r>
              <w:rPr>
                <w:rFonts w:ascii="Times New Roman" w:hAnsi="Times New Roman" w:cs="Times New Roman"/>
                <w:sz w:val="20"/>
                <w:szCs w:val="20"/>
              </w:rPr>
              <w:t>Chennai, India</w:t>
            </w:r>
          </w:p>
          <w:p>
            <w:pPr>
              <w:spacing w:after="40"/>
              <w:jc w:val="center"/>
            </w:pPr>
            <w:r>
              <w:rPr>
                <w:rFonts w:ascii="Times New Roman" w:hAnsi="Times New Roman" w:cs="Times New Roman"/>
                <w:i/>
                <w:iCs/>
                <w:sz w:val="18"/>
                <w:szCs w:val="18"/>
              </w:rPr>
              <w:t>pranav.pn2024@vitstudent.ac.in</w:t>
            </w:r>
          </w:p>
        </w:tc>
        <w:tc>
          <w:tcPr>
            <w:tcW w:w="5194" w:type="dxa"/>
            <w:vAlign w:val="top"/>
          </w:tcPr>
          <w:p>
            <w:pPr>
              <w:spacing w:before="40" w:after="40"/>
              <w:jc w:val="center"/>
            </w:pPr>
            <w:r>
              <w:rPr>
                <w:rFonts w:ascii="Times New Roman" w:hAnsi="Times New Roman" w:cs="Times New Roman"/>
                <w:b/>
                <w:bCs/>
                <w:sz w:val="24"/>
                <w:szCs w:val="24"/>
              </w:rPr>
              <w:t>Shiva Somesh S</w:t>
            </w:r>
          </w:p>
          <w:p>
            <w:pPr>
              <w:spacing w:after="0"/>
              <w:jc w:val="center"/>
            </w:pPr>
            <w:r>
              <w:rPr>
                <w:rFonts w:ascii="Times New Roman" w:hAnsi="Times New Roman" w:cs="Times New Roman"/>
                <w:sz w:val="20"/>
                <w:szCs w:val="20"/>
              </w:rPr>
              <w:t>School of Computer Science and Engineering</w:t>
            </w:r>
          </w:p>
          <w:p>
            <w:pPr>
              <w:spacing w:after="0"/>
              <w:jc w:val="center"/>
            </w:pPr>
            <w:r>
              <w:rPr>
                <w:rFonts w:ascii="Times New Roman" w:hAnsi="Times New Roman" w:cs="Times New Roman"/>
                <w:sz w:val="20"/>
                <w:szCs w:val="20"/>
              </w:rPr>
              <w:t>Vellore Institute of Technology</w:t>
            </w:r>
          </w:p>
          <w:p>
            <w:pPr>
              <w:spacing w:after="40"/>
              <w:jc w:val="center"/>
            </w:pPr>
            <w:r>
              <w:rPr>
                <w:rFonts w:ascii="Times New Roman" w:hAnsi="Times New Roman" w:cs="Times New Roman"/>
                <w:sz w:val="20"/>
                <w:szCs w:val="20"/>
              </w:rPr>
              <w:t>Chennai, India</w:t>
            </w:r>
          </w:p>
          <w:p>
            <w:pPr>
              <w:spacing w:after="40"/>
              <w:jc w:val="center"/>
            </w:pPr>
            <w:r>
              <w:rPr>
                <w:rFonts w:ascii="Times New Roman" w:hAnsi="Times New Roman" w:cs="Times New Roman"/>
                <w:i/>
                <w:iCs/>
                <w:sz w:val="18"/>
                <w:szCs w:val="18"/>
              </w:rPr>
              <w:t>shivasomesh.s@vitstudent.ac.in</w:t>
            </w:r>
          </w:p>
        </w:tc>
      </w:tr>
    </w:tbl>
    <w:p w14:paraId="788B2B7B" w14:textId="77777777" w:rsidR="003D1017" w:rsidRDefault="00000000">
      <w:pPr>
        <w:pBdr>
          <w:bottom w:val="single" w:sz="6" w:space="4" w:color="auto"/>
        </w:pBdr>
        <w:spacing w:before="120" w:after="100"/>
      </w:pPr>
    </w:p>
    <w:p w14:paraId="0E0FF5B0" w14:textId="77777777" w:rsidR="003D1017" w:rsidRDefault="00000000">
      <w:pPr>
        <w:spacing w:before="200" w:after="120" w:line="252" w:lineRule="auto"/>
        <w:jc w:val="both"/>
      </w:pPr>
      <w:r>
        <w:rPr>
          <w:rFonts w:ascii="Trebuchet MS" w:hAnsi="Trebuchet MS" w:cs="Trebuchet MS"/>
          <w:b/>
          <w:bCs/>
          <w:w w:val="120"/>
          <w:sz w:val="20"/>
          <w:szCs w:val="20"/>
        </w:rPr>
        <w:t>ABSTRACT</w:t>
      </w:r>
      <w:r>
        <w:rPr>
          <w:sz w:val="20"/>
          <w:szCs w:val="20"/>
        </w:rPr>
        <w:t xml:space="preserve"> Brain-MRI foundation models are said to work best when labeled data are scarce. The catch is that their pretraining collections include public cohorts that double as benchmarks, so the subjects used for evaluation may already have passed through the encoder. This study presents a pre-registered, contamination-audited framework that measures how much of a foundation model's advantage depends on that exposure. A subject-level audit intersects each evaluation cohort with the pretraining manifests and labels it seen or unseen. A natural experiment on the Amsterdam Open MRI Collection then contrasts one cohort included in pretraining (ID1000) with two that were excluded from it (PIOP1 and PIOP2); the pre-registration describes all three as acquired on the same 3T scanner. The primary statistic is a difference-in-differences of brain-age error between foundation models and tuned supervised baselines, tested with 2,000 bootstrap resamples. BrainIAC and FOMO25 checkpoints are adapted at four tiers, running from a linear probe up to full fine-tuning, and are compared with ResNet-18, DenseNet-121 and LightGBM-on-regional-volumes baselines. All arms get matched label budgets and matched Optuna tuning budgets, and GPU-seconds are logged. Secondary analyses look at label equivalence, compute-matched Pareto frontiers and rank stability across five seeds. Hypotheses, controls, reporting tables and decision rules are fixed before any result is read, and the threats to validity that the design cannot remove are stated openly.</w:t>
      </w:r>
    </w:p>
    <w:p w14:paraId="155118E9" w14:textId="77777777" w:rsidR="003D1017" w:rsidRDefault="00000000">
      <w:pPr>
        <w:spacing w:before="60" w:after="120" w:line="252" w:lineRule="auto"/>
        <w:jc w:val="both"/>
        <w:sectPr w:rsidR="003D1017">
          <w:headerReference w:type="default" r:id="rId11"/>
          <w:pgSz w:w="11520" w:h="15660"/>
          <w:pgMar w:top="480" w:right="566" w:bottom="566" w:left="566" w:header="140" w:footer="0" w:gutter="0"/>
          <w:cols w:space="720"/>
        </w:sectPr>
      </w:pPr>
      <w:r>
        <w:rPr>
          <w:b/>
          <w:bCs/>
          <w:sz w:val="20"/>
          <w:szCs w:val="20"/>
        </w:rPr>
        <w:t xml:space="preserve">INDEX TERMS: </w:t>
      </w:r>
      <w:r>
        <w:rPr>
          <w:sz w:val="20"/>
          <w:szCs w:val="20"/>
        </w:rPr>
        <w:t>Brain MRI, Foundation Models, Data Contamination, Self-Supervised Learning, Difference-in-Differences, Label Efficiency, Brain-Age Prediction, AOMIC, Benchmark Reproducibility</w:t>
      </w:r>
    </w:p>
    <w:p w14:paraId="6335706B" w14:textId="77777777" w:rsidR="003D1017" w:rsidRDefault="00000000">
      <w:pPr>
        <w:keepNext/>
        <w:keepLines/>
        <w:tabs>
          <w:tab w:val="left" w:pos="400"/>
        </w:tabs>
        <w:spacing w:before="60" w:after="100"/>
        <w:ind w:left="400" w:hanging="400"/>
      </w:pPr>
      <w:r>
        <w:rPr>
          <w:rFonts w:ascii="Trebuchet MS" w:hAnsi="Trebuchet MS" w:cs="Trebuchet MS"/>
          <w:b/>
          <w:bCs/>
          <w:w w:val="125"/>
          <w:sz w:val="18"/>
          <w:szCs w:val="18"/>
        </w:rPr>
        <w:t>I.</w:t>
        <w:tab/>
        <w:t>LITERATURE SURVEY</w:t>
      </w:r>
    </w:p>
    <w:p w14:paraId="1426A78B" w14:textId="77777777" w:rsidR="003D1017" w:rsidRDefault="00000000">
      <w:pPr>
        <w:keepNext/>
        <w:keepLines/>
        <w:spacing w:before="140" w:after="40"/>
      </w:pPr>
      <w:r>
        <w:rPr>
          <w:rFonts w:ascii="Trebuchet MS" w:hAnsi="Trebuchet MS" w:cs="Trebuchet MS"/>
          <w:b/>
          <w:bCs/>
          <w:w w:val="120"/>
          <w:sz w:val="18"/>
          <w:szCs w:val="18"/>
        </w:rPr>
        <w:t>PAPER 1:</w:t>
      </w:r>
    </w:p>
    <w:p w14:paraId="29F63DD7" w14:textId="77777777" w:rsidR="003D1017" w:rsidRDefault="00000000">
      <w:pPr>
        <w:keepNext/>
        <w:keepLines/>
        <w:spacing w:after="40"/>
      </w:pPr>
      <w:r>
        <w:rPr>
          <w:b/>
          <w:bCs/>
          <w:sz w:val="20"/>
          <w:szCs w:val="20"/>
        </w:rPr>
        <w:t>A generalizable foundation model for analysis of human brain MRI</w:t>
      </w:r>
    </w:p>
    <w:p w14:paraId="66AF1960" w14:textId="77777777" w:rsidR="003D1017" w:rsidRDefault="00000000">
      <w:pPr>
        <w:keepNext/>
        <w:keepLines/>
        <w:spacing w:after="60"/>
      </w:pPr>
      <w:r>
        <w:rPr>
          <w:i/>
          <w:iCs/>
          <w:sz w:val="18"/>
          <w:szCs w:val="18"/>
        </w:rPr>
        <w:t>Nature Neuroscience, 2026 (published as “A foundation model for generalized brain MRI analysis”)</w:t>
      </w:r>
    </w:p>
    <w:p w14:paraId="666D6186" w14:textId="77777777" w:rsidR="003D1017" w:rsidRDefault="00000000">
      <w:pPr>
        <w:spacing w:after="100" w:line="252" w:lineRule="auto"/>
        <w:jc w:val="both"/>
      </w:pPr>
      <w:r>
        <w:rPr>
          <w:sz w:val="20"/>
          <w:szCs w:val="20"/>
        </w:rPr>
        <w:t xml:space="preserve">This paper introduces BrainIAC, a self-supervised brain-MRI foundation model, and tests how well its learned features carry over to a range of clinical prediction and imaging tasks. Instead of training a new network on labeled examples for every task, the authors pretrain an encoder without labels and then reuse it, so that a single representation has to serve problems that differ in target, population and imaging protocol.</w:t>
      </w:r>
    </w:p>
    <w:p w14:paraId="0D432FDE" w14:textId="77777777" w:rsidR="003D1017" w:rsidRDefault="00000000">
      <w:pPr>
        <w:spacing w:after="100" w:line="252" w:lineRule="auto"/>
        <w:jc w:val="both"/>
      </w:pPr>
      <w:r>
        <w:rPr>
          <w:sz w:val="20"/>
          <w:szCs w:val="20"/>
        </w:rPr>
        <w:t xml:space="preserve">Its central claim is generalisability: one pretrained model should stay useful when it is moved to a new task.</w:t>
      </w:r>
    </w:p>
    <w:p w14:paraId="6590177C" w14:textId="77777777" w:rsidR="003D1017" w:rsidRDefault="00000000">
      <w:pPr>
        <w:spacing w:after="100" w:line="252" w:lineRule="auto"/>
        <w:jc w:val="both"/>
      </w:pPr>
      <w:r>
        <w:rPr>
          <w:b/>
          <w:bCs/>
          <w:sz w:val="20"/>
          <w:szCs w:val="20"/>
        </w:rPr>
        <w:t>Relevance to this work:</w:t>
      </w:r>
      <w:r>
        <w:rPr>
          <w:sz w:val="20"/>
          <w:szCs w:val="20"/>
        </w:rPr>
        <w:t xml:space="preserve"> BrainIAC is one of the two foundation models evaluated in this project. Its value rests on transfer to downstream cohorts, so its benchmark results depend directly on whether the evaluation subjects were part of pretraining.</w:t>
      </w:r>
    </w:p>
    <w:p w14:paraId="63E1E6F5" w14:textId="77777777" w:rsidR="003D1017" w:rsidRDefault="00000000">
      <w:pPr>
        <w:pBdr>
          <w:bottom w:val="single" w:sz="6" w:space="4" w:color="auto"/>
        </w:pBdr>
        <w:spacing w:before="20" w:after="80"/>
      </w:pPr>
      <w:r>
        <w:rPr>
          <w:b/>
          <w:bCs/>
          <w:sz w:val="18"/>
          <w:szCs w:val="18"/>
        </w:rPr>
        <w:t>Link:</w:t>
      </w:r>
      <w:r>
        <w:rPr>
          <w:sz w:val="18"/>
          <w:szCs w:val="18"/>
        </w:rPr>
        <w:t xml:space="preserve"> </w:t>
      </w:r>
      <w:hyperlink r:id="rId12" w:history="1">
        <w:r>
          <w:rPr>
            <w:color w:val="0563C1"/>
            <w:sz w:val="18"/>
            <w:szCs w:val="18"/>
            <w:u w:val="single"/>
          </w:rPr>
          <w:t>https://doi.org/10.1038/s41593-026-02202-6</w:t>
        </w:r>
      </w:hyperlink>
    </w:p>
    <w:p w14:paraId="6C6628F5" w14:textId="77777777" w:rsidR="003D1017" w:rsidRDefault="00000000">
      <w:pPr>
        <w:keepNext/>
        <w:keepLines/>
        <w:spacing w:before="140" w:after="40"/>
      </w:pPr>
      <w:r>
        <w:rPr>
          <w:rFonts w:ascii="Trebuchet MS" w:hAnsi="Trebuchet MS" w:cs="Trebuchet MS"/>
          <w:b/>
          <w:bCs/>
          <w:w w:val="120"/>
          <w:sz w:val="18"/>
          <w:szCs w:val="18"/>
        </w:rPr>
        <w:t>PAPER 2:</w:t>
      </w:r>
    </w:p>
    <w:p w14:paraId="263E24AF" w14:textId="77777777" w:rsidR="003D1017" w:rsidRDefault="00000000">
      <w:pPr>
        <w:keepNext/>
        <w:keepLines/>
        <w:spacing w:after="40"/>
      </w:pPr>
      <w:r>
        <w:rPr>
          <w:b/>
          <w:bCs/>
          <w:sz w:val="20"/>
          <w:szCs w:val="20"/>
        </w:rPr>
        <w:t>Towards Brain MRI Foundation Models for the Clinic: Findings from the FOMO25 Challenge</w:t>
      </w:r>
    </w:p>
    <w:p w14:paraId="391213C8" w14:textId="77777777" w:rsidR="003D1017" w:rsidRDefault="00000000">
      <w:pPr>
        <w:keepNext/>
        <w:keepLines/>
        <w:spacing w:after="60"/>
      </w:pPr>
      <w:r>
        <w:rPr>
          <w:i/>
          <w:iCs/>
          <w:sz w:val="18"/>
          <w:szCs w:val="18"/>
        </w:rPr>
        <w:t>arXiv preprint, 2026</w:t>
      </w:r>
    </w:p>
    <w:p w14:paraId="058DC111" w14:textId="77777777" w:rsidR="003D1017" w:rsidRDefault="00000000">
      <w:pPr>
        <w:spacing w:after="100" w:line="252" w:lineRule="auto"/>
        <w:jc w:val="both"/>
      </w:pPr>
      <w:r>
        <w:rPr>
          <w:sz w:val="20"/>
          <w:szCs w:val="20"/>
        </w:rPr>
        <w:t xml:space="preserve">This paper reports the findings of the FOMO25 challenge, which compared brain-MRI foundation models on few-shot clinical tasks and on out-of-domain MRI. It shows how pretraining choices affect performance when the test data differ from the pretraining data, which puts domain shift at the center of any clinical use of these models.</w:t>
      </w:r>
    </w:p>
    <w:p w14:paraId="2A3461C0" w14:textId="77777777" w:rsidR="003D1017" w:rsidRDefault="00000000">
      <w:pPr>
        <w:spacing w:after="100" w:line="252" w:lineRule="auto"/>
        <w:jc w:val="both"/>
      </w:pPr>
      <w:r>
        <w:rPr>
          <w:sz w:val="20"/>
          <w:szCs w:val="20"/>
        </w:rPr>
        <w:t xml:space="preserve">Putting different models under the same evaluation conditions gives a kind of controlled comparison that independently published results rarely allow.</w:t>
      </w:r>
    </w:p>
    <w:p w14:paraId="3696BB8C" w14:textId="77777777" w:rsidR="003D1017" w:rsidRDefault="00000000">
      <w:pPr>
        <w:spacing w:after="100" w:line="252" w:lineRule="auto"/>
        <w:jc w:val="both"/>
      </w:pPr>
      <w:r>
        <w:rPr>
          <w:b/>
          <w:bCs/>
          <w:sz w:val="20"/>
          <w:szCs w:val="20"/>
        </w:rPr>
        <w:t>Relevance to this work:</w:t>
      </w:r>
      <w:r>
        <w:rPr>
          <w:sz w:val="20"/>
          <w:szCs w:val="20"/>
        </w:rPr>
        <w:t xml:space="preserve"> The FOMO25 checkpoints are the second foundation-model family evaluated here, and the challenge's focus on few-shot settings motivates the label-budget sweep (N = 25 to all) used in this study.</w:t>
      </w:r>
    </w:p>
    <w:p w14:paraId="4FA5B78F" w14:textId="77777777" w:rsidR="003D1017" w:rsidRDefault="00000000">
      <w:pPr>
        <w:pBdr>
          <w:bottom w:val="single" w:sz="6" w:space="4" w:color="auto"/>
        </w:pBdr>
        <w:spacing w:before="20" w:after="80"/>
      </w:pPr>
      <w:r>
        <w:rPr>
          <w:b/>
          <w:bCs/>
          <w:sz w:val="18"/>
          <w:szCs w:val="18"/>
        </w:rPr>
        <w:t>Link:</w:t>
      </w:r>
      <w:r>
        <w:rPr>
          <w:sz w:val="18"/>
          <w:szCs w:val="18"/>
        </w:rPr>
        <w:t xml:space="preserve"> </w:t>
      </w:r>
      <w:hyperlink r:id="rId13" w:history="1">
        <w:r>
          <w:rPr>
            <w:color w:val="0563C1"/>
            <w:sz w:val="18"/>
            <w:szCs w:val="18"/>
            <w:u w:val="single"/>
          </w:rPr>
          <w:t>https://arxiv.org/abs/2604.11679</w:t>
        </w:r>
      </w:hyperlink>
    </w:p>
    <w:p w14:paraId="237FD0A7" w14:textId="77777777" w:rsidR="003D1017" w:rsidRDefault="00000000">
      <w:pPr>
        <w:keepNext/>
        <w:keepLines/>
        <w:spacing w:before="140" w:after="40"/>
      </w:pPr>
      <w:r>
        <w:rPr>
          <w:rFonts w:ascii="Trebuchet MS" w:hAnsi="Trebuchet MS" w:cs="Trebuchet MS"/>
          <w:b/>
          <w:bCs/>
          <w:w w:val="120"/>
          <w:sz w:val="18"/>
          <w:szCs w:val="18"/>
        </w:rPr>
        <w:lastRenderedPageBreak/>
        <w:t>PAPER 3:</w:t>
      </w:r>
    </w:p>
    <w:p w14:paraId="79745920" w14:textId="77777777" w:rsidR="003D1017" w:rsidRDefault="00000000">
      <w:pPr>
        <w:keepNext/>
        <w:keepLines/>
        <w:spacing w:after="40"/>
      </w:pPr>
      <w:r>
        <w:rPr>
          <w:b/>
          <w:bCs/>
          <w:sz w:val="20"/>
          <w:szCs w:val="20"/>
        </w:rPr>
        <w:t>A large-scale heterogeneous 3D magnetic resonance brain imaging dataset for self-supervised learning</w:t>
      </w:r>
    </w:p>
    <w:p w14:paraId="7F8C253F" w14:textId="77777777" w:rsidR="003D1017" w:rsidRDefault="00000000">
      <w:pPr>
        <w:keepNext/>
        <w:keepLines/>
        <w:spacing w:after="60"/>
      </w:pPr>
      <w:r>
        <w:rPr>
          <w:i/>
          <w:iCs/>
          <w:sz w:val="18"/>
          <w:szCs w:val="18"/>
        </w:rPr>
        <w:t>arXiv preprint, 2025</w:t>
      </w:r>
    </w:p>
    <w:p w14:paraId="3E7DCF35" w14:textId="77777777" w:rsidR="003D1017" w:rsidRDefault="00000000">
      <w:pPr>
        <w:spacing w:after="100" w:line="252" w:lineRule="auto"/>
        <w:jc w:val="both"/>
      </w:pPr>
      <w:r>
        <w:rPr>
          <w:sz w:val="20"/>
          <w:szCs w:val="20"/>
        </w:rPr>
        <w:t xml:space="preserve">This paper describes FOMO60K, a large and varied collection of 3D brain MRI assembled for self-supervised learning. The scans come from many sources, and the release ships with source and participant metadata, so it is possible to check which cohorts overlap with a given benchmark.</w:t>
      </w:r>
    </w:p>
    <w:p w14:paraId="7B82FEB0" w14:textId="77777777" w:rsidR="003D1017" w:rsidRDefault="00000000">
      <w:pPr>
        <w:spacing w:after="100" w:line="252" w:lineRule="auto"/>
        <w:jc w:val="both"/>
      </w:pPr>
      <w:r>
        <w:rPr>
          <w:sz w:val="20"/>
          <w:szCs w:val="20"/>
        </w:rPr>
        <w:t xml:space="preserve">The authors present heterogeneity across scanners, protocols and populations as the main strength of the collection for pretraining.</w:t>
      </w:r>
    </w:p>
    <w:p w14:paraId="6B71AF5B" w14:textId="77777777" w:rsidR="003D1017" w:rsidRDefault="00000000">
      <w:pPr>
        <w:spacing w:after="100" w:line="252" w:lineRule="auto"/>
        <w:jc w:val="both"/>
      </w:pPr>
      <w:r>
        <w:rPr>
          <w:b/>
          <w:bCs/>
          <w:sz w:val="20"/>
          <w:szCs w:val="20"/>
        </w:rPr>
        <w:t>Relevance to this work:</w:t>
      </w:r>
      <w:r>
        <w:rPr>
          <w:sz w:val="20"/>
          <w:szCs w:val="20"/>
        </w:rPr>
        <w:t xml:space="preserve"> The collection's metadata files (mapping.tsv and participants.tsv) serve as the pretraining manifests against which subject identifiers are intersected in the contamination audit.</w:t>
      </w:r>
    </w:p>
    <w:p w14:paraId="036114FF" w14:textId="77777777" w:rsidR="003D1017" w:rsidRDefault="00000000">
      <w:pPr>
        <w:pBdr>
          <w:bottom w:val="single" w:sz="6" w:space="4" w:color="auto"/>
        </w:pBdr>
        <w:spacing w:before="20" w:after="80"/>
      </w:pPr>
      <w:r>
        <w:rPr>
          <w:b/>
          <w:bCs/>
          <w:sz w:val="18"/>
          <w:szCs w:val="18"/>
        </w:rPr>
        <w:t>Link:</w:t>
      </w:r>
      <w:r>
        <w:rPr>
          <w:sz w:val="18"/>
          <w:szCs w:val="18"/>
        </w:rPr>
        <w:t xml:space="preserve"> </w:t>
      </w:r>
      <w:hyperlink r:id="rId14" w:history="1">
        <w:r>
          <w:rPr>
            <w:color w:val="0563C1"/>
            <w:sz w:val="18"/>
            <w:szCs w:val="18"/>
            <w:u w:val="single"/>
          </w:rPr>
          <w:t>https://arxiv.org/abs/2506.14432</w:t>
        </w:r>
      </w:hyperlink>
    </w:p>
    <w:p w14:paraId="3E6F3382" w14:textId="77777777" w:rsidR="003D1017" w:rsidRDefault="00000000">
      <w:pPr>
        <w:keepNext/>
        <w:keepLines/>
        <w:spacing w:before="140" w:after="40"/>
      </w:pPr>
      <w:r>
        <w:rPr>
          <w:rFonts w:ascii="Trebuchet MS" w:hAnsi="Trebuchet MS" w:cs="Trebuchet MS"/>
          <w:b/>
          <w:bCs/>
          <w:w w:val="120"/>
          <w:sz w:val="18"/>
          <w:szCs w:val="18"/>
        </w:rPr>
        <w:t>PAPER 4:</w:t>
      </w:r>
    </w:p>
    <w:p w14:paraId="4B17D6E5" w14:textId="77777777" w:rsidR="003D1017" w:rsidRDefault="00000000">
      <w:pPr>
        <w:keepNext/>
        <w:keepLines/>
        <w:spacing w:after="40"/>
      </w:pPr>
      <w:r>
        <w:rPr>
          <w:b/>
          <w:bCs/>
          <w:sz w:val="20"/>
          <w:szCs w:val="20"/>
        </w:rPr>
        <w:t>BrainSegFounder: Towards 3D foundation models for neuroimage segmentation</w:t>
      </w:r>
    </w:p>
    <w:p w14:paraId="6C9BF2C5" w14:textId="77777777" w:rsidR="003D1017" w:rsidRDefault="00000000">
      <w:pPr>
        <w:keepNext/>
        <w:keepLines/>
        <w:spacing w:after="60"/>
      </w:pPr>
      <w:r>
        <w:rPr>
          <w:i/>
          <w:iCs/>
          <w:sz w:val="18"/>
          <w:szCs w:val="18"/>
        </w:rPr>
        <w:t>Medical Image Analysis, 2024</w:t>
      </w:r>
    </w:p>
    <w:p w14:paraId="35BD58C4" w14:textId="77777777" w:rsidR="003D1017" w:rsidRDefault="00000000">
      <w:pPr>
        <w:spacing w:after="100" w:line="252" w:lineRule="auto"/>
        <w:jc w:val="both"/>
      </w:pPr>
      <w:r>
        <w:rPr>
          <w:sz w:val="20"/>
          <w:szCs w:val="20"/>
        </w:rPr>
        <w:t xml:space="preserve">This paper introduces a self-supervised 3D brain-MRI model for multimodal neuroimage segmentation and evaluates it on tumor and stroke-lesion tasks. Pretraining in 3D on multimodal MRI is aimed at segmentation problems where expert-labeled volumes are expensive to get.</w:t>
      </w:r>
    </w:p>
    <w:p w14:paraId="3C0331F1" w14:textId="77777777" w:rsidR="003D1017" w:rsidRDefault="00000000">
      <w:pPr>
        <w:spacing w:after="100" w:line="252" w:lineRule="auto"/>
        <w:jc w:val="both"/>
      </w:pPr>
      <w:r>
        <w:rPr>
          <w:sz w:val="20"/>
          <w:szCs w:val="20"/>
        </w:rPr>
        <w:t xml:space="preserve">In effect, it carries the foundation-model idea over from classification and regression to dense prediction.</w:t>
      </w:r>
    </w:p>
    <w:p w14:paraId="619FC31D" w14:textId="77777777" w:rsidR="003D1017" w:rsidRDefault="00000000">
      <w:pPr>
        <w:spacing w:after="100" w:line="252" w:lineRule="auto"/>
        <w:jc w:val="both"/>
      </w:pPr>
      <w:r>
        <w:rPr>
          <w:b/>
          <w:bCs/>
          <w:sz w:val="20"/>
          <w:szCs w:val="20"/>
        </w:rPr>
        <w:t>Relevance to this work:</w:t>
      </w:r>
      <w:r>
        <w:rPr>
          <w:sz w:val="20"/>
          <w:szCs w:val="20"/>
        </w:rPr>
        <w:t xml:space="preserve"> Segmentation foundation models are also pretrained on large pooled collections, so the same subject-level audit logic applies to them, even though this project evaluates regression.</w:t>
      </w:r>
    </w:p>
    <w:p w14:paraId="490D2433" w14:textId="77777777" w:rsidR="003D1017" w:rsidRDefault="00000000">
      <w:pPr>
        <w:pBdr>
          <w:bottom w:val="single" w:sz="6" w:space="4" w:color="auto"/>
        </w:pBdr>
        <w:spacing w:before="20" w:after="80"/>
      </w:pPr>
      <w:r>
        <w:rPr>
          <w:b/>
          <w:bCs/>
          <w:sz w:val="18"/>
          <w:szCs w:val="18"/>
        </w:rPr>
        <w:t>Link:</w:t>
      </w:r>
      <w:r>
        <w:rPr>
          <w:sz w:val="18"/>
          <w:szCs w:val="18"/>
        </w:rPr>
        <w:t xml:space="preserve"> </w:t>
      </w:r>
      <w:hyperlink r:id="rId15" w:history="1">
        <w:r>
          <w:rPr>
            <w:color w:val="0563C1"/>
            <w:sz w:val="18"/>
            <w:szCs w:val="18"/>
            <w:u w:val="single"/>
          </w:rPr>
          <w:t>https://arxiv.org/abs/2406.10395</w:t>
        </w:r>
      </w:hyperlink>
    </w:p>
    <w:p w14:paraId="18328B40" w14:textId="77777777" w:rsidR="003D1017" w:rsidRDefault="00000000">
      <w:pPr>
        <w:keepNext/>
        <w:keepLines/>
        <w:spacing w:before="140" w:after="40"/>
      </w:pPr>
      <w:r>
        <w:rPr>
          <w:rFonts w:ascii="Trebuchet MS" w:hAnsi="Trebuchet MS" w:cs="Trebuchet MS"/>
          <w:b/>
          <w:bCs/>
          <w:w w:val="120"/>
          <w:sz w:val="18"/>
          <w:szCs w:val="18"/>
        </w:rPr>
        <w:t>PAPER 5:</w:t>
      </w:r>
    </w:p>
    <w:p w14:paraId="6614DE1B" w14:textId="77777777" w:rsidR="003D1017" w:rsidRDefault="00000000">
      <w:pPr>
        <w:keepNext/>
        <w:keepLines/>
        <w:spacing w:after="40"/>
      </w:pPr>
      <w:r>
        <w:rPr>
          <w:b/>
          <w:bCs/>
          <w:sz w:val="20"/>
          <w:szCs w:val="20"/>
        </w:rPr>
        <w:t>Towards Generalisable Foundation Models for 3D Brain MRI</w:t>
      </w:r>
    </w:p>
    <w:p w14:paraId="49999311" w14:textId="77777777" w:rsidR="003D1017" w:rsidRDefault="00000000">
      <w:pPr>
        <w:keepNext/>
        <w:keepLines/>
        <w:spacing w:after="60"/>
      </w:pPr>
      <w:r>
        <w:rPr>
          <w:i/>
          <w:iCs/>
          <w:sz w:val="18"/>
          <w:szCs w:val="18"/>
        </w:rPr>
        <w:t>arXiv preprint, 2025</w:t>
      </w:r>
    </w:p>
    <w:p w14:paraId="23ABC42D" w14:textId="77777777" w:rsidR="003D1017" w:rsidRDefault="00000000">
      <w:pPr>
        <w:spacing w:after="100" w:line="252" w:lineRule="auto"/>
        <w:jc w:val="both"/>
      </w:pPr>
      <w:r>
        <w:rPr>
          <w:sz w:val="20"/>
          <w:szCs w:val="20"/>
        </w:rPr>
        <w:t xml:space="preserve">This paper introduces BrainFound, which adapts DINOv2-style self-supervised learning to 3D brain MRI and examines how the learned representation transfers across imaging protocols and downstream tasks.</w:t>
      </w:r>
    </w:p>
    <w:p w14:paraId="0F91B364" w14:textId="77777777" w:rsidR="003D1017" w:rsidRDefault="00000000">
      <w:pPr>
        <w:spacing w:after="100" w:line="252" w:lineRule="auto"/>
        <w:jc w:val="both"/>
      </w:pPr>
      <w:r>
        <w:rPr>
          <w:sz w:val="20"/>
          <w:szCs w:val="20"/>
        </w:rPr>
        <w:t xml:space="preserve">The property under study is robustness to a change in acquisition protocol.</w:t>
      </w:r>
    </w:p>
    <w:p w14:paraId="639BA9EA" w14:textId="77777777" w:rsidR="003D1017" w:rsidRDefault="00000000">
      <w:pPr>
        <w:spacing w:after="100" w:line="252" w:lineRule="auto"/>
        <w:jc w:val="both"/>
      </w:pPr>
      <w:r>
        <w:rPr>
          <w:b/>
          <w:bCs/>
          <w:sz w:val="20"/>
          <w:szCs w:val="20"/>
        </w:rPr>
        <w:t>Relevance to this work:</w:t>
      </w:r>
      <w:r>
        <w:rPr>
          <w:sz w:val="20"/>
          <w:szCs w:val="20"/>
        </w:rPr>
        <w:t xml:space="preserve"> The same-scanner design of this project deliberately holds protocol robustness fixed, so any seen-versus-unseen gap cannot be blamed on a protocol change.</w:t>
      </w:r>
    </w:p>
    <w:p w14:paraId="65D264C0" w14:textId="77777777" w:rsidR="003D1017" w:rsidRDefault="00000000">
      <w:pPr>
        <w:pBdr>
          <w:bottom w:val="single" w:sz="6" w:space="4" w:color="auto"/>
        </w:pBdr>
        <w:spacing w:before="20" w:after="80"/>
      </w:pPr>
      <w:r>
        <w:rPr>
          <w:b/>
          <w:bCs/>
          <w:sz w:val="18"/>
          <w:szCs w:val="18"/>
        </w:rPr>
        <w:t>Link:</w:t>
      </w:r>
      <w:r>
        <w:rPr>
          <w:sz w:val="18"/>
          <w:szCs w:val="18"/>
        </w:rPr>
        <w:t xml:space="preserve"> </w:t>
      </w:r>
      <w:hyperlink r:id="rId16" w:history="1">
        <w:r>
          <w:rPr>
            <w:color w:val="0563C1"/>
            <w:sz w:val="18"/>
            <w:szCs w:val="18"/>
            <w:u w:val="single"/>
          </w:rPr>
          <w:t>https://arxiv.org/abs/2510.23415</w:t>
        </w:r>
      </w:hyperlink>
    </w:p>
    <w:p w14:paraId="5370056C" w14:textId="77777777" w:rsidR="003D1017" w:rsidRDefault="00000000">
      <w:pPr>
        <w:keepNext/>
        <w:keepLines/>
        <w:spacing w:before="140" w:after="40"/>
      </w:pPr>
      <w:r>
        <w:rPr>
          <w:rFonts w:ascii="Trebuchet MS" w:hAnsi="Trebuchet MS" w:cs="Trebuchet MS"/>
          <w:b/>
          <w:bCs/>
          <w:w w:val="120"/>
          <w:sz w:val="18"/>
          <w:szCs w:val="18"/>
        </w:rPr>
        <w:t>PAPER 6:</w:t>
      </w:r>
    </w:p>
    <w:p w14:paraId="0B8CDAC0" w14:textId="77777777" w:rsidR="003D1017" w:rsidRDefault="00000000">
      <w:pPr>
        <w:keepNext/>
        <w:keepLines/>
        <w:spacing w:after="40"/>
      </w:pPr>
      <w:r>
        <w:rPr>
          <w:b/>
          <w:bCs/>
          <w:sz w:val="20"/>
          <w:szCs w:val="20"/>
        </w:rPr>
        <w:t>Evaluating the Generalization of Neuroimaging Foundation Models on African Brain MRI</w:t>
      </w:r>
    </w:p>
    <w:p w14:paraId="35B0BB69" w14:textId="77777777" w:rsidR="003D1017" w:rsidRDefault="00000000">
      <w:pPr>
        <w:keepNext/>
        <w:keepLines/>
        <w:spacing w:after="60"/>
      </w:pPr>
      <w:r>
        <w:rPr>
          <w:i/>
          <w:iCs/>
          <w:sz w:val="18"/>
          <w:szCs w:val="18"/>
        </w:rPr>
        <w:t>arXiv preprint, 2026</w:t>
      </w:r>
    </w:p>
    <w:p w14:paraId="581285CE" w14:textId="77777777" w:rsidR="003D1017" w:rsidRDefault="00000000">
      <w:pPr>
        <w:spacing w:after="100" w:line="252" w:lineRule="auto"/>
        <w:jc w:val="both"/>
      </w:pPr>
      <w:r>
        <w:rPr>
          <w:sz w:val="20"/>
          <w:szCs w:val="20"/>
        </w:rPr>
        <w:t xml:space="preserve">This paper tests recent neuroimaging foundation models on a Nigerian clinical cohort and points to limits in how well such models transfer to underrepresented populations.</w:t>
      </w:r>
    </w:p>
    <w:p w14:paraId="59A427CB" w14:textId="77777777" w:rsidR="003D1017" w:rsidRDefault="00000000">
      <w:pPr>
        <w:spacing w:after="100" w:line="252" w:lineRule="auto"/>
        <w:jc w:val="both"/>
      </w:pPr>
      <w:r>
        <w:rPr>
          <w:sz w:val="20"/>
          <w:szCs w:val="20"/>
        </w:rPr>
        <w:t xml:space="preserve">It is one example of evaluating a pretrained model on a cohort that differs from the pretraining population in several ways at once.</w:t>
      </w:r>
    </w:p>
    <w:p w14:paraId="09978F89" w14:textId="77777777" w:rsidR="003D1017" w:rsidRDefault="00000000">
      <w:pPr>
        <w:spacing w:after="100" w:line="252" w:lineRule="auto"/>
        <w:jc w:val="both"/>
      </w:pPr>
      <w:r>
        <w:rPr>
          <w:b/>
          <w:bCs/>
          <w:sz w:val="20"/>
          <w:szCs w:val="20"/>
        </w:rPr>
        <w:t>Relevance to this work:</w:t>
      </w:r>
      <w:r>
        <w:rPr>
          <w:sz w:val="20"/>
          <w:szCs w:val="20"/>
        </w:rPr>
        <w:t xml:space="preserve"> Switching cohorts changes population, scanner and protocol together, which is why this work tries to isolate pretraining exposure from the other sources of shift.</w:t>
      </w:r>
    </w:p>
    <w:p w14:paraId="166A26C1" w14:textId="77777777" w:rsidR="003D1017" w:rsidRDefault="00000000">
      <w:pPr>
        <w:pBdr>
          <w:bottom w:val="single" w:sz="6" w:space="4" w:color="auto"/>
        </w:pBdr>
        <w:spacing w:before="20" w:after="80"/>
      </w:pPr>
      <w:r>
        <w:rPr>
          <w:b/>
          <w:bCs/>
          <w:sz w:val="18"/>
          <w:szCs w:val="18"/>
        </w:rPr>
        <w:t>Link:</w:t>
      </w:r>
      <w:r>
        <w:rPr>
          <w:sz w:val="18"/>
          <w:szCs w:val="18"/>
        </w:rPr>
        <w:t xml:space="preserve"> </w:t>
      </w:r>
      <w:hyperlink r:id="rId17" w:history="1">
        <w:r>
          <w:rPr>
            <w:color w:val="0563C1"/>
            <w:sz w:val="18"/>
            <w:szCs w:val="18"/>
            <w:u w:val="single"/>
          </w:rPr>
          <w:t>https://arxiv.org/abs/2609.23983</w:t>
        </w:r>
      </w:hyperlink>
    </w:p>
    <w:p w14:paraId="015D857F" w14:textId="77777777" w:rsidR="003D1017" w:rsidRDefault="00000000">
      <w:pPr>
        <w:keepNext/>
        <w:keepLines/>
        <w:spacing w:before="140" w:after="40"/>
      </w:pPr>
      <w:r>
        <w:rPr>
          <w:rFonts w:ascii="Trebuchet MS" w:hAnsi="Trebuchet MS" w:cs="Trebuchet MS"/>
          <w:b/>
          <w:bCs/>
          <w:w w:val="120"/>
          <w:sz w:val="18"/>
          <w:szCs w:val="18"/>
        </w:rPr>
        <w:t>PAPER 7:</w:t>
      </w:r>
    </w:p>
    <w:p w14:paraId="7BD70245" w14:textId="77777777" w:rsidR="003D1017" w:rsidRDefault="00000000">
      <w:pPr>
        <w:keepNext/>
        <w:keepLines/>
        <w:spacing w:after="40"/>
      </w:pPr>
      <w:r>
        <w:rPr>
          <w:b/>
          <w:bCs/>
          <w:sz w:val="20"/>
          <w:szCs w:val="20"/>
        </w:rPr>
        <w:t>Data leakage inflates prediction performance in connectome-based machine-learning models</w:t>
      </w:r>
    </w:p>
    <w:p w14:paraId="027F068F" w14:textId="77777777" w:rsidR="003D1017" w:rsidRDefault="00000000">
      <w:pPr>
        <w:keepNext/>
        <w:keepLines/>
        <w:spacing w:after="60"/>
      </w:pPr>
      <w:r>
        <w:rPr>
          <w:i/>
          <w:iCs/>
          <w:sz w:val="18"/>
          <w:szCs w:val="18"/>
        </w:rPr>
        <w:t>Nature Communications, 2024</w:t>
      </w:r>
    </w:p>
    <w:p w14:paraId="5E2B53C5" w14:textId="77777777" w:rsidR="003D1017" w:rsidRDefault="00000000">
      <w:pPr>
        <w:spacing w:after="100" w:line="252" w:lineRule="auto"/>
        <w:jc w:val="both"/>
      </w:pPr>
      <w:r>
        <w:rPr>
          <w:sz w:val="20"/>
          <w:szCs w:val="20"/>
        </w:rPr>
        <w:t xml:space="preserve">This paper studies leakage across neuroimaging prediction pipelines and shows that repeated subjects and other forms of leakage can inflate the reported performance of connectome-based machine-learning models.</w:t>
      </w:r>
    </w:p>
    <w:p w14:paraId="3F3992C5" w14:textId="77777777" w:rsidR="003D1017" w:rsidRDefault="00000000">
      <w:pPr>
        <w:spacing w:after="100" w:line="252" w:lineRule="auto"/>
        <w:jc w:val="both"/>
      </w:pPr>
      <w:r>
        <w:rPr>
          <w:sz w:val="20"/>
          <w:szCs w:val="20"/>
        </w:rPr>
        <w:t xml:space="preserve">Its argument is that seemingly small pipeline decisions can change the headline accuracy of a study.</w:t>
      </w:r>
    </w:p>
    <w:p w14:paraId="1EC0771F" w14:textId="77777777" w:rsidR="003D1017" w:rsidRDefault="00000000">
      <w:pPr>
        <w:spacing w:after="100" w:line="252" w:lineRule="auto"/>
        <w:jc w:val="both"/>
      </w:pPr>
      <w:r>
        <w:rPr>
          <w:b/>
          <w:bCs/>
          <w:sz w:val="20"/>
          <w:szCs w:val="20"/>
        </w:rPr>
        <w:t>Relevance to this work:</w:t>
      </w:r>
      <w:r>
        <w:rPr>
          <w:sz w:val="20"/>
          <w:szCs w:val="20"/>
        </w:rPr>
        <w:t xml:space="preserve"> Pretraining overlap is one more route to the same problem, and a subject-level split of the downstream data does not remove it. The audit and frozen splits in this project take on the lesson that subject identity has to be tracked end to end.</w:t>
      </w:r>
    </w:p>
    <w:p w14:paraId="58A694C9" w14:textId="77777777" w:rsidR="003D1017" w:rsidRDefault="00000000">
      <w:pPr>
        <w:pBdr>
          <w:bottom w:val="single" w:sz="6" w:space="4" w:color="auto"/>
        </w:pBdr>
        <w:spacing w:before="20" w:after="80"/>
      </w:pPr>
      <w:r>
        <w:rPr>
          <w:b/>
          <w:bCs/>
          <w:sz w:val="18"/>
          <w:szCs w:val="18"/>
        </w:rPr>
        <w:t>Link:</w:t>
      </w:r>
      <w:r>
        <w:rPr>
          <w:sz w:val="18"/>
          <w:szCs w:val="18"/>
        </w:rPr>
        <w:t xml:space="preserve"> </w:t>
      </w:r>
      <w:hyperlink r:id="rId18" w:history="1">
        <w:r>
          <w:rPr>
            <w:color w:val="0563C1"/>
            <w:sz w:val="18"/>
            <w:szCs w:val="18"/>
            <w:u w:val="single"/>
          </w:rPr>
          <w:t>https://doi.org/10.1038/s41467-024-46150-w</w:t>
        </w:r>
      </w:hyperlink>
    </w:p>
    <w:p w14:paraId="09A6C986" w14:textId="77777777" w:rsidR="003D1017" w:rsidRDefault="00000000">
      <w:pPr>
        <w:keepNext/>
        <w:keepLines/>
        <w:spacing w:before="140" w:after="40"/>
      </w:pPr>
      <w:r>
        <w:rPr>
          <w:rFonts w:ascii="Trebuchet MS" w:hAnsi="Trebuchet MS" w:cs="Trebuchet MS"/>
          <w:b/>
          <w:bCs/>
          <w:w w:val="120"/>
          <w:sz w:val="18"/>
          <w:szCs w:val="18"/>
        </w:rPr>
        <w:t>PAPER 8:</w:t>
      </w:r>
    </w:p>
    <w:p w14:paraId="5E8DDFBC" w14:textId="77777777" w:rsidR="003D1017" w:rsidRDefault="00000000">
      <w:pPr>
        <w:keepNext/>
        <w:keepLines/>
        <w:spacing w:after="40"/>
      </w:pPr>
      <w:r>
        <w:rPr>
          <w:b/>
          <w:bCs/>
          <w:sz w:val="20"/>
          <w:szCs w:val="20"/>
        </w:rPr>
        <w:t>Removing the effects of the site in brain imaging machine-learning – Measurement and extendable benchmark</w:t>
      </w:r>
    </w:p>
    <w:p w14:paraId="03CD2922" w14:textId="77777777" w:rsidR="003D1017" w:rsidRDefault="00000000">
      <w:pPr>
        <w:keepNext/>
        <w:keepLines/>
        <w:spacing w:after="60"/>
      </w:pPr>
      <w:r>
        <w:rPr>
          <w:i/>
          <w:iCs/>
          <w:sz w:val="18"/>
          <w:szCs w:val="18"/>
        </w:rPr>
        <w:t>NeuroImage, 2023</w:t>
      </w:r>
    </w:p>
    <w:p w14:paraId="70AFBE29" w14:textId="77777777" w:rsidR="003D1017" w:rsidRDefault="00000000">
      <w:pPr>
        <w:spacing w:after="100" w:line="252" w:lineRule="auto"/>
        <w:jc w:val="both"/>
      </w:pPr>
      <w:r>
        <w:rPr>
          <w:sz w:val="20"/>
          <w:szCs w:val="20"/>
        </w:rPr>
        <w:t xml:space="preserve">This paper benchmarks scanner and site effects in multisite brain imaging and evaluates how different harmonization methods influence machine-learning results.</w:t>
      </w:r>
    </w:p>
    <w:p w14:paraId="211F2FAB" w14:textId="77777777" w:rsidR="003D1017" w:rsidRDefault="00000000">
      <w:pPr>
        <w:spacing w:after="100" w:line="252" w:lineRule="auto"/>
        <w:jc w:val="both"/>
      </w:pPr>
      <w:r>
        <w:rPr>
          <w:sz w:val="20"/>
          <w:szCs w:val="20"/>
        </w:rPr>
        <w:t xml:space="preserve">Because the benchmark is extendable, new harmonization methods can be compared on equal footing.</w:t>
      </w:r>
    </w:p>
    <w:p w14:paraId="447487DD" w14:textId="77777777" w:rsidR="003D1017" w:rsidRDefault="00000000">
      <w:pPr>
        <w:spacing w:after="100" w:line="252" w:lineRule="auto"/>
        <w:jc w:val="both"/>
      </w:pPr>
      <w:r>
        <w:rPr>
          <w:b/>
          <w:bCs/>
          <w:sz w:val="20"/>
          <w:szCs w:val="20"/>
        </w:rPr>
        <w:t>Relevance to this work:</w:t>
      </w:r>
      <w:r>
        <w:rPr>
          <w:sz w:val="20"/>
          <w:szCs w:val="20"/>
        </w:rPr>
        <w:t xml:space="preserve"> Site effects can pass for model differences. That is why the natural experiment in this project uses cohorts that the pre-registration describes as acquired on one scanner.</w:t>
      </w:r>
    </w:p>
    <w:p w14:paraId="458D13D5" w14:textId="77777777" w:rsidR="003D1017" w:rsidRDefault="00000000">
      <w:pPr>
        <w:pBdr>
          <w:bottom w:val="single" w:sz="6" w:space="4" w:color="auto"/>
        </w:pBdr>
        <w:spacing w:before="20" w:after="80"/>
      </w:pPr>
      <w:r>
        <w:rPr>
          <w:b/>
          <w:bCs/>
          <w:sz w:val="18"/>
          <w:szCs w:val="18"/>
        </w:rPr>
        <w:t>Link:</w:t>
      </w:r>
      <w:r>
        <w:rPr>
          <w:sz w:val="18"/>
          <w:szCs w:val="18"/>
        </w:rPr>
        <w:t xml:space="preserve"> </w:t>
      </w:r>
      <w:hyperlink r:id="rId19" w:history="1">
        <w:r>
          <w:rPr>
            <w:color w:val="0563C1"/>
            <w:sz w:val="18"/>
            <w:szCs w:val="18"/>
            <w:u w:val="single"/>
          </w:rPr>
          <w:t>https://doaj.org/article/b6e86200f19e41a58ad8d0c2ad13c695</w:t>
        </w:r>
      </w:hyperlink>
    </w:p>
    <w:p w14:paraId="503EB775" w14:textId="77777777" w:rsidR="003D1017" w:rsidRDefault="00000000">
      <w:pPr>
        <w:keepNext/>
        <w:keepLines/>
        <w:spacing w:before="140" w:after="40"/>
      </w:pPr>
      <w:r>
        <w:rPr>
          <w:rFonts w:ascii="Trebuchet MS" w:hAnsi="Trebuchet MS" w:cs="Trebuchet MS"/>
          <w:b/>
          <w:bCs/>
          <w:w w:val="120"/>
          <w:sz w:val="18"/>
          <w:szCs w:val="18"/>
        </w:rPr>
        <w:t>PAPER 9:</w:t>
      </w:r>
    </w:p>
    <w:p w14:paraId="1110DE9F" w14:textId="77777777" w:rsidR="003D1017" w:rsidRDefault="00000000">
      <w:pPr>
        <w:keepNext/>
        <w:keepLines/>
        <w:spacing w:after="40"/>
      </w:pPr>
      <w:r>
        <w:rPr>
          <w:b/>
          <w:bCs/>
          <w:sz w:val="20"/>
          <w:szCs w:val="20"/>
        </w:rPr>
        <w:t>Membership Inference Attacks on Deep Regression Models for Neuroimaging</w:t>
      </w:r>
    </w:p>
    <w:p w14:paraId="4F392871" w14:textId="77777777" w:rsidR="003D1017" w:rsidRDefault="00000000">
      <w:pPr>
        <w:keepNext/>
        <w:keepLines/>
        <w:spacing w:after="60"/>
      </w:pPr>
      <w:r>
        <w:rPr>
          <w:i/>
          <w:iCs/>
          <w:sz w:val="18"/>
          <w:szCs w:val="18"/>
        </w:rPr>
        <w:t>Medical Imaging with Deep Learning (MIDL), PMLR 143, 2021</w:t>
      </w:r>
    </w:p>
    <w:p w14:paraId="5ED1571B" w14:textId="77777777" w:rsidR="003D1017" w:rsidRDefault="00000000">
      <w:pPr>
        <w:spacing w:after="100" w:line="252" w:lineRule="auto"/>
        <w:jc w:val="both"/>
      </w:pPr>
      <w:r>
        <w:rPr>
          <w:sz w:val="20"/>
          <w:szCs w:val="20"/>
        </w:rPr>
        <w:t xml:space="preserve">This paper shows that model outputs or parameters can reveal whether an individual's MRI was used during training, even when the raw scans are never shared.</w:t>
        <w:lastRenderedPageBreak/>
      </w:r>
    </w:p>
    <w:p w14:paraId="2007A1C5" w14:textId="77777777" w:rsidR="003D1017" w:rsidRDefault="00000000">
      <w:pPr>
        <w:spacing w:after="100" w:line="252" w:lineRule="auto"/>
        <w:jc w:val="both"/>
      </w:pPr>
      <w:r>
        <w:rPr>
          <w:sz w:val="20"/>
          <w:szCs w:val="20"/>
        </w:rPr>
        <w:t xml:space="preserve">The attacks target deep regression models, which is the same model class used for brain-age prediction.</w:t>
      </w:r>
    </w:p>
    <w:p w14:paraId="5FD5B8D0" w14:textId="77777777" w:rsidR="003D1017" w:rsidRDefault="00000000">
      <w:pPr>
        <w:spacing w:after="100" w:line="252" w:lineRule="auto"/>
        <w:jc w:val="both"/>
      </w:pPr>
      <w:r>
        <w:rPr>
          <w:b/>
          <w:bCs/>
          <w:sz w:val="20"/>
          <w:szCs w:val="20"/>
        </w:rPr>
        <w:t>Relevance to this work:</w:t>
      </w:r>
      <w:r>
        <w:rPr>
          <w:sz w:val="20"/>
          <w:szCs w:val="20"/>
        </w:rPr>
        <w:t xml:space="preserve"> Trained networks hold on to information about individual training scans, so exposure to a test subject during pretraining is not a harmless detail. Membership inference is a candidate independent check for future work.</w:t>
      </w:r>
    </w:p>
    <w:p w14:paraId="251FF0E3" w14:textId="77777777" w:rsidR="003D1017" w:rsidRDefault="00000000">
      <w:pPr>
        <w:pBdr>
          <w:bottom w:val="single" w:sz="6" w:space="4" w:color="auto"/>
        </w:pBdr>
        <w:spacing w:before="20" w:after="80"/>
      </w:pPr>
      <w:r>
        <w:rPr>
          <w:b/>
          <w:bCs/>
          <w:sz w:val="18"/>
          <w:szCs w:val="18"/>
        </w:rPr>
        <w:t>Link:</w:t>
      </w:r>
      <w:r>
        <w:rPr>
          <w:sz w:val="18"/>
          <w:szCs w:val="18"/>
        </w:rPr>
        <w:t xml:space="preserve"> </w:t>
      </w:r>
      <w:hyperlink r:id="rId20" w:history="1">
        <w:r>
          <w:rPr>
            <w:color w:val="0563C1"/>
            <w:sz w:val="18"/>
            <w:szCs w:val="18"/>
            <w:u w:val="single"/>
          </w:rPr>
          <w:t>https://arxiv.org/abs/2105.02866</w:t>
        </w:r>
      </w:hyperlink>
    </w:p>
    <w:p w14:paraId="5568E877" w14:textId="77777777" w:rsidR="003D1017" w:rsidRDefault="00000000">
      <w:pPr>
        <w:keepNext/>
        <w:keepLines/>
        <w:spacing w:before="140" w:after="40"/>
      </w:pPr>
      <w:r>
        <w:rPr>
          <w:rFonts w:ascii="Trebuchet MS" w:hAnsi="Trebuchet MS" w:cs="Trebuchet MS"/>
          <w:b/>
          <w:bCs/>
          <w:w w:val="120"/>
          <w:sz w:val="18"/>
          <w:szCs w:val="18"/>
        </w:rPr>
        <w:t>PAPER 10:</w:t>
      </w:r>
    </w:p>
    <w:p w14:paraId="34AAF951" w14:textId="77777777" w:rsidR="003D1017" w:rsidRDefault="00000000">
      <w:pPr>
        <w:keepNext/>
        <w:keepLines/>
        <w:spacing w:after="40"/>
      </w:pPr>
      <w:r>
        <w:rPr>
          <w:b/>
          <w:bCs/>
          <w:sz w:val="20"/>
          <w:szCs w:val="20"/>
        </w:rPr>
        <w:t>Privacy-preserving Federated Brain Tumour Segmentation</w:t>
      </w:r>
    </w:p>
    <w:p w14:paraId="1E2B7B55" w14:textId="77777777" w:rsidR="003D1017" w:rsidRDefault="00000000">
      <w:pPr>
        <w:keepNext/>
        <w:keepLines/>
        <w:spacing w:after="60"/>
      </w:pPr>
      <w:r>
        <w:rPr>
          <w:i/>
          <w:iCs/>
          <w:sz w:val="18"/>
          <w:szCs w:val="18"/>
        </w:rPr>
        <w:t>Machine Learning in Medical Imaging (MLMI), 2019</w:t>
      </w:r>
    </w:p>
    <w:p w14:paraId="05273CBB" w14:textId="77777777" w:rsidR="003D1017" w:rsidRDefault="00000000">
      <w:pPr>
        <w:spacing w:after="100" w:line="252" w:lineRule="auto"/>
        <w:jc w:val="both"/>
      </w:pPr>
      <w:r>
        <w:rPr>
          <w:sz w:val="20"/>
          <w:szCs w:val="20"/>
        </w:rPr>
        <w:t xml:space="preserve">This paper studies privacy-preserving federated learning for brain tumor segmentation, and the trade-off between protecting privacy and keeping model performance.</w:t>
      </w:r>
    </w:p>
    <w:p w14:paraId="4D518509" w14:textId="77777777" w:rsidR="003D1017" w:rsidRDefault="00000000">
      <w:pPr>
        <w:spacing w:after="100" w:line="252" w:lineRule="auto"/>
        <w:jc w:val="both"/>
      </w:pPr>
      <w:r>
        <w:rPr>
          <w:sz w:val="20"/>
          <w:szCs w:val="20"/>
        </w:rPr>
        <w:t xml:space="preserve">The setting of interest is training across institutions without sharing raw data.</w:t>
      </w:r>
    </w:p>
    <w:p w14:paraId="4B697F76" w14:textId="77777777" w:rsidR="003D1017" w:rsidRDefault="00000000">
      <w:pPr>
        <w:spacing w:after="100" w:line="252" w:lineRule="auto"/>
        <w:jc w:val="both"/>
      </w:pPr>
      <w:r>
        <w:rPr>
          <w:b/>
          <w:bCs/>
          <w:sz w:val="20"/>
          <w:szCs w:val="20"/>
        </w:rPr>
        <w:t>Relevance to this work:</w:t>
      </w:r>
      <w:r>
        <w:rPr>
          <w:sz w:val="20"/>
          <w:szCs w:val="20"/>
        </w:rPr>
        <w:t xml:space="preserve"> Multi-site training pools rely on participant-level provenance records, and those are the same records an overlap audit needs in order to work.</w:t>
      </w:r>
    </w:p>
    <w:p w14:paraId="294BBFDD" w14:textId="77777777" w:rsidR="003D1017" w:rsidRDefault="00000000">
      <w:pPr>
        <w:pBdr>
          <w:bottom w:val="single" w:sz="6" w:space="4" w:color="auto"/>
        </w:pBdr>
        <w:spacing w:before="20" w:after="80"/>
        <w:sectPr w:rsidR="003D1017">
          <w:type w:val="continuous"/>
          <w:pgSz w:w="11520" w:h="15660"/>
          <w:pgMar w:top="540" w:right="566" w:bottom="566" w:left="566" w:header="140" w:footer="0" w:gutter="0"/>
          <w:cols w:num="2" w:space="720" w:equalWidth="0">
            <w:col w:w="5035" w:space="185"/>
            <w:col w:w="5168"/>
          </w:cols>
        </w:sectPr>
      </w:pPr>
      <w:r>
        <w:rPr>
          <w:b/>
          <w:bCs/>
          <w:sz w:val="18"/>
          <w:szCs w:val="18"/>
        </w:rPr>
        <w:t>Link:</w:t>
      </w:r>
      <w:r>
        <w:rPr>
          <w:sz w:val="18"/>
          <w:szCs w:val="18"/>
        </w:rPr>
        <w:t xml:space="preserve"> </w:t>
      </w:r>
      <w:hyperlink r:id="rId21" w:history="1">
        <w:r>
          <w:rPr>
            <w:color w:val="0563C1"/>
            <w:sz w:val="18"/>
            <w:szCs w:val="18"/>
            <w:u w:val="single"/>
          </w:rPr>
          <w:t>https://arxiv.org/abs/1910.00962</w:t>
        </w:r>
      </w:hyperlink>
    </w:p>
    <w:p w14:paraId="5A0C4DA3" w14:textId="77777777" w:rsidR="003D1017" w:rsidRDefault="00000000">
      <w:pPr>
        <w:keepNext/>
        <w:keepLines/>
        <w:spacing w:before="200" w:after="100"/>
        <w:jc w:val="center"/>
      </w:pPr>
      <w:r>
        <w:rPr>
          <w:b/>
          <w:bCs/>
          <w:sz w:val="20"/>
          <w:szCs w:val="20"/>
        </w:rPr>
        <w:t>Table 1: Comparative Analysis of Recent Publications on Brain-MRI Foundation Models, Generalization, Leakage and Privacy</w:t>
      </w:r>
    </w:p>
    <w:tbl>
      <w:tblPr>
        <w:tblStyle w:val="TableGrid"/>
        <w:tblW w:w="10388" w:type="dxa"/>
        <w:tblLayout w:type="fixed"/>
        <w:tblCellMar>
          <w:left w:w="70" w:type="dxa"/>
          <w:right w:w="70" w:type="dxa"/>
        </w:tblCellMar>
        <w:tblLook w:val="04A0" w:firstRow="1" w:lastRow="0" w:firstColumn="1" w:lastColumn="0" w:noHBand="0" w:noVBand="1"/>
      </w:tblPr>
      <w:tblGrid>
        <w:gridCol w:w="1900"/>
        <w:gridCol w:w="1750"/>
        <w:gridCol w:w="1750"/>
        <w:gridCol w:w="1700"/>
        <w:gridCol w:w="1650"/>
        <w:gridCol w:w="1638"/>
      </w:tblGrid>
      <w:tr w:rsidR="003D1017" w14:paraId="760CF0F2" w14:textId="77777777">
        <w:trPr>
          <w:cantSplit/>
          <w:tblHeader/>
        </w:trPr>
        <w:tc>
          <w:tcPr>
            <w:tcW w:w="1900" w:type="dxa"/>
            <w:vAlign w:val="center"/>
          </w:tcPr>
          <w:p w14:paraId="250B4394" w14:textId="77777777" w:rsidR="003D1017" w:rsidRDefault="00000000">
            <w:pPr>
              <w:spacing w:before="50" w:after="50"/>
            </w:pPr>
            <w:r>
              <w:rPr>
                <w:b/>
                <w:bCs/>
                <w:sz w:val="18"/>
                <w:szCs w:val="18"/>
              </w:rPr>
              <w:t>REFERENCE</w:t>
            </w:r>
          </w:p>
        </w:tc>
        <w:tc>
          <w:tcPr>
            <w:tcW w:w="1750" w:type="dxa"/>
            <w:vAlign w:val="center"/>
          </w:tcPr>
          <w:p w14:paraId="3C2C44AE" w14:textId="77777777" w:rsidR="003D1017" w:rsidRDefault="00000000">
            <w:pPr>
              <w:spacing w:before="50" w:after="50"/>
            </w:pPr>
            <w:r>
              <w:rPr>
                <w:b/>
                <w:bCs/>
                <w:sz w:val="18"/>
                <w:szCs w:val="18"/>
              </w:rPr>
              <w:t>DATASET</w:t>
            </w:r>
          </w:p>
        </w:tc>
        <w:tc>
          <w:tcPr>
            <w:tcW w:w="1750" w:type="dxa"/>
            <w:vAlign w:val="center"/>
          </w:tcPr>
          <w:p w14:paraId="09539EBB" w14:textId="77777777" w:rsidR="003D1017" w:rsidRDefault="00000000">
            <w:pPr>
              <w:spacing w:before="50" w:after="50"/>
            </w:pPr>
            <w:r>
              <w:rPr>
                <w:b/>
                <w:bCs/>
                <w:sz w:val="18"/>
                <w:szCs w:val="18"/>
              </w:rPr>
              <w:t>METHODOLOGY</w:t>
            </w:r>
          </w:p>
        </w:tc>
        <w:tc>
          <w:tcPr>
            <w:tcW w:w="1700" w:type="dxa"/>
            <w:vAlign w:val="center"/>
          </w:tcPr>
          <w:p w14:paraId="67FD2567" w14:textId="77777777" w:rsidR="003D1017" w:rsidRDefault="00000000">
            <w:pPr>
              <w:spacing w:before="50" w:after="50"/>
            </w:pPr>
            <w:r>
              <w:rPr>
                <w:b/>
                <w:bCs/>
                <w:sz w:val="18"/>
                <w:szCs w:val="18"/>
              </w:rPr>
              <w:t>APPLICATION</w:t>
            </w:r>
          </w:p>
        </w:tc>
        <w:tc>
          <w:tcPr>
            <w:tcW w:w="1650" w:type="dxa"/>
            <w:vAlign w:val="center"/>
          </w:tcPr>
          <w:p w14:paraId="7590C678" w14:textId="77777777" w:rsidR="003D1017" w:rsidRDefault="00000000">
            <w:pPr>
              <w:spacing w:before="50" w:after="50"/>
            </w:pPr>
            <w:r>
              <w:rPr>
                <w:b/>
                <w:bCs/>
                <w:sz w:val="18"/>
                <w:szCs w:val="18"/>
              </w:rPr>
              <w:t>ADVANTAGE</w:t>
            </w:r>
          </w:p>
        </w:tc>
        <w:tc>
          <w:tcPr>
            <w:tcW w:w="1638" w:type="dxa"/>
            <w:vAlign w:val="center"/>
          </w:tcPr>
          <w:p w14:paraId="4E1AD291" w14:textId="77777777" w:rsidR="003D1017" w:rsidRDefault="00000000">
            <w:pPr>
              <w:spacing w:before="50" w:after="50"/>
            </w:pPr>
            <w:r>
              <w:rPr>
                <w:b/>
                <w:bCs/>
                <w:sz w:val="18"/>
                <w:szCs w:val="18"/>
              </w:rPr>
              <w:t>LIMITATION</w:t>
            </w:r>
          </w:p>
        </w:tc>
      </w:tr>
      <w:tr w:rsidR="003D1017" w14:paraId="77029F27" w14:textId="77777777">
        <w:trPr>
          <w:cantSplit/>
        </w:trPr>
        <w:tc>
          <w:tcPr>
            <w:tcW w:w="1900" w:type="dxa"/>
          </w:tcPr>
          <w:p w14:paraId="69845FCF" w14:textId="77777777" w:rsidR="003D1017" w:rsidRDefault="00000000">
            <w:pPr>
              <w:spacing w:before="40" w:after="40"/>
            </w:pPr>
            <w:r>
              <w:rPr>
                <w:b/>
                <w:bCs/>
                <w:sz w:val="17"/>
                <w:szCs w:val="17"/>
              </w:rPr>
              <w:t>BrainIAC</w:t>
            </w:r>
            <w:r>
              <w:rPr>
                <w:sz w:val="17"/>
                <w:szCs w:val="17"/>
              </w:rPr>
              <w:t xml:space="preserve"> [1] (Nat. Neurosci., 2026)</w:t>
            </w:r>
          </w:p>
        </w:tc>
        <w:tc>
          <w:tcPr>
            <w:tcW w:w="1750" w:type="dxa"/>
          </w:tcPr>
          <w:p w14:paraId="165C779F" w14:textId="77777777" w:rsidR="003D1017" w:rsidRDefault="00000000">
            <w:pPr>
              <w:spacing w:before="40" w:after="40"/>
            </w:pPr>
            <w:r>
              <w:rPr>
                <w:sz w:val="17"/>
                <w:szCs w:val="17"/>
              </w:rPr>
              <w:t>Multiple brain-MRI cohorts spanning several clinical tasks</w:t>
            </w:r>
          </w:p>
        </w:tc>
        <w:tc>
          <w:tcPr>
            <w:tcW w:w="1750" w:type="dxa"/>
          </w:tcPr>
          <w:p w14:paraId="7465C60E" w14:textId="77777777" w:rsidR="003D1017" w:rsidRDefault="00000000">
            <w:pPr>
              <w:spacing w:before="40" w:after="40"/>
            </w:pPr>
            <w:r>
              <w:rPr>
                <w:sz w:val="17"/>
                <w:szCs w:val="17"/>
              </w:rPr>
              <w:t>Self-supervised pretraining; feature transfer</w:t>
            </w:r>
          </w:p>
        </w:tc>
        <w:tc>
          <w:tcPr>
            <w:tcW w:w="1700" w:type="dxa"/>
          </w:tcPr>
          <w:p w14:paraId="7F6C093C" w14:textId="77777777" w:rsidR="003D1017" w:rsidRDefault="00000000">
            <w:pPr>
              <w:spacing w:before="40" w:after="40"/>
            </w:pPr>
            <w:r>
              <w:rPr>
                <w:sz w:val="17"/>
                <w:szCs w:val="17"/>
              </w:rPr>
              <w:t>Clinical prediction and imaging tasks</w:t>
            </w:r>
          </w:p>
        </w:tc>
        <w:tc>
          <w:tcPr>
            <w:tcW w:w="1650" w:type="dxa"/>
          </w:tcPr>
          <w:p w14:paraId="6EAB3044" w14:textId="77777777" w:rsidR="003D1017" w:rsidRDefault="00000000">
            <w:pPr>
              <w:spacing w:before="40" w:after="40"/>
            </w:pPr>
            <w:r>
              <w:rPr>
                <w:sz w:val="17"/>
                <w:szCs w:val="17"/>
              </w:rPr>
              <w:t>One encoder reused across tasks</w:t>
            </w:r>
          </w:p>
        </w:tc>
        <w:tc>
          <w:tcPr>
            <w:tcW w:w="1638" w:type="dxa"/>
          </w:tcPr>
          <w:p w14:paraId="38678914" w14:textId="77777777" w:rsidR="003D1017" w:rsidRDefault="00000000">
            <w:pPr>
              <w:spacing w:before="40" w:after="40"/>
            </w:pPr>
            <w:r>
              <w:rPr>
                <w:sz w:val="17"/>
                <w:szCs w:val="17"/>
              </w:rPr>
              <w:t>Exposure of benchmark subjects to pretraining must be verified</w:t>
            </w:r>
          </w:p>
        </w:tc>
      </w:tr>
      <w:tr w:rsidR="003D1017" w14:paraId="5593596F" w14:textId="77777777">
        <w:trPr>
          <w:cantSplit/>
        </w:trPr>
        <w:tc>
          <w:tcPr>
            <w:tcW w:w="1900" w:type="dxa"/>
          </w:tcPr>
          <w:p w14:paraId="3AA081AC" w14:textId="77777777" w:rsidR="003D1017" w:rsidRDefault="00000000">
            <w:pPr>
              <w:spacing w:before="40" w:after="40"/>
            </w:pPr>
            <w:r>
              <w:rPr>
                <w:b/>
                <w:bCs/>
                <w:sz w:val="17"/>
                <w:szCs w:val="17"/>
              </w:rPr>
              <w:t>FOMO25 Challenge</w:t>
            </w:r>
            <w:r>
              <w:rPr>
                <w:sz w:val="17"/>
                <w:szCs w:val="17"/>
              </w:rPr>
              <w:t xml:space="preserve"> [2] (arXiv, 2026)</w:t>
            </w:r>
          </w:p>
        </w:tc>
        <w:tc>
          <w:tcPr>
            <w:tcW w:w="1750" w:type="dxa"/>
          </w:tcPr>
          <w:p w14:paraId="3A9B698B" w14:textId="77777777" w:rsidR="003D1017" w:rsidRDefault="00000000">
            <w:pPr>
              <w:spacing w:before="40" w:after="40"/>
            </w:pPr>
            <w:r>
              <w:rPr>
                <w:sz w:val="17"/>
                <w:szCs w:val="17"/>
              </w:rPr>
              <w:t>Few-shot clinical tasks; out-of-domain MRI</w:t>
            </w:r>
          </w:p>
        </w:tc>
        <w:tc>
          <w:tcPr>
            <w:tcW w:w="1750" w:type="dxa"/>
          </w:tcPr>
          <w:p w14:paraId="772CCCF7" w14:textId="77777777" w:rsidR="003D1017" w:rsidRDefault="00000000">
            <w:pPr>
              <w:spacing w:before="40" w:after="40"/>
            </w:pPr>
            <w:r>
              <w:rPr>
                <w:sz w:val="17"/>
                <w:szCs w:val="17"/>
              </w:rPr>
              <w:t>Challenge comparison of foundation models</w:t>
            </w:r>
          </w:p>
        </w:tc>
        <w:tc>
          <w:tcPr>
            <w:tcW w:w="1700" w:type="dxa"/>
          </w:tcPr>
          <w:p w14:paraId="0CC006E9" w14:textId="77777777" w:rsidR="003D1017" w:rsidRDefault="00000000">
            <w:pPr>
              <w:spacing w:before="40" w:after="40"/>
            </w:pPr>
            <w:r>
              <w:rPr>
                <w:sz w:val="17"/>
                <w:szCs w:val="17"/>
              </w:rPr>
              <w:t>Few-shot clinical tasks under domain shift</w:t>
            </w:r>
          </w:p>
        </w:tc>
        <w:tc>
          <w:tcPr>
            <w:tcW w:w="1650" w:type="dxa"/>
          </w:tcPr>
          <w:p w14:paraId="3DD5D0C4" w14:textId="77777777" w:rsidR="003D1017" w:rsidRDefault="00000000">
            <w:pPr>
              <w:spacing w:before="40" w:after="40"/>
            </w:pPr>
            <w:r>
              <w:rPr>
                <w:sz w:val="17"/>
                <w:szCs w:val="17"/>
              </w:rPr>
              <w:t>Same conditions for all models</w:t>
            </w:r>
          </w:p>
        </w:tc>
        <w:tc>
          <w:tcPr>
            <w:tcW w:w="1638" w:type="dxa"/>
          </w:tcPr>
          <w:p w14:paraId="4EB6CAEA" w14:textId="77777777" w:rsidR="003D1017" w:rsidRDefault="00000000">
            <w:pPr>
              <w:spacing w:before="40" w:after="40"/>
            </w:pPr>
            <w:r>
              <w:rPr>
                <w:sz w:val="17"/>
                <w:szCs w:val="17"/>
              </w:rPr>
              <w:t>Not a seen-versus-unseen contrast</w:t>
            </w:r>
          </w:p>
        </w:tc>
      </w:tr>
      <w:tr w:rsidR="003D1017" w14:paraId="438BAD08" w14:textId="77777777">
        <w:trPr>
          <w:cantSplit/>
        </w:trPr>
        <w:tc>
          <w:tcPr>
            <w:tcW w:w="1900" w:type="dxa"/>
          </w:tcPr>
          <w:p w14:paraId="10DADCC8" w14:textId="77777777" w:rsidR="003D1017" w:rsidRDefault="00000000">
            <w:pPr>
              <w:spacing w:before="40" w:after="40"/>
            </w:pPr>
            <w:r>
              <w:rPr>
                <w:b/>
                <w:bCs/>
                <w:sz w:val="17"/>
                <w:szCs w:val="17"/>
              </w:rPr>
              <w:t>FOMO60K</w:t>
            </w:r>
            <w:r>
              <w:rPr>
                <w:sz w:val="17"/>
                <w:szCs w:val="17"/>
              </w:rPr>
              <w:t xml:space="preserve"> [3] (arXiv, 2025)</w:t>
            </w:r>
          </w:p>
        </w:tc>
        <w:tc>
          <w:tcPr>
            <w:tcW w:w="1750" w:type="dxa"/>
          </w:tcPr>
          <w:p w14:paraId="375495E3" w14:textId="77777777" w:rsidR="003D1017" w:rsidRDefault="00000000">
            <w:pPr>
              <w:spacing w:before="40" w:after="40"/>
            </w:pPr>
            <w:r>
              <w:rPr>
                <w:sz w:val="17"/>
                <w:szCs w:val="17"/>
              </w:rPr>
              <w:t>FOMO60K: large heterogeneous 3D brain MRI</w:t>
            </w:r>
          </w:p>
        </w:tc>
        <w:tc>
          <w:tcPr>
            <w:tcW w:w="1750" w:type="dxa"/>
          </w:tcPr>
          <w:p w14:paraId="4306E5E7" w14:textId="77777777" w:rsidR="003D1017" w:rsidRDefault="00000000">
            <w:pPr>
              <w:spacing w:before="40" w:after="40"/>
            </w:pPr>
            <w:r>
              <w:rPr>
                <w:sz w:val="17"/>
                <w:szCs w:val="17"/>
              </w:rPr>
              <w:t>Dataset curation with source and participant metadata</w:t>
            </w:r>
          </w:p>
        </w:tc>
        <w:tc>
          <w:tcPr>
            <w:tcW w:w="1700" w:type="dxa"/>
          </w:tcPr>
          <w:p w14:paraId="7AAEB0D9" w14:textId="77777777" w:rsidR="003D1017" w:rsidRDefault="00000000">
            <w:pPr>
              <w:spacing w:before="40" w:after="40"/>
            </w:pPr>
            <w:r>
              <w:rPr>
                <w:sz w:val="17"/>
                <w:szCs w:val="17"/>
              </w:rPr>
              <w:t>Self-supervised pretraining</w:t>
            </w:r>
          </w:p>
        </w:tc>
        <w:tc>
          <w:tcPr>
            <w:tcW w:w="1650" w:type="dxa"/>
          </w:tcPr>
          <w:p w14:paraId="1AC35E2F" w14:textId="77777777" w:rsidR="003D1017" w:rsidRDefault="00000000">
            <w:pPr>
              <w:spacing w:before="40" w:after="40"/>
            </w:pPr>
            <w:r>
              <w:rPr>
                <w:sz w:val="17"/>
                <w:szCs w:val="17"/>
              </w:rPr>
              <w:t>Metadata allows overlap checks</w:t>
            </w:r>
          </w:p>
        </w:tc>
        <w:tc>
          <w:tcPr>
            <w:tcW w:w="1638" w:type="dxa"/>
          </w:tcPr>
          <w:p w14:paraId="5400F389" w14:textId="77777777" w:rsidR="003D1017" w:rsidRDefault="00000000">
            <w:pPr>
              <w:spacing w:before="40" w:after="40"/>
            </w:pPr>
            <w:r>
              <w:rPr>
                <w:sz w:val="17"/>
                <w:szCs w:val="17"/>
              </w:rPr>
              <w:t>Overlap with benchmarks must be checked</w:t>
            </w:r>
          </w:p>
        </w:tc>
      </w:tr>
      <w:tr w:rsidR="003D1017" w14:paraId="140CE08A" w14:textId="77777777">
        <w:trPr>
          <w:cantSplit/>
        </w:trPr>
        <w:tc>
          <w:tcPr>
            <w:tcW w:w="1900" w:type="dxa"/>
          </w:tcPr>
          <w:p w14:paraId="6079D2B6" w14:textId="77777777" w:rsidR="003D1017" w:rsidRDefault="00000000">
            <w:pPr>
              <w:spacing w:before="40" w:after="40"/>
            </w:pPr>
            <w:r>
              <w:rPr>
                <w:b/>
                <w:bCs/>
                <w:sz w:val="17"/>
                <w:szCs w:val="17"/>
              </w:rPr>
              <w:t>BrainSegFounder</w:t>
            </w:r>
            <w:r>
              <w:rPr>
                <w:sz w:val="17"/>
                <w:szCs w:val="17"/>
              </w:rPr>
              <w:t xml:space="preserve"> [4] (Med. Image Anal., 2024)</w:t>
            </w:r>
          </w:p>
        </w:tc>
        <w:tc>
          <w:tcPr>
            <w:tcW w:w="1750" w:type="dxa"/>
          </w:tcPr>
          <w:p w14:paraId="3C9582E8" w14:textId="77777777" w:rsidR="003D1017" w:rsidRDefault="00000000">
            <w:pPr>
              <w:spacing w:before="40" w:after="40"/>
            </w:pPr>
            <w:r>
              <w:rPr>
                <w:sz w:val="17"/>
                <w:szCs w:val="17"/>
              </w:rPr>
              <w:t>Multimodal MRI; tumor and stroke lesion tasks</w:t>
            </w:r>
          </w:p>
        </w:tc>
        <w:tc>
          <w:tcPr>
            <w:tcW w:w="1750" w:type="dxa"/>
          </w:tcPr>
          <w:p w14:paraId="4ECBE29C" w14:textId="77777777" w:rsidR="003D1017" w:rsidRDefault="00000000">
            <w:pPr>
              <w:spacing w:before="40" w:after="40"/>
            </w:pPr>
            <w:r>
              <w:rPr>
                <w:sz w:val="17"/>
                <w:szCs w:val="17"/>
              </w:rPr>
              <w:t>Self-supervised 3D pretraining</w:t>
            </w:r>
          </w:p>
        </w:tc>
        <w:tc>
          <w:tcPr>
            <w:tcW w:w="1700" w:type="dxa"/>
          </w:tcPr>
          <w:p w14:paraId="7EC15CD3" w14:textId="77777777" w:rsidR="003D1017" w:rsidRDefault="00000000">
            <w:pPr>
              <w:spacing w:before="40" w:after="40"/>
            </w:pPr>
            <w:r>
              <w:rPr>
                <w:sz w:val="17"/>
                <w:szCs w:val="17"/>
              </w:rPr>
              <w:t>Neuroimage segmentation</w:t>
            </w:r>
          </w:p>
        </w:tc>
        <w:tc>
          <w:tcPr>
            <w:tcW w:w="1650" w:type="dxa"/>
          </w:tcPr>
          <w:p w14:paraId="5B1308E8" w14:textId="77777777" w:rsidR="003D1017" w:rsidRDefault="00000000">
            <w:pPr>
              <w:spacing w:before="40" w:after="40"/>
            </w:pPr>
            <w:r>
              <w:rPr>
                <w:sz w:val="17"/>
                <w:szCs w:val="17"/>
              </w:rPr>
              <w:t>Dense-prediction transfer</w:t>
            </w:r>
          </w:p>
        </w:tc>
        <w:tc>
          <w:tcPr>
            <w:tcW w:w="1638" w:type="dxa"/>
          </w:tcPr>
          <w:p w14:paraId="044988AC" w14:textId="77777777" w:rsidR="003D1017" w:rsidRDefault="00000000">
            <w:pPr>
              <w:spacing w:before="40" w:after="40"/>
            </w:pPr>
            <w:r>
              <w:rPr>
                <w:sz w:val="17"/>
                <w:szCs w:val="17"/>
              </w:rPr>
              <w:t>Segmentation focus; overlap audit out of scope</w:t>
            </w:r>
          </w:p>
        </w:tc>
      </w:tr>
      <w:tr w:rsidR="003D1017" w14:paraId="4792AAEB" w14:textId="77777777">
        <w:trPr>
          <w:cantSplit/>
        </w:trPr>
        <w:tc>
          <w:tcPr>
            <w:tcW w:w="1900" w:type="dxa"/>
          </w:tcPr>
          <w:p w14:paraId="4D0ECE7F" w14:textId="77777777" w:rsidR="003D1017" w:rsidRDefault="00000000">
            <w:pPr>
              <w:spacing w:before="40" w:after="40"/>
            </w:pPr>
            <w:r>
              <w:rPr>
                <w:b/>
                <w:bCs/>
                <w:sz w:val="17"/>
                <w:szCs w:val="17"/>
              </w:rPr>
              <w:t>BrainFound</w:t>
            </w:r>
            <w:r>
              <w:rPr>
                <w:sz w:val="17"/>
                <w:szCs w:val="17"/>
              </w:rPr>
              <w:t xml:space="preserve"> [5] (arXiv, 2025)</w:t>
            </w:r>
          </w:p>
        </w:tc>
        <w:tc>
          <w:tcPr>
            <w:tcW w:w="1750" w:type="dxa"/>
          </w:tcPr>
          <w:p w14:paraId="4C14B919" w14:textId="77777777" w:rsidR="003D1017" w:rsidRDefault="00000000">
            <w:pPr>
              <w:spacing w:before="40" w:after="40"/>
            </w:pPr>
            <w:r>
              <w:rPr>
                <w:sz w:val="17"/>
                <w:szCs w:val="17"/>
              </w:rPr>
              <w:t>Brain MRI across imaging protocols</w:t>
            </w:r>
          </w:p>
        </w:tc>
        <w:tc>
          <w:tcPr>
            <w:tcW w:w="1750" w:type="dxa"/>
          </w:tcPr>
          <w:p w14:paraId="520DE18D" w14:textId="77777777" w:rsidR="003D1017" w:rsidRDefault="00000000">
            <w:pPr>
              <w:spacing w:before="40" w:after="40"/>
            </w:pPr>
            <w:r>
              <w:rPr>
                <w:sz w:val="17"/>
                <w:szCs w:val="17"/>
              </w:rPr>
              <w:t>DINOv2-style 3D learning</w:t>
            </w:r>
          </w:p>
        </w:tc>
        <w:tc>
          <w:tcPr>
            <w:tcW w:w="1700" w:type="dxa"/>
          </w:tcPr>
          <w:p w14:paraId="7992C685" w14:textId="77777777" w:rsidR="003D1017" w:rsidRDefault="00000000">
            <w:pPr>
              <w:spacing w:before="40" w:after="40"/>
            </w:pPr>
            <w:r>
              <w:rPr>
                <w:sz w:val="17"/>
                <w:szCs w:val="17"/>
              </w:rPr>
              <w:t>Cross-protocol, cross-task transfer</w:t>
            </w:r>
          </w:p>
        </w:tc>
        <w:tc>
          <w:tcPr>
            <w:tcW w:w="1650" w:type="dxa"/>
          </w:tcPr>
          <w:p w14:paraId="0ED6D687" w14:textId="77777777" w:rsidR="003D1017" w:rsidRDefault="00000000">
            <w:pPr>
              <w:spacing w:before="40" w:after="40"/>
            </w:pPr>
            <w:r>
              <w:rPr>
                <w:sz w:val="17"/>
                <w:szCs w:val="17"/>
              </w:rPr>
              <w:t>Protocol robustness studied</w:t>
            </w:r>
          </w:p>
        </w:tc>
        <w:tc>
          <w:tcPr>
            <w:tcW w:w="1638" w:type="dxa"/>
          </w:tcPr>
          <w:p w14:paraId="62F0B668" w14:textId="77777777" w:rsidR="003D1017" w:rsidRDefault="00000000">
            <w:pPr>
              <w:spacing w:before="40" w:after="40"/>
            </w:pPr>
            <w:r>
              <w:rPr>
                <w:sz w:val="17"/>
                <w:szCs w:val="17"/>
              </w:rPr>
              <w:t>Same-scanner exposure contrast not studied</w:t>
            </w:r>
          </w:p>
        </w:tc>
      </w:tr>
      <w:tr w:rsidR="003D1017" w14:paraId="4FADB3A0" w14:textId="77777777">
        <w:trPr>
          <w:cantSplit/>
        </w:trPr>
        <w:tc>
          <w:tcPr>
            <w:tcW w:w="1900" w:type="dxa"/>
          </w:tcPr>
          <w:p w14:paraId="60B3CBDE" w14:textId="77777777" w:rsidR="003D1017" w:rsidRDefault="00000000">
            <w:pPr>
              <w:spacing w:before="40" w:after="40"/>
            </w:pPr>
            <w:r>
              <w:rPr>
                <w:b/>
                <w:bCs/>
                <w:sz w:val="17"/>
                <w:szCs w:val="17"/>
              </w:rPr>
              <w:t>African Brain MRI Evaluation</w:t>
            </w:r>
            <w:r>
              <w:rPr>
                <w:sz w:val="17"/>
                <w:szCs w:val="17"/>
              </w:rPr>
              <w:t xml:space="preserve"> [6] (arXiv, 2026)</w:t>
            </w:r>
          </w:p>
        </w:tc>
        <w:tc>
          <w:tcPr>
            <w:tcW w:w="1750" w:type="dxa"/>
          </w:tcPr>
          <w:p w14:paraId="6CA0DCF6" w14:textId="77777777" w:rsidR="003D1017" w:rsidRDefault="00000000">
            <w:pPr>
              <w:spacing w:before="40" w:after="40"/>
            </w:pPr>
            <w:r>
              <w:rPr>
                <w:sz w:val="17"/>
                <w:szCs w:val="17"/>
              </w:rPr>
              <w:t>Nigerian clinical MRI cohort</w:t>
            </w:r>
          </w:p>
        </w:tc>
        <w:tc>
          <w:tcPr>
            <w:tcW w:w="1750" w:type="dxa"/>
          </w:tcPr>
          <w:p w14:paraId="7249B6FC" w14:textId="77777777" w:rsidR="003D1017" w:rsidRDefault="00000000">
            <w:pPr>
              <w:spacing w:before="40" w:after="40"/>
            </w:pPr>
            <w:r>
              <w:rPr>
                <w:sz w:val="17"/>
                <w:szCs w:val="17"/>
              </w:rPr>
              <w:t>Zero-shot and transfer testing of foundation models</w:t>
            </w:r>
          </w:p>
        </w:tc>
        <w:tc>
          <w:tcPr>
            <w:tcW w:w="1700" w:type="dxa"/>
          </w:tcPr>
          <w:p w14:paraId="10FDD7DD" w14:textId="77777777" w:rsidR="003D1017" w:rsidRDefault="00000000">
            <w:pPr>
              <w:spacing w:before="40" w:after="40"/>
            </w:pPr>
            <w:r>
              <w:rPr>
                <w:sz w:val="17"/>
                <w:szCs w:val="17"/>
              </w:rPr>
              <w:t>Population-shift evaluation</w:t>
            </w:r>
          </w:p>
        </w:tc>
        <w:tc>
          <w:tcPr>
            <w:tcW w:w="1650" w:type="dxa"/>
          </w:tcPr>
          <w:p w14:paraId="754EE591" w14:textId="77777777" w:rsidR="003D1017" w:rsidRDefault="00000000">
            <w:pPr>
              <w:spacing w:before="40" w:after="40"/>
            </w:pPr>
            <w:r>
              <w:rPr>
                <w:sz w:val="17"/>
                <w:szCs w:val="17"/>
              </w:rPr>
              <w:t>Tests an underrepresented population</w:t>
            </w:r>
          </w:p>
        </w:tc>
        <w:tc>
          <w:tcPr>
            <w:tcW w:w="1638" w:type="dxa"/>
          </w:tcPr>
          <w:p w14:paraId="6EC9D2ED" w14:textId="77777777" w:rsidR="003D1017" w:rsidRDefault="00000000">
            <w:pPr>
              <w:spacing w:before="40" w:after="40"/>
            </w:pPr>
            <w:r>
              <w:rPr>
                <w:sz w:val="17"/>
                <w:szCs w:val="17"/>
              </w:rPr>
              <w:t>Single clinical cohort</w:t>
            </w:r>
          </w:p>
        </w:tc>
      </w:tr>
      <w:tr w:rsidR="003D1017" w14:paraId="1AA42441" w14:textId="77777777">
        <w:trPr>
          <w:cantSplit/>
        </w:trPr>
        <w:tc>
          <w:tcPr>
            <w:tcW w:w="1900" w:type="dxa"/>
          </w:tcPr>
          <w:p w14:paraId="55D0DFC2" w14:textId="77777777" w:rsidR="003D1017" w:rsidRDefault="00000000">
            <w:pPr>
              <w:spacing w:before="40" w:after="40"/>
            </w:pPr>
            <w:r>
              <w:rPr>
                <w:b/>
                <w:bCs/>
                <w:sz w:val="17"/>
                <w:szCs w:val="17"/>
              </w:rPr>
              <w:t>Leakage in Connectome ML</w:t>
            </w:r>
            <w:r>
              <w:rPr>
                <w:sz w:val="17"/>
                <w:szCs w:val="17"/>
              </w:rPr>
              <w:t xml:space="preserve"> [7] (Nat. Commun., 2024)</w:t>
            </w:r>
          </w:p>
        </w:tc>
        <w:tc>
          <w:tcPr>
            <w:tcW w:w="1750" w:type="dxa"/>
          </w:tcPr>
          <w:p w14:paraId="4924FF20" w14:textId="77777777" w:rsidR="003D1017" w:rsidRDefault="00000000">
            <w:pPr>
              <w:spacing w:before="40" w:after="40"/>
            </w:pPr>
            <w:r>
              <w:rPr>
                <w:sz w:val="17"/>
                <w:szCs w:val="17"/>
              </w:rPr>
              <w:t>Neuroimaging prediction pipelines</w:t>
            </w:r>
          </w:p>
        </w:tc>
        <w:tc>
          <w:tcPr>
            <w:tcW w:w="1750" w:type="dxa"/>
          </w:tcPr>
          <w:p w14:paraId="2B5C4CD0" w14:textId="77777777" w:rsidR="003D1017" w:rsidRDefault="00000000">
            <w:pPr>
              <w:spacing w:before="40" w:after="40"/>
            </w:pPr>
            <w:r>
              <w:rPr>
                <w:sz w:val="17"/>
                <w:szCs w:val="17"/>
              </w:rPr>
              <w:t>Controlled comparison of leakage types</w:t>
            </w:r>
          </w:p>
        </w:tc>
        <w:tc>
          <w:tcPr>
            <w:tcW w:w="1700" w:type="dxa"/>
          </w:tcPr>
          <w:p w14:paraId="0EFB8768" w14:textId="77777777" w:rsidR="003D1017" w:rsidRDefault="00000000">
            <w:pPr>
              <w:spacing w:before="40" w:after="40"/>
            </w:pPr>
            <w:r>
              <w:rPr>
                <w:sz w:val="17"/>
                <w:szCs w:val="17"/>
              </w:rPr>
              <w:t>Evaluation validity</w:t>
            </w:r>
          </w:p>
        </w:tc>
        <w:tc>
          <w:tcPr>
            <w:tcW w:w="1650" w:type="dxa"/>
          </w:tcPr>
          <w:p w14:paraId="62864AF7" w14:textId="77777777" w:rsidR="003D1017" w:rsidRDefault="00000000">
            <w:pPr>
              <w:spacing w:before="40" w:after="40"/>
            </w:pPr>
            <w:r>
              <w:rPr>
                <w:sz w:val="17"/>
                <w:szCs w:val="17"/>
              </w:rPr>
              <w:t>Quantifies performance inflation</w:t>
            </w:r>
          </w:p>
        </w:tc>
        <w:tc>
          <w:tcPr>
            <w:tcW w:w="1638" w:type="dxa"/>
          </w:tcPr>
          <w:p w14:paraId="54F6C9AF" w14:textId="77777777" w:rsidR="003D1017" w:rsidRDefault="00000000">
            <w:pPr>
              <w:spacing w:before="40" w:after="40"/>
            </w:pPr>
            <w:r>
              <w:rPr>
                <w:sz w:val="17"/>
                <w:szCs w:val="17"/>
              </w:rPr>
              <w:t>Connectome models, not MRI foundation models</w:t>
            </w:r>
          </w:p>
        </w:tc>
      </w:tr>
      <w:tr w:rsidR="003D1017" w14:paraId="2F9B9DF4" w14:textId="77777777">
        <w:trPr>
          <w:cantSplit/>
        </w:trPr>
        <w:tc>
          <w:tcPr>
            <w:tcW w:w="1900" w:type="dxa"/>
          </w:tcPr>
          <w:p w14:paraId="260F97C0" w14:textId="77777777" w:rsidR="003D1017" w:rsidRDefault="00000000">
            <w:pPr>
              <w:spacing w:before="40" w:after="40"/>
            </w:pPr>
            <w:r>
              <w:rPr>
                <w:b/>
                <w:bCs/>
                <w:sz w:val="17"/>
                <w:szCs w:val="17"/>
              </w:rPr>
              <w:t>Site-Effect Benchmark</w:t>
            </w:r>
            <w:r>
              <w:rPr>
                <w:sz w:val="17"/>
                <w:szCs w:val="17"/>
              </w:rPr>
              <w:t xml:space="preserve"> [8] (NeuroImage, 2023)</w:t>
            </w:r>
          </w:p>
        </w:tc>
        <w:tc>
          <w:tcPr>
            <w:tcW w:w="1750" w:type="dxa"/>
          </w:tcPr>
          <w:p w14:paraId="3F3D54D3" w14:textId="77777777" w:rsidR="003D1017" w:rsidRDefault="00000000">
            <w:pPr>
              <w:spacing w:before="40" w:after="40"/>
            </w:pPr>
            <w:r>
              <w:rPr>
                <w:sz w:val="17"/>
                <w:szCs w:val="17"/>
              </w:rPr>
              <w:t>Multisite brain imaging</w:t>
            </w:r>
          </w:p>
        </w:tc>
        <w:tc>
          <w:tcPr>
            <w:tcW w:w="1750" w:type="dxa"/>
          </w:tcPr>
          <w:p w14:paraId="2EEC05B5" w14:textId="77777777" w:rsidR="003D1017" w:rsidRDefault="00000000">
            <w:pPr>
              <w:spacing w:before="40" w:after="40"/>
            </w:pPr>
            <w:r>
              <w:rPr>
                <w:sz w:val="17"/>
                <w:szCs w:val="17"/>
              </w:rPr>
              <w:t>Harmonization benchmark</w:t>
            </w:r>
          </w:p>
        </w:tc>
        <w:tc>
          <w:tcPr>
            <w:tcW w:w="1700" w:type="dxa"/>
          </w:tcPr>
          <w:p w14:paraId="2FA3CF8A" w14:textId="77777777" w:rsidR="003D1017" w:rsidRDefault="00000000">
            <w:pPr>
              <w:spacing w:before="40" w:after="40"/>
            </w:pPr>
            <w:r>
              <w:rPr>
                <w:sz w:val="17"/>
                <w:szCs w:val="17"/>
              </w:rPr>
              <w:t>Scanner and site effect removal</w:t>
            </w:r>
          </w:p>
        </w:tc>
        <w:tc>
          <w:tcPr>
            <w:tcW w:w="1650" w:type="dxa"/>
          </w:tcPr>
          <w:p w14:paraId="3A5DB25B" w14:textId="77777777" w:rsidR="003D1017" w:rsidRDefault="00000000">
            <w:pPr>
              <w:spacing w:before="40" w:after="40"/>
            </w:pPr>
            <w:r>
              <w:rPr>
                <w:sz w:val="17"/>
                <w:szCs w:val="17"/>
              </w:rPr>
              <w:t>Extendable benchmark</w:t>
            </w:r>
          </w:p>
        </w:tc>
        <w:tc>
          <w:tcPr>
            <w:tcW w:w="1638" w:type="dxa"/>
          </w:tcPr>
          <w:p w14:paraId="37902301" w14:textId="77777777" w:rsidR="003D1017" w:rsidRDefault="00000000">
            <w:pPr>
              <w:spacing w:before="40" w:after="40"/>
            </w:pPr>
            <w:r>
              <w:rPr>
                <w:sz w:val="17"/>
                <w:szCs w:val="17"/>
              </w:rPr>
              <w:t>Does not address pretraining exposure</w:t>
            </w:r>
          </w:p>
        </w:tc>
      </w:tr>
      <w:tr w:rsidR="003D1017" w14:paraId="45DDA27D" w14:textId="77777777">
        <w:trPr>
          <w:cantSplit/>
        </w:trPr>
        <w:tc>
          <w:tcPr>
            <w:tcW w:w="1900" w:type="dxa"/>
          </w:tcPr>
          <w:p w14:paraId="00076326" w14:textId="77777777" w:rsidR="003D1017" w:rsidRDefault="00000000">
            <w:pPr>
              <w:spacing w:before="40" w:after="40"/>
            </w:pPr>
            <w:r>
              <w:rPr>
                <w:b/>
                <w:bCs/>
                <w:sz w:val="17"/>
                <w:szCs w:val="17"/>
              </w:rPr>
              <w:t>Membership Inference on Neuroimaging</w:t>
            </w:r>
            <w:r>
              <w:rPr>
                <w:sz w:val="17"/>
                <w:szCs w:val="17"/>
              </w:rPr>
              <w:t xml:space="preserve"> [9] (MIDL, 2021)</w:t>
            </w:r>
          </w:p>
        </w:tc>
        <w:tc>
          <w:tcPr>
            <w:tcW w:w="1750" w:type="dxa"/>
          </w:tcPr>
          <w:p w14:paraId="3673638D" w14:textId="77777777" w:rsidR="003D1017" w:rsidRDefault="00000000">
            <w:pPr>
              <w:spacing w:before="40" w:after="40"/>
            </w:pPr>
            <w:r>
              <w:rPr>
                <w:sz w:val="17"/>
                <w:szCs w:val="17"/>
              </w:rPr>
              <w:t>Neuroimaging regression models</w:t>
            </w:r>
          </w:p>
        </w:tc>
        <w:tc>
          <w:tcPr>
            <w:tcW w:w="1750" w:type="dxa"/>
          </w:tcPr>
          <w:p w14:paraId="03BEDB4A" w14:textId="77777777" w:rsidR="003D1017" w:rsidRDefault="00000000">
            <w:pPr>
              <w:spacing w:before="40" w:after="40"/>
            </w:pPr>
            <w:r>
              <w:rPr>
                <w:sz w:val="17"/>
                <w:szCs w:val="17"/>
              </w:rPr>
              <w:t>Membership inference attacks</w:t>
            </w:r>
          </w:p>
        </w:tc>
        <w:tc>
          <w:tcPr>
            <w:tcW w:w="1700" w:type="dxa"/>
          </w:tcPr>
          <w:p w14:paraId="4BEF5670" w14:textId="77777777" w:rsidR="003D1017" w:rsidRDefault="00000000">
            <w:pPr>
              <w:spacing w:before="40" w:after="40"/>
            </w:pPr>
            <w:r>
              <w:rPr>
                <w:sz w:val="17"/>
                <w:szCs w:val="17"/>
              </w:rPr>
              <w:t>Privacy auditing</w:t>
            </w:r>
          </w:p>
        </w:tc>
        <w:tc>
          <w:tcPr>
            <w:tcW w:w="1650" w:type="dxa"/>
          </w:tcPr>
          <w:p w14:paraId="37D3D523" w14:textId="77777777" w:rsidR="003D1017" w:rsidRDefault="00000000">
            <w:pPr>
              <w:spacing w:before="40" w:after="40"/>
            </w:pPr>
            <w:r>
              <w:rPr>
                <w:sz w:val="17"/>
                <w:szCs w:val="17"/>
              </w:rPr>
              <w:t>Shows membership can be detected</w:t>
            </w:r>
          </w:p>
        </w:tc>
        <w:tc>
          <w:tcPr>
            <w:tcW w:w="1638" w:type="dxa"/>
          </w:tcPr>
          <w:p w14:paraId="54A4805F" w14:textId="77777777" w:rsidR="003D1017" w:rsidRDefault="00000000">
            <w:pPr>
              <w:spacing w:before="40" w:after="40"/>
            </w:pPr>
            <w:r>
              <w:rPr>
                <w:sz w:val="17"/>
                <w:szCs w:val="17"/>
              </w:rPr>
              <w:t>Needs model outputs or parameters</w:t>
            </w:r>
          </w:p>
        </w:tc>
      </w:tr>
      <w:tr w:rsidR="003D1017" w14:paraId="2CA8A47C" w14:textId="77777777">
        <w:trPr>
          <w:cantSplit/>
        </w:trPr>
        <w:tc>
          <w:tcPr>
            <w:tcW w:w="1900" w:type="dxa"/>
          </w:tcPr>
          <w:p w14:paraId="62AF776A" w14:textId="77777777" w:rsidR="003D1017" w:rsidRDefault="00000000">
            <w:pPr>
              <w:spacing w:before="40" w:after="40"/>
            </w:pPr>
            <w:r>
              <w:rPr>
                <w:b/>
                <w:bCs/>
                <w:sz w:val="17"/>
                <w:szCs w:val="17"/>
              </w:rPr>
              <w:t>Federated Tumour Segmentation</w:t>
            </w:r>
            <w:r>
              <w:rPr>
                <w:sz w:val="17"/>
                <w:szCs w:val="17"/>
              </w:rPr>
              <w:t xml:space="preserve"> [10] (MLMI, 2019)</w:t>
            </w:r>
          </w:p>
        </w:tc>
        <w:tc>
          <w:tcPr>
            <w:tcW w:w="1750" w:type="dxa"/>
          </w:tcPr>
          <w:p w14:paraId="00850DD4" w14:textId="77777777" w:rsidR="003D1017" w:rsidRDefault="00000000">
            <w:pPr>
              <w:spacing w:before="40" w:after="40"/>
            </w:pPr>
            <w:r>
              <w:rPr>
                <w:sz w:val="17"/>
                <w:szCs w:val="17"/>
              </w:rPr>
              <w:t>Multi-institution brain tumor MRI</w:t>
            </w:r>
          </w:p>
        </w:tc>
        <w:tc>
          <w:tcPr>
            <w:tcW w:w="1750" w:type="dxa"/>
          </w:tcPr>
          <w:p w14:paraId="0B703C36" w14:textId="77777777" w:rsidR="003D1017" w:rsidRDefault="00000000">
            <w:pPr>
              <w:spacing w:before="40" w:after="40"/>
            </w:pPr>
            <w:r>
              <w:rPr>
                <w:sz w:val="17"/>
                <w:szCs w:val="17"/>
              </w:rPr>
              <w:t>Privacy-preserving federated learning</w:t>
            </w:r>
          </w:p>
        </w:tc>
        <w:tc>
          <w:tcPr>
            <w:tcW w:w="1700" w:type="dxa"/>
          </w:tcPr>
          <w:p w14:paraId="6BC28DF3" w14:textId="77777777" w:rsidR="003D1017" w:rsidRDefault="00000000">
            <w:pPr>
              <w:spacing w:before="40" w:after="40"/>
            </w:pPr>
            <w:r>
              <w:rPr>
                <w:sz w:val="17"/>
                <w:szCs w:val="17"/>
              </w:rPr>
              <w:t>Multi-site training</w:t>
            </w:r>
          </w:p>
        </w:tc>
        <w:tc>
          <w:tcPr>
            <w:tcW w:w="1650" w:type="dxa"/>
          </w:tcPr>
          <w:p w14:paraId="21CCA0AC" w14:textId="77777777" w:rsidR="003D1017" w:rsidRDefault="00000000">
            <w:pPr>
              <w:spacing w:before="40" w:after="40"/>
            </w:pPr>
            <w:r>
              <w:rPr>
                <w:sz w:val="17"/>
                <w:szCs w:val="17"/>
              </w:rPr>
              <w:t>Privacy and performance trade-off studied</w:t>
            </w:r>
          </w:p>
        </w:tc>
        <w:tc>
          <w:tcPr>
            <w:tcW w:w="1638" w:type="dxa"/>
          </w:tcPr>
          <w:p w14:paraId="423CAC3E" w14:textId="77777777" w:rsidR="003D1017" w:rsidRDefault="00000000">
            <w:pPr>
              <w:spacing w:before="40" w:after="40"/>
            </w:pPr>
            <w:r>
              <w:rPr>
                <w:sz w:val="17"/>
                <w:szCs w:val="17"/>
              </w:rPr>
              <w:t>Tumor segmentation task only</w:t>
            </w:r>
          </w:p>
        </w:tc>
      </w:tr>
    </w:tbl>
    <w:p w14:paraId="5CBAFA58" w14:textId="77777777" w:rsidR="003D1017" w:rsidRDefault="003D1017">
      <w:pPr>
        <w:spacing w:after="60"/>
        <w:sectPr w:rsidR="003D1017">
          <w:type w:val="continuous"/>
          <w:pgSz w:w="11520" w:h="15660"/>
          <w:pgMar w:top="540" w:right="566" w:bottom="566" w:left="566" w:header="140" w:footer="0" w:gutter="0"/>
          <w:cols w:space="720"/>
        </w:sectPr>
      </w:pPr>
    </w:p>
    <w:p w14:paraId="0C22DEE2" w14:textId="77777777" w:rsidR="003D1017" w:rsidRDefault="00000000">
      <w:pPr>
        <w:keepNext/>
        <w:keepLines/>
        <w:tabs>
          <w:tab w:val="left" w:pos="400"/>
        </w:tabs>
        <w:spacing w:before="60" w:after="100"/>
        <w:ind w:left="400" w:hanging="400"/>
      </w:pPr>
      <w:r>
        <w:rPr>
          <w:rFonts w:ascii="Trebuchet MS" w:hAnsi="Trebuchet MS" w:cs="Trebuchet MS"/>
          <w:b/>
          <w:bCs/>
          <w:w w:val="125"/>
          <w:sz w:val="18"/>
          <w:szCs w:val="18"/>
        </w:rPr>
        <w:t>II.</w:t>
        <w:tab/>
        <w:t>PROPOSED METHODOLOGY</w:t>
      </w:r>
    </w:p>
    <w:p w14:paraId="30CD4092" w14:textId="77777777" w:rsidR="003D1017" w:rsidRDefault="00000000">
      <w:pPr>
        <w:spacing w:after="100" w:line="252" w:lineRule="auto"/>
        <w:jc w:val="both"/>
      </w:pPr>
      <w:r>
        <w:rPr>
          <w:sz w:val="20"/>
          <w:szCs w:val="20"/>
        </w:rPr>
        <w:t xml:space="preserve">The framework proposed here is a computer-aided evaluation protocol. It measures how much of a brain-MRI foundation model's reported advantage can be attributed to pretraining exposure to the evaluation subjects. The literature reviewed (see Table 1) treats the pieces separately: foundation models are evaluated on downstream tasks [1]–[5], transfer to new populations and sites is studied in [6], [8], and leakage [7] and membership leakage [9] are documented on their own. Across these ten works, none combines a subject-level audit of pretraining overlap with a seen-versus-unseen contrast on a single scanner, evaluated against tuned supervised baselines under matched label and tuning budgets.</w:t>
      </w:r>
    </w:p>
    <w:p w14:paraId="4D32EAEB" w14:textId="77777777" w:rsidR="003D1017" w:rsidRDefault="00000000">
      <w:pPr>
        <w:spacing w:after="100" w:line="252" w:lineRule="auto"/>
        <w:jc w:val="both"/>
      </w:pPr>
      <w:r>
        <w:rPr>
          <w:sz w:val="20"/>
          <w:szCs w:val="20"/>
        </w:rPr>
        <w:t xml:space="preserve">The protocol is pre-registered, and its cohorts come from the Amsterdam Open MRI Collection (AOMIC) [11]. Each foundation model gets three outputs: 1) an overlap percentage for every benchmark cohort; 2) a difference-in-differences estimate of the seen-versus-unseen error penalty; and 3) label-equivalence and compute-matched comparisons against supervised baselines.</w:t>
        <w:lastRenderedPageBreak/>
      </w:r>
    </w:p>
    <w:p w14:paraId="356B16F5" w14:textId="77777777" w:rsidR="003D1017" w:rsidRDefault="00000000">
      <w:pPr>
        <w:spacing w:after="100" w:line="252" w:lineRule="auto"/>
        <w:jc w:val="both"/>
      </w:pPr>
      <w:r>
        <w:rPr>
          <w:sz w:val="20"/>
          <w:szCs w:val="20"/>
        </w:rPr>
        <w:t xml:space="preserve">We organise the framework into five modules. Module 1 audits subject overlap between the evaluation cohorts and the pretraining manifests. Module 2 builds frozen, stratified splits and applies one shared preprocessing pipeline. Module 3 defines the model arms, including a four-tier adaptation ladder for each foundation model. Module 4 fits all arms under matched label and tuning budgets, with GPU-second accounting. Module 5 computes every statistic from a single append-only ledger. Figure 1 shows the architecture of the system.</w:t>
      </w:r>
    </w:p>
    <w:p w14:paraId="685C89D2" w14:textId="77777777" w:rsidR="003D1017" w:rsidRDefault="00000000">
      <w:pPr>
        <w:spacing w:after="100" w:line="252" w:lineRule="auto"/>
        <w:jc w:val="both"/>
      </w:pPr>
      <w:r>
        <w:rPr>
          <w:sz w:val="20"/>
          <w:szCs w:val="20"/>
        </w:rPr>
        <w:t xml:space="preserve">ResNet-18 is a residual convolutional network. Its skip connections let information pass directly between layers, which makes deeper networks easier to train [13]. We train a 3D ResNet-18 from MONAI [12] from scratch on the preprocessed volumes and use it as the compact supervised baseline.</w:t>
      </w:r>
    </w:p>
    <w:p w14:paraId="41202ECE" w14:textId="77777777" w:rsidR="003D1017" w:rsidRDefault="00000000">
      <w:pPr>
        <w:spacing w:after="100" w:line="252" w:lineRule="auto"/>
        <w:jc w:val="both"/>
      </w:pPr>
      <w:r>
        <w:rPr>
          <w:sz w:val="20"/>
          <w:szCs w:val="20"/>
        </w:rPr>
        <w:t xml:space="preserve">DenseNet-121 connects each layer to all the layers before it within a dense block. This encourages feature reuse and keeps the parameter count low [14]. The MONAI 3D implementation [12] serves as our second supervised baseline.</w:t>
      </w:r>
    </w:p>
    <w:p w14:paraId="0AB075CC" w14:textId="77777777" w:rsidR="003D1017" w:rsidRDefault="00000000">
      <w:pPr>
        <w:spacing w:after="100" w:line="252" w:lineRule="auto"/>
        <w:jc w:val="both"/>
      </w:pPr>
      <w:r>
        <w:rPr>
          <w:sz w:val="20"/>
          <w:szCs w:val="20"/>
        </w:rPr>
        <w:t xml:space="preserve">The volumetric baseline drops learned image features and uses regional brain volumes instead, fitting a LightGBM gradient-boosted tree model [15] to them. It is cheap to run, and it tests whether a classical, interpretable pipeline already captures what the foundation models offer.</w:t>
      </w:r>
    </w:p>
    <w:p w14:paraId="2EA3C83C" w14:textId="77777777" w:rsidR="003D1017" w:rsidRDefault="00000000">
      <w:pPr>
        <w:spacing w:after="100" w:line="252" w:lineRule="auto"/>
        <w:jc w:val="both"/>
      </w:pPr>
      <w:r>
        <w:rPr>
          <w:sz w:val="20"/>
          <w:szCs w:val="20"/>
        </w:rPr>
        <w:t xml:space="preserve">BrainIAC [1] and the FOMO25 checkpoints [2] are self-supervised foundation models, and their encoders are reused by attaching a task head. Each is adapted at four tiers of increasing capacity, from a frozen encoder with a linear probe up to full fine-tuning.</w:t>
      </w:r>
    </w:p>
    <w:p w14:paraId="5C457751" w14:textId="77777777" w:rsidR="003D1017" w:rsidRDefault="00000000">
      <w:pPr>
        <w:spacing w:after="100" w:line="252" w:lineRule="auto"/>
        <w:jc w:val="both"/>
        <w:sectPr w:rsidR="003D1017">
          <w:type w:val="continuous"/>
          <w:pgSz w:w="11520" w:h="15660"/>
          <w:pgMar w:top="540" w:right="566" w:bottom="566" w:left="566" w:header="140" w:footer="0" w:gutter="0"/>
          <w:cols w:num="2" w:space="720" w:equalWidth="0">
            <w:col w:w="5035" w:space="185"/>
            <w:col w:w="5168"/>
          </w:cols>
        </w:sectPr>
      </w:pPr>
      <w:r>
        <w:rPr>
          <w:sz w:val="20"/>
          <w:szCs w:val="20"/>
        </w:rPr>
        <w:t xml:space="preserve">In this project we experiment with ResNet-18, DenseNet-121, the volumetric LightGBM model, and BrainIAC and FOMO25 at four adaptation tiers each. We compare their errors on seen and unseen cohorts, their label equivalence and their compute cost. The conclusion then comes from the pre-specified decision rules in Table X, not from whichever comparison looks most favourable.</w:t>
      </w:r>
    </w:p>
    <w:p w14:paraId="6FFF503D" w14:textId="77777777" w:rsidR="003D1017" w:rsidRDefault="00000000">
      <w:pPr>
        <w:keepNext/>
        <w:keepLines/>
        <w:spacing w:before="60" w:after="40"/>
      </w:pPr>
      <w:r>
        <w:rPr>
          <w:b/>
          <w:bCs/>
          <w:sz w:val="20"/>
          <w:szCs w:val="20"/>
        </w:rPr>
        <w:lastRenderedPageBreak/>
        <w:t>Figure 1:</w:t>
      </w:r>
      <w:r>
        <w:rPr>
          <w:sz w:val="20"/>
          <w:szCs w:val="20"/>
        </w:rPr>
        <w:t xml:space="preserve"> System architecture of the contamination-audited evaluation framework.</w:t>
      </w:r>
    </w:p>
    <w:p w14:paraId="30B630FE" w14:textId="77777777" w:rsidR="003D1017" w:rsidRDefault="00000000">
      <w:pPr>
        <w:keepNext/>
        <w:keepLines/>
        <w:spacing w:before="20" w:after="60"/>
        <w:jc w:val="center"/>
      </w:pPr>
      <w:r>
        <w:rPr>
          <w:noProof/>
        </w:rPr>
        <w:drawing>
          <wp:inline distT="0" distB="0" distL="0" distR="0" wp14:anchorId="17AAA1E4" wp14:editId="0811558A">
            <wp:extent cx="5486400" cy="6862812"/>
            <wp:effectExtent l="0" t="0" r="0" b="0"/>
            <wp:docPr id="101" name="Picture 101" descr="System architecture: cohorts and manifests feed the contamination audit, splits and preprocessing, model arms, matched-budget fitting, and the ledger with statist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fig1_pipeline.png" descr="System architecture: cohorts and manifests feed the contamination audit, splits and preprocessing, model arms, matched-budget fitting, and the ledger with statistics."/>
                    <pic:cNvPicPr/>
                  </pic:nvPicPr>
                  <pic:blipFill>
                    <a:blip r:embed="rId22"/>
                    <a:stretch>
                      <a:fillRect/>
                    </a:stretch>
                  </pic:blipFill>
                  <pic:spPr>
                    <a:xfrm>
                      <a:off x="0" y="0"/>
                      <a:ext cx="5486400" cy="6862812"/>
                    </a:xfrm>
                    <a:prstGeom prst="rect">
                      <a:avLst/>
                    </a:prstGeom>
                  </pic:spPr>
                </pic:pic>
              </a:graphicData>
            </a:graphic>
          </wp:inline>
        </w:drawing>
      </w:r>
    </w:p>
    <w:p w14:paraId="58824B6D" w14:textId="77777777" w:rsidR="003D1017" w:rsidRDefault="003D1017">
      <w:pPr>
        <w:sectPr w:rsidR="003D1017">
          <w:headerReference w:type="default" r:id="rId23"/>
          <w:type w:val="continuous"/>
          <w:pgSz w:w="11520" w:h="15660"/>
          <w:pgMar w:top="540" w:right="566" w:bottom="566" w:left="566" w:header="140" w:footer="0" w:gutter="0"/>
          <w:cols w:space="720"/>
        </w:sectPr>
      </w:pPr>
    </w:p>
    <w:p w14:paraId="1994758F" w14:textId="77777777" w:rsidR="003D1017" w:rsidRDefault="00000000">
      <w:pPr>
        <w:keepNext/>
        <w:keepLines/>
        <w:tabs>
          <w:tab w:val="left" w:pos="400"/>
        </w:tabs>
        <w:spacing w:before="60" w:after="100"/>
        <w:ind w:left="400" w:hanging="400"/>
      </w:pPr>
      <w:r>
        <w:rPr>
          <w:rFonts w:ascii="Trebuchet MS" w:hAnsi="Trebuchet MS" w:cs="Trebuchet MS"/>
          <w:b/>
          <w:bCs/>
          <w:w w:val="125"/>
          <w:sz w:val="18"/>
          <w:szCs w:val="18"/>
        </w:rPr>
        <w:t>III.</w:t>
        <w:tab/>
        <w:t>MODULE DESCRIPTION</w:t>
      </w:r>
    </w:p>
    <w:p w14:paraId="6F6EA412" w14:textId="77777777" w:rsidR="003D1017" w:rsidRDefault="00000000">
      <w:pPr>
        <w:keepNext/>
        <w:keepLines/>
        <w:spacing w:before="180" w:after="80"/>
      </w:pPr>
      <w:r>
        <w:rPr>
          <w:b/>
          <w:bCs/>
          <w:sz w:val="20"/>
          <w:szCs w:val="20"/>
        </w:rPr>
        <w:t>MODULE 1: Subject-Level Contamination Audit</w:t>
      </w:r>
    </w:p>
    <w:p w14:paraId="02993E6E" w14:textId="77777777" w:rsidR="003D1017" w:rsidRDefault="00000000">
      <w:pPr>
        <w:spacing w:after="100" w:line="252" w:lineRule="auto"/>
        <w:jc w:val="both"/>
      </w:pPr>
      <w:r>
        <w:rPr>
          <w:sz w:val="20"/>
          <w:szCs w:val="20"/>
        </w:rPr>
        <w:t xml:space="preserve">The first module works out which evaluation subjects the foundation models may already have seen. It matches subject identifiers, not scans. For a cohort c with subject-ID set S_c and a pretraining manifest with subject-ID set P, the overlap is given in Equation 1. Since matching is at subject level, a different session or modality of a pretraining subject still counts as seen.</w:t>
      </w:r>
    </w:p>
    <w:p w14:paraId="4BFCA70D" w14:textId="77777777" w:rsidR="003D1017" w:rsidRDefault="00000000">
      <w:pPr>
        <w:keepNext/>
        <w:keepLines/>
        <w:spacing w:before="60" w:after="20"/>
      </w:pPr>
      <w:r>
        <w:rPr>
          <w:rStyle w:val="Strong"/>
          <w:sz w:val="20"/>
          <w:szCs w:val="20"/>
        </w:rPr>
        <w:t>Eq. 1</w:t>
      </w:r>
      <w:r>
        <w:rPr>
          <w:sz w:val="20"/>
          <w:szCs w:val="20"/>
        </w:rPr>
        <w:t xml:space="preserve"> — Subject-level overlap:</w:t>
      </w:r>
    </w:p>
    <w:p w14:paraId="36A17431" w14:textId="77777777" w:rsidR="003D1017" w:rsidRDefault="00000000">
      <w:pPr>
        <w:keepLines/>
        <w:spacing w:before="20" w:after="100"/>
        <w:jc w:val="center"/>
      </w:pPr>
      <m:oMathPara>
        <m:oMathParaPr>
          <m:jc m:val="center"/>
        </m:oMathParaPr>
        <m:oMath>
          <m:r>
            <w:rPr>
              <w:rFonts w:ascii="Cambria Math" w:hAnsi="Cambria Math"/>
            </w:rPr>
            <m:t>O</m:t>
          </m:r>
          <m:d>
            <m:dPr>
              <m:ctrlPr>
                <w:rPr>
                  <w:rFonts w:ascii="Cambria Math" w:hAnsi="Cambria Math"/>
                </w:rPr>
              </m:ctrlPr>
            </m:dPr>
            <m:e>
              <m:r>
                <w:rPr>
                  <w:rFonts w:ascii="Cambria Math" w:hAnsi="Cambria Math"/>
                </w:rPr>
                <m:t>c</m:t>
              </m:r>
            </m:e>
          </m:d>
          <m:r>
            <m:rPr>
              <m:sty m:val="p"/>
            </m:rPr>
            <w:rPr>
              <w:rFonts w:ascii="Cambria Math" w:hAnsi="Cambria Math"/>
            </w:rPr>
            <m:t>=</m:t>
          </m:r>
          <m:f>
            <m:fPr>
              <m:ctrlPr>
                <w:rPr>
                  <w:rFonts w:ascii="Cambria Math" w:hAnsi="Cambria Math"/>
                </w:rPr>
              </m:ctrlPr>
            </m:fPr>
            <m:num>
              <m:d>
                <m:dPr>
                  <m:begChr m:val="|"/>
                  <m:endChr m:val="|"/>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c</m:t>
                      </m:r>
                    </m:sub>
                  </m:sSub>
                  <m:r>
                    <m:rPr>
                      <m:sty m:val="p"/>
                    </m:rPr>
                    <w:rPr>
                      <w:rFonts w:ascii="Cambria Math" w:hAnsi="Cambria Math"/>
                    </w:rPr>
                    <m:t>∩</m:t>
                  </m:r>
                  <m:r>
                    <w:rPr>
                      <w:rFonts w:ascii="Cambria Math" w:hAnsi="Cambria Math"/>
                    </w:rPr>
                    <m:t>P</m:t>
                  </m:r>
                </m:e>
              </m:d>
            </m:num>
            <m:den>
              <m:d>
                <m:dPr>
                  <m:begChr m:val="|"/>
                  <m:endChr m:val="|"/>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c</m:t>
                      </m:r>
                    </m:sub>
                  </m:sSub>
                </m:e>
              </m:d>
            </m:den>
          </m:f>
          <m:r>
            <m:rPr>
              <m:sty m:val="p"/>
            </m:rPr>
            <w:rPr>
              <w:rFonts w:ascii="Cambria Math" w:hAnsi="Cambria Math"/>
            </w:rPr>
            <m:t>×</m:t>
          </m:r>
          <m:r>
            <w:rPr>
              <w:rFonts w:ascii="Cambria Math" w:hAnsi="Cambria Math"/>
            </w:rPr>
            <m:t>100</m:t>
          </m:r>
          <m:r>
            <m:rPr>
              <m:sty m:val="p"/>
            </m:rPr>
            <w:rPr>
              <w:rFonts w:ascii="Cambria Math" w:hAnsi="Cambria Math"/>
            </w:rPr>
            <m:t>%</m:t>
          </m:r>
        </m:oMath>
      </m:oMathPara>
    </w:p>
    <w:p w14:paraId="6AF35DCE" w14:textId="77777777" w:rsidR="003D1017" w:rsidRDefault="00000000">
      <w:pPr>
        <w:spacing w:after="100" w:line="252" w:lineRule="auto"/>
        <w:jc w:val="both"/>
      </w:pPr>
      <w:r>
        <w:rPr>
          <w:sz w:val="20"/>
          <w:szCs w:val="20"/>
        </w:rPr>
        <w:t xml:space="preserve">The audit suite has three steps. fetch_manifests.py downloads the FOMO manifest files (mapping.tsv and participants.tsv), overlap.py matches identifiers across cohorts, and report_contamination.py renders the overlap table and figures from a cohort list (audit_cohorts.json). Each cohort then gets a status according to Equation 2, where τ_hi and τ_lo are thresholds chosen before any model is evaluated. A cohort that falls between the two thresholds is reported, but it is left out of the seen-versus-unseen contrast.</w:t>
      </w:r>
    </w:p>
    <w:p w14:paraId="15629828" w14:textId="77777777" w:rsidR="003D1017" w:rsidRDefault="00000000">
      <w:pPr>
        <w:keepNext/>
        <w:keepLines/>
        <w:spacing w:before="60" w:after="20"/>
      </w:pPr>
      <w:r>
        <w:rPr>
          <w:rStyle w:val="Strong"/>
          <w:sz w:val="20"/>
          <w:szCs w:val="20"/>
        </w:rPr>
        <w:t>Eq. 2</w:t>
      </w:r>
      <w:r>
        <w:rPr>
          <w:sz w:val="20"/>
          <w:szCs w:val="20"/>
        </w:rPr>
        <w:t xml:space="preserve"> — Cohort status:</w:t>
      </w:r>
    </w:p>
    <w:p w14:paraId="0273F4CD" w14:textId="77777777" w:rsidR="003D1017" w:rsidRDefault="00000000">
      <w:pPr>
        <w:keepLines/>
        <w:spacing w:before="20" w:after="100"/>
        <w:jc w:val="center"/>
      </w:pPr>
      <m:oMathPara>
        <m:oMathParaPr>
          <m:jc m:val="center"/>
        </m:oMathParaPr>
        <m:oMath>
          <m:r>
            <m:rPr>
              <m:sty m:val="p"/>
            </m:rPr>
            <w:rPr>
              <w:rFonts w:ascii="Cambria Math" w:hAnsi="Cambria Math"/>
            </w:rPr>
            <m:t>status</m:t>
          </m:r>
          <m:d>
            <m:dPr>
              <m:ctrlPr>
                <w:rPr>
                  <w:rFonts w:ascii="Cambria Math" w:hAnsi="Cambria Math"/>
                </w:rPr>
              </m:ctrlPr>
            </m:dPr>
            <m:e>
              <m:r>
                <w:rPr>
                  <w:rFonts w:ascii="Cambria Math" w:hAnsi="Cambria Math"/>
                </w:rPr>
                <m:t>c</m:t>
              </m:r>
            </m:e>
          </m:d>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m:rPr>
                        <m:nor/>
                      </m:rPr>
                      <m:t>seen</m:t>
                    </m:r>
                  </m:e>
                  <m:e>
                    <m:r>
                      <w:rPr>
                        <w:rFonts w:ascii="Cambria Math" w:hAnsi="Cambria Math"/>
                      </w:rPr>
                      <m:t>O</m:t>
                    </m:r>
                    <m:d>
                      <m:dPr>
                        <m:ctrlPr>
                          <w:rPr>
                            <w:rFonts w:ascii="Cambria Math" w:hAnsi="Cambria Math"/>
                          </w:rPr>
                        </m:ctrlPr>
                      </m:dPr>
                      <m:e>
                        <m:r>
                          <w:rPr>
                            <w:rFonts w:ascii="Cambria Math" w:hAnsi="Cambria Math"/>
                          </w:rPr>
                          <m:t>c</m:t>
                        </m:r>
                      </m:e>
                    </m:d>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hi</m:t>
                        </m:r>
                      </m:sub>
                    </m:sSub>
                  </m:e>
                </m:mr>
                <m:mr>
                  <m:e>
                    <m:r>
                      <m:rPr>
                        <m:nor/>
                      </m:rPr>
                      <m:t>unseen</m:t>
                    </m:r>
                  </m:e>
                  <m:e>
                    <m:r>
                      <w:rPr>
                        <w:rFonts w:ascii="Cambria Math" w:hAnsi="Cambria Math"/>
                      </w:rPr>
                      <m:t>O</m:t>
                    </m:r>
                    <m:d>
                      <m:dPr>
                        <m:ctrlPr>
                          <w:rPr>
                            <w:rFonts w:ascii="Cambria Math" w:hAnsi="Cambria Math"/>
                          </w:rPr>
                        </m:ctrlPr>
                      </m:dPr>
                      <m:e>
                        <m:r>
                          <w:rPr>
                            <w:rFonts w:ascii="Cambria Math" w:hAnsi="Cambria Math"/>
                          </w:rPr>
                          <m:t>c</m:t>
                        </m:r>
                      </m:e>
                    </m:d>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lo</m:t>
                        </m:r>
                      </m:sub>
                    </m:sSub>
                  </m:e>
                </m:mr>
                <m:mr>
                  <m:e>
                    <m:r>
                      <m:rPr>
                        <m:nor/>
                      </m:rPr>
                      <m:t>excluded</m:t>
                    </m:r>
                  </m:e>
                  <m:e>
                    <m:r>
                      <m:rPr>
                        <m:nor/>
                      </m:rPr>
                      <m:t>otherwise</m:t>
                    </m:r>
                  </m:e>
                </m:mr>
              </m:m>
            </m:e>
          </m:d>
        </m:oMath>
      </m:oMathPara>
    </w:p>
    <w:p w14:paraId="35830DC7" w14:textId="77777777" w:rsidR="003D1017" w:rsidRDefault="00000000">
      <w:pPr>
        <w:keepNext/>
        <w:keepLines/>
        <w:spacing w:before="180" w:after="80"/>
      </w:pPr>
      <w:r>
        <w:rPr>
          <w:b/>
          <w:bCs/>
          <w:sz w:val="20"/>
          <w:szCs w:val="20"/>
        </w:rPr>
        <w:lastRenderedPageBreak/>
        <w:t>MODULE 2: Natural Experiment, Splits and Preprocessing</w:t>
      </w:r>
    </w:p>
    <w:p w14:paraId="7FB452B3" w14:textId="77777777" w:rsidR="003D1017" w:rsidRDefault="00000000">
      <w:pPr>
        <w:spacing w:after="100" w:line="252" w:lineRule="auto"/>
        <w:jc w:val="both"/>
      </w:pPr>
      <w:r>
        <w:rPr>
          <w:sz w:val="20"/>
          <w:szCs w:val="20"/>
        </w:rPr>
        <w:t xml:space="preserve">The second module builds the controlled contrast. The pre-registration identifies AOMIC ID1000 as part of the pretraining data (seen) and AOMIC PIOP1 and PIOP2 as excluded (unseen). It describes all three as healthy young adults scanned on the same Philips Achieva 3T at the University of Amsterdam with an identical protocol [11]. Holding scanner and protocol constant is what lets the contrast separate pretraining exposure from site effects [8].</w:t>
      </w:r>
    </w:p>
    <w:p w14:paraId="43D591D7" w14:textId="77777777" w:rsidR="003D1017" w:rsidRDefault="00000000">
      <w:pPr>
        <w:spacing w:after="100" w:line="252" w:lineRule="auto"/>
        <w:jc w:val="both"/>
      </w:pPr>
      <w:r>
        <w:rPr>
          <w:sz w:val="20"/>
          <w:szCs w:val="20"/>
        </w:rPr>
        <w:t xml:space="preserve">Four controls are mandatory. Both cohorts are restricted to the overlapping age window of 19.0 to 26.0 years, and evaluation splits are stratified by sex and by the age histogram, as in Equation 5. No subject or longitudinal session may appear in both training and validation or test splits. The splits are also frozen before any training.</w:t>
      </w:r>
    </w:p>
    <w:p w14:paraId="7348C5D6" w14:textId="77777777" w:rsidR="003D1017" w:rsidRDefault="00000000">
      <w:pPr>
        <w:spacing w:after="100" w:line="252" w:lineRule="auto"/>
        <w:jc w:val="both"/>
      </w:pPr>
      <w:r>
        <w:rPr>
          <w:sz w:val="20"/>
          <w:szCs w:val="20"/>
        </w:rPr>
        <w:t xml:space="preserve">All arms share one preprocessing pipeline, Pipeline B. Volumes are resampled to 2 mm isotropic resolution on a 128 × 128 × 128 grid in MNI152 space with RAS orientation (Equation 3). Intensities are normalised within the brain mask M using the mean μ_M and standard deviation σ_M of the in-mask voxels (Equation 4), and the volumes are cached as float16 arrays. Template registration is a documented upstream step. A slice-montage generator logs every QC exclusion.</w:t>
      </w:r>
    </w:p>
    <w:p w14:paraId="49DA8FB0" w14:textId="77777777" w:rsidR="003D1017" w:rsidRDefault="00000000">
      <w:pPr>
        <w:keepNext/>
        <w:keepLines/>
        <w:spacing w:before="60" w:after="20"/>
      </w:pPr>
      <w:r>
        <w:rPr>
          <w:rStyle w:val="Strong"/>
          <w:sz w:val="20"/>
          <w:szCs w:val="20"/>
        </w:rPr>
        <w:t>Eq. 3</w:t>
      </w:r>
      <w:r>
        <w:rPr>
          <w:sz w:val="20"/>
          <w:szCs w:val="20"/>
        </w:rPr>
        <w:t xml:space="preserve"> — Resampling:</w:t>
      </w:r>
    </w:p>
    <w:p w14:paraId="60C730F9" w14:textId="77777777" w:rsidR="003D1017" w:rsidRDefault="00000000">
      <w:pPr>
        <w:keepLines/>
        <w:spacing w:before="20" w:after="100"/>
        <w:jc w:val="center"/>
      </w:pPr>
      <m:oMathPara>
        <m:oMathParaPr>
          <m:jc m:val="center"/>
        </m:oMathParaPr>
        <m:oMath>
          <m:sSub>
            <m:sSubPr>
              <m:ctrlPr>
                <w:rPr>
                  <w:rFonts w:ascii="Cambria Math" w:hAnsi="Cambria Math"/>
                </w:rPr>
              </m:ctrlPr>
            </m:sSubPr>
            <m:e>
              <m:r>
                <w:rPr>
                  <w:rFonts w:ascii="Cambria Math" w:hAnsi="Cambria Math"/>
                </w:rPr>
                <m:t>I</m:t>
              </m:r>
            </m:e>
            <m:sub>
              <m:r>
                <w:rPr>
                  <w:rFonts w:ascii="Cambria Math" w:hAnsi="Cambria Math"/>
                </w:rPr>
                <m:t>r</m:t>
              </m:r>
            </m:sub>
          </m:sSub>
          <m:r>
            <m:rPr>
              <m:sty m:val="p"/>
            </m:rPr>
            <w:rPr>
              <w:rFonts w:ascii="Cambria Math" w:hAnsi="Cambria Math"/>
            </w:rPr>
            <m:t>=Resample</m:t>
          </m:r>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 2 </m:t>
              </m:r>
              <m:r>
                <m:rPr>
                  <m:sty m:val="p"/>
                </m:rPr>
                <w:rPr>
                  <w:rFonts w:ascii="Cambria Math" w:hAnsi="Cambria Math"/>
                </w:rPr>
                <m:t>mm,</m:t>
              </m:r>
              <m:r>
                <w:rPr>
                  <w:rFonts w:ascii="Cambria Math" w:hAnsi="Cambria Math"/>
                </w:rPr>
                <m:t> 128</m:t>
              </m:r>
              <m:r>
                <m:rPr>
                  <m:sty m:val="p"/>
                </m:rPr>
                <w:rPr>
                  <w:rFonts w:ascii="Cambria Math" w:hAnsi="Cambria Math"/>
                </w:rPr>
                <m:t>×</m:t>
              </m:r>
              <m:r>
                <w:rPr>
                  <w:rFonts w:ascii="Cambria Math" w:hAnsi="Cambria Math"/>
                </w:rPr>
                <m:t>128</m:t>
              </m:r>
              <m:r>
                <m:rPr>
                  <m:sty m:val="p"/>
                </m:rPr>
                <w:rPr>
                  <w:rFonts w:ascii="Cambria Math" w:hAnsi="Cambria Math"/>
                </w:rPr>
                <m:t>×</m:t>
              </m:r>
              <m:r>
                <w:rPr>
                  <w:rFonts w:ascii="Cambria Math" w:hAnsi="Cambria Math"/>
                </w:rPr>
                <m:t>128</m:t>
              </m:r>
            </m:e>
          </m:d>
        </m:oMath>
      </m:oMathPara>
    </w:p>
    <w:p w14:paraId="54AE98B9" w14:textId="77777777" w:rsidR="003D1017" w:rsidRDefault="00000000">
      <w:pPr>
        <w:keepNext/>
        <w:keepLines/>
        <w:spacing w:before="60" w:after="20"/>
      </w:pPr>
      <w:r>
        <w:rPr>
          <w:rStyle w:val="Strong"/>
          <w:sz w:val="20"/>
          <w:szCs w:val="20"/>
        </w:rPr>
        <w:t>Eq. 4</w:t>
      </w:r>
      <w:r>
        <w:rPr>
          <w:sz w:val="20"/>
          <w:szCs w:val="20"/>
        </w:rPr>
        <w:t xml:space="preserve"> — In-mask Z-score normalization:</w:t>
      </w:r>
    </w:p>
    <w:p w14:paraId="4925C9FF" w14:textId="77777777" w:rsidR="003D1017" w:rsidRDefault="00000000">
      <w:pPr>
        <w:keepLines/>
        <w:spacing w:before="20" w:after="100"/>
        <w:jc w:val="center"/>
      </w:pPr>
      <m:oMathPara>
        <m:oMathParaPr>
          <m:jc m:val="center"/>
        </m:oMathParaPr>
        <m:oMath>
          <m:sSub>
            <m:sSubPr>
              <m:ctrlPr>
                <w:rPr>
                  <w:rFonts w:ascii="Cambria Math" w:hAnsi="Cambria Math"/>
                </w:rPr>
              </m:ctrlPr>
            </m:sSubPr>
            <m:e>
              <m:r>
                <w:rPr>
                  <w:rFonts w:ascii="Cambria Math" w:hAnsi="Cambria Math"/>
                </w:rPr>
                <m:t>I</m:t>
              </m:r>
            </m:e>
            <m:sub>
              <m:r>
                <w:rPr>
                  <w:rFonts w:ascii="Cambria Math" w:hAnsi="Cambria Math"/>
                </w:rPr>
                <m:t>z</m:t>
              </m:r>
            </m:sub>
          </m:sSub>
          <m:d>
            <m:dPr>
              <m:ctrlPr>
                <w:rPr>
                  <w:rFonts w:ascii="Cambria Math" w:hAnsi="Cambria Math"/>
                </w:rPr>
              </m:ctrlPr>
            </m:dPr>
            <m:e>
              <m:r>
                <w:rPr>
                  <w:rFonts w:ascii="Cambria Math" w:hAnsi="Cambria Math"/>
                </w:rPr>
                <m:t>v</m:t>
              </m:r>
            </m:e>
          </m:d>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I</m:t>
                  </m:r>
                </m:e>
                <m:sub>
                  <m:r>
                    <w:rPr>
                      <w:rFonts w:ascii="Cambria Math" w:hAnsi="Cambria Math"/>
                    </w:rPr>
                    <m:t>r</m:t>
                  </m:r>
                </m:sub>
              </m:sSub>
              <m:d>
                <m:dPr>
                  <m:ctrlPr>
                    <w:rPr>
                      <w:rFonts w:ascii="Cambria Math" w:hAnsi="Cambria Math"/>
                    </w:rPr>
                  </m:ctrlPr>
                </m:dPr>
                <m:e>
                  <m:r>
                    <w:rPr>
                      <w:rFonts w:ascii="Cambria Math" w:hAnsi="Cambria Math"/>
                    </w:rPr>
                    <m:t>v</m:t>
                  </m:r>
                </m:e>
              </m:d>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M</m:t>
                  </m:r>
                </m:sub>
              </m:sSub>
            </m:num>
            <m:den>
              <m:sSub>
                <m:sSubPr>
                  <m:ctrlPr>
                    <w:rPr>
                      <w:rFonts w:ascii="Cambria Math" w:hAnsi="Cambria Math"/>
                    </w:rPr>
                  </m:ctrlPr>
                </m:sSubPr>
                <m:e>
                  <m:r>
                    <w:rPr>
                      <w:rFonts w:ascii="Cambria Math" w:hAnsi="Cambria Math"/>
                    </w:rPr>
                    <m:t>σ</m:t>
                  </m:r>
                </m:e>
                <m:sub>
                  <m:r>
                    <w:rPr>
                      <w:rFonts w:ascii="Cambria Math" w:hAnsi="Cambria Math"/>
                    </w:rPr>
                    <m:t>M</m:t>
                  </m:r>
                </m:sub>
              </m:sSub>
            </m:den>
          </m:f>
          <m:r>
            <m:rPr>
              <m:sty m:val="p"/>
            </m:rPr>
            <w:rPr>
              <w:rFonts w:ascii="Cambria Math" w:hAnsi="Cambria Math"/>
            </w:rPr>
            <m:t>,</m:t>
          </m:r>
          <m:r>
            <w:rPr>
              <w:rFonts w:ascii="Cambria Math" w:hAnsi="Cambria Math"/>
            </w:rPr>
            <m:t> v</m:t>
          </m:r>
          <m:r>
            <m:rPr>
              <m:sty m:val="p"/>
            </m:rPr>
            <w:rPr>
              <w:rFonts w:ascii="Cambria Math" w:hAnsi="Cambria Math"/>
            </w:rPr>
            <m:t>∈</m:t>
          </m:r>
          <m:r>
            <w:rPr>
              <w:rFonts w:ascii="Cambria Math" w:hAnsi="Cambria Math"/>
            </w:rPr>
            <m:t>M</m:t>
          </m:r>
        </m:oMath>
      </m:oMathPara>
    </w:p>
    <w:p w14:paraId="49C31ED7" w14:textId="77777777" w:rsidR="003D1017" w:rsidRDefault="00000000">
      <w:pPr>
        <w:keepNext/>
        <w:keepLines/>
        <w:spacing w:before="60" w:after="20"/>
      </w:pPr>
      <w:r>
        <w:rPr>
          <w:rStyle w:val="Strong"/>
          <w:sz w:val="20"/>
          <w:szCs w:val="20"/>
        </w:rPr>
        <w:t>Eq. 5</w:t>
      </w:r>
      <w:r>
        <w:rPr>
          <w:sz w:val="20"/>
          <w:szCs w:val="20"/>
        </w:rPr>
        <w:t xml:space="preserve"> — Age-restricted stratified split:</w:t>
      </w:r>
    </w:p>
    <w:p w14:paraId="5D830AD3" w14:textId="77777777" w:rsidR="003D1017" w:rsidRDefault="00000000">
      <w:pPr>
        <w:keepLines/>
        <w:spacing w:before="20" w:after="100"/>
        <w:jc w:val="center"/>
      </w:pPr>
      <m:oMathPara>
        <m:oMathParaPr>
          <m:jc m:val="center"/>
        </m:oMathParaPr>
        <m:oMath>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train</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D</m:t>
                  </m:r>
                </m:e>
                <m:sub>
                  <m:r>
                    <w:rPr>
                      <w:rFonts w:ascii="Cambria Math" w:hAnsi="Cambria Math"/>
                    </w:rPr>
                    <m:t>val</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D</m:t>
                  </m:r>
                </m:e>
                <m:sub>
                  <m:r>
                    <w:rPr>
                      <w:rFonts w:ascii="Cambria Math" w:hAnsi="Cambria Math"/>
                    </w:rPr>
                    <m:t>test</m:t>
                  </m:r>
                </m:sub>
              </m:sSub>
            </m:e>
          </m:d>
          <m:r>
            <m:rPr>
              <m:sty m:val="p"/>
            </m:rPr>
            <w:rPr>
              <w:rFonts w:ascii="Cambria Math" w:hAnsi="Cambria Math"/>
            </w:rPr>
            <m:t>=StratifiedSplit</m:t>
          </m:r>
          <m:d>
            <m:dPr>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r>
                <w:rPr>
                  <w:rFonts w:ascii="Cambria Math" w:hAnsi="Cambria Math"/>
                </w:rPr>
                <m:t>19.0</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r>
                <w:rPr>
                  <w:rFonts w:ascii="Cambria Math" w:hAnsi="Cambria Math"/>
                </w:rPr>
                <m:t>26.0</m:t>
              </m:r>
              <m:r>
                <m:rPr>
                  <m:sty m:val="p"/>
                </m:rPr>
                <w:rPr>
                  <w:rFonts w:ascii="Cambria Math" w:hAnsi="Cambria Math"/>
                </w:rPr>
                <m:t>},</m:t>
              </m:r>
              <m:r>
                <w:rPr>
                  <w:rFonts w:ascii="Cambria Math" w:hAnsi="Cambria Math"/>
                </w:rPr>
                <m:t> </m:t>
              </m:r>
              <m:r>
                <m:rPr>
                  <m:sty m:val="p"/>
                </m:rPr>
                <w:rPr>
                  <w:rFonts w:ascii="Cambria Math" w:hAnsi="Cambria Math"/>
                </w:rPr>
                <m:t>strata=</m:t>
              </m:r>
              <m:d>
                <m:dPr>
                  <m:ctrlPr>
                    <w:rPr>
                      <w:rFonts w:ascii="Cambria Math" w:hAnsi="Cambria Math"/>
                    </w:rPr>
                  </m:ctrlPr>
                </m:dPr>
                <m:e>
                  <m:r>
                    <m:rPr>
                      <m:sty m:val="p"/>
                    </m:rPr>
                    <w:rPr>
                      <w:rFonts w:ascii="Cambria Math" w:hAnsi="Cambria Math"/>
                    </w:rPr>
                    <m:t>bin</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i</m:t>
                          </m:r>
                        </m:sub>
                      </m:sSub>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s</m:t>
                      </m:r>
                    </m:e>
                    <m:sub>
                      <m:r>
                        <w:rPr>
                          <w:rFonts w:ascii="Cambria Math" w:hAnsi="Cambria Math"/>
                        </w:rPr>
                        <m:t>i</m:t>
                      </m:r>
                    </m:sub>
                  </m:sSub>
                </m:e>
              </m:d>
            </m:e>
          </m:d>
        </m:oMath>
      </m:oMathPara>
    </w:p>
    <w:p w14:paraId="07433000" w14:textId="77777777" w:rsidR="003D1017" w:rsidRDefault="00000000">
      <w:pPr>
        <w:keepNext/>
        <w:keepLines/>
        <w:spacing w:before="180" w:after="80"/>
      </w:pPr>
      <w:r>
        <w:rPr>
          <w:b/>
          <w:bCs/>
          <w:sz w:val="20"/>
          <w:szCs w:val="20"/>
        </w:rPr>
        <w:t>MODULE 3: Model Arms and the Adaptation Ladder</w:t>
      </w:r>
    </w:p>
    <w:p w14:paraId="37952054" w14:textId="77777777" w:rsidR="003D1017" w:rsidRDefault="00000000">
      <w:pPr>
        <w:spacing w:after="100" w:line="252" w:lineRule="auto"/>
        <w:jc w:val="both"/>
      </w:pPr>
      <w:r>
        <w:rPr>
          <w:sz w:val="20"/>
          <w:szCs w:val="20"/>
        </w:rPr>
        <w:t xml:space="preserve">The third module defines the models. Every arm is an encoder f_θ followed by a head g_φ, as in Equation 6. All arms implement a single interface, ModelArm, with fit(loader, budget) and predict(loader), which means the harness treats a linear probe and a full network in exactly the same way. Table 2 lists the arms.</w:t>
      </w:r>
    </w:p>
    <w:p w14:paraId="6F06166C" w14:textId="77777777" w:rsidR="003D1017" w:rsidRDefault="00000000">
      <w:pPr>
        <w:keepNext/>
        <w:keepLines/>
        <w:spacing w:before="60" w:after="20"/>
      </w:pPr>
      <w:r>
        <w:rPr>
          <w:rStyle w:val="Strong"/>
          <w:sz w:val="20"/>
          <w:szCs w:val="20"/>
        </w:rPr>
        <w:t>Eq. 6</w:t>
      </w:r>
      <w:r>
        <w:rPr>
          <w:sz w:val="20"/>
          <w:szCs w:val="20"/>
        </w:rPr>
        <w:t xml:space="preserve"> — Encoder and head:</w:t>
      </w:r>
    </w:p>
    <w:p w14:paraId="57971A41" w14:textId="77777777" w:rsidR="003D1017" w:rsidRDefault="00000000">
      <w:pPr>
        <w:keepLines/>
        <w:spacing w:before="20" w:after="100"/>
        <w:jc w:val="center"/>
      </w:pPr>
      <m:oMathPara>
        <m:oMathParaPr>
          <m:jc m:val="center"/>
        </m:oMathParaPr>
        <m:oMath>
          <m:acc>
            <m:accPr>
              <m:ctrlPr>
                <w:rPr>
                  <w:rFonts w:ascii="Cambria Math" w:hAnsi="Cambria Math"/>
                </w:rPr>
              </m:ctrlPr>
            </m:accPr>
            <m:e>
              <m:r>
                <w:rPr>
                  <w:rFonts w:ascii="Cambria Math" w:hAnsi="Cambria Math"/>
                </w:rPr>
                <m:t>y</m:t>
              </m:r>
            </m:e>
          </m:acc>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ϕ</m:t>
              </m:r>
            </m:sub>
          </m:sSub>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θ</m:t>
                  </m:r>
                </m:sub>
              </m:sSub>
              <m:d>
                <m:dPr>
                  <m:ctrlPr>
                    <w:rPr>
                      <w:rFonts w:ascii="Cambria Math" w:hAnsi="Cambria Math"/>
                    </w:rPr>
                  </m:ctrlPr>
                </m:dPr>
                <m:e>
                  <m:r>
                    <w:rPr>
                      <w:rFonts w:ascii="Cambria Math" w:hAnsi="Cambria Math"/>
                    </w:rPr>
                    <m:t>x</m:t>
                  </m:r>
                </m:e>
              </m:d>
            </m:e>
          </m:d>
        </m:oMath>
      </m:oMathPara>
    </w:p>
    <w:p w14:paraId="5AD7148A" w14:textId="77777777" w:rsidR="003D1017" w:rsidRDefault="00000000">
      <w:pPr>
        <w:spacing w:after="100" w:line="252" w:lineRule="auto"/>
        <w:jc w:val="both"/>
      </w:pPr>
      <w:r>
        <w:rPr>
          <w:sz w:val="20"/>
          <w:szCs w:val="20"/>
        </w:rPr>
        <w:t xml:space="preserve">The adaptation ladder (Figure 2) gives each foundation model four tiers. Tier 1 freezes the encoder and trains a linear probe (Equation 7). Tier 2 also freezes the encoder but trains a two-layer MLP head (Equation 8). Tier 3 additionally trains the last encoder block, and Tier 4 trains all weights.</w:t>
      </w:r>
    </w:p>
    <w:p w14:paraId="083BE5AD" w14:textId="77777777" w:rsidR="003D1017" w:rsidRDefault="00000000">
      <w:pPr>
        <w:keepNext/>
        <w:keepLines/>
        <w:spacing w:before="60" w:after="20"/>
      </w:pPr>
      <w:r>
        <w:rPr>
          <w:rStyle w:val="Strong"/>
          <w:sz w:val="20"/>
          <w:szCs w:val="20"/>
        </w:rPr>
        <w:t>Eq. 7</w:t>
      </w:r>
      <w:r>
        <w:rPr>
          <w:sz w:val="20"/>
          <w:szCs w:val="20"/>
        </w:rPr>
        <w:t xml:space="preserve"> — Tier 1, linear probe:</w:t>
      </w:r>
    </w:p>
    <w:p w14:paraId="7CE6D4C4" w14:textId="77777777" w:rsidR="003D1017" w:rsidRDefault="00000000">
      <w:pPr>
        <w:keepLines/>
        <w:spacing w:before="20" w:after="100"/>
        <w:jc w:val="center"/>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y</m:t>
                  </m:r>
                </m:e>
              </m:acc>
            </m:e>
            <m:sub>
              <m:r>
                <m:rPr>
                  <m:sty m:val="p"/>
                </m:rPr>
                <w:rPr>
                  <w:rFonts w:ascii="Cambria Math" w:hAnsi="Cambria Math"/>
                </w:rPr>
                <m:t>tier 1</m:t>
              </m:r>
            </m:sub>
          </m:sSub>
          <m:r>
            <m:rPr>
              <m:sty m:val="p"/>
            </m:rPr>
            <w:rPr>
              <w:rFonts w:ascii="Cambria Math" w:hAnsi="Cambria Math"/>
            </w:rPr>
            <m:t>=</m:t>
          </m:r>
          <m:sSup>
            <m:sSupPr>
              <m:ctrlPr>
                <w:rPr>
                  <w:rFonts w:ascii="Cambria Math" w:hAnsi="Cambria Math"/>
                </w:rPr>
              </m:ctrlPr>
            </m:sSupPr>
            <m:e>
              <m:r>
                <w:rPr>
                  <w:rFonts w:ascii="Cambria Math" w:hAnsi="Cambria Math"/>
                </w:rPr>
                <m:t>w</m:t>
              </m:r>
            </m:e>
            <m:sup>
              <m:r>
                <m:rPr>
                  <m:sty m:val="p"/>
                </m:rPr>
                <w:rPr>
                  <w:rFonts w:ascii="Cambria Math" w:hAnsi="Cambria Math"/>
                </w:rPr>
                <m:t>⊤</m:t>
              </m:r>
            </m:sup>
          </m:sSup>
          <m:sSub>
            <m:sSubPr>
              <m:ctrlPr>
                <w:rPr>
                  <w:rFonts w:ascii="Cambria Math" w:hAnsi="Cambria Math"/>
                </w:rPr>
              </m:ctrlPr>
            </m:sSubPr>
            <m:e>
              <m:r>
                <w:rPr>
                  <w:rFonts w:ascii="Cambria Math" w:hAnsi="Cambria Math"/>
                </w:rPr>
                <m:t>f</m:t>
              </m:r>
            </m:e>
            <m:sub>
              <m:r>
                <w:rPr>
                  <w:rFonts w:ascii="Cambria Math" w:hAnsi="Cambria Math"/>
                </w:rPr>
                <m:t>θ</m:t>
              </m:r>
            </m:sub>
          </m:sSub>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 θ </m:t>
          </m:r>
          <m:r>
            <m:rPr>
              <m:sty m:val="p"/>
            </m:rPr>
            <w:rPr>
              <w:rFonts w:ascii="Cambria Math" w:hAnsi="Cambria Math"/>
            </w:rPr>
            <m:t>frozen</m:t>
          </m:r>
        </m:oMath>
      </m:oMathPara>
    </w:p>
    <w:p w14:paraId="3E7D68E0" w14:textId="77777777" w:rsidR="003D1017" w:rsidRDefault="00000000">
      <w:pPr>
        <w:keepNext/>
        <w:keepLines/>
        <w:spacing w:before="60" w:after="20"/>
      </w:pPr>
      <w:r>
        <w:rPr>
          <w:rStyle w:val="Strong"/>
          <w:sz w:val="20"/>
          <w:szCs w:val="20"/>
        </w:rPr>
        <w:t>Eq. 8</w:t>
      </w:r>
      <w:r>
        <w:rPr>
          <w:sz w:val="20"/>
          <w:szCs w:val="20"/>
        </w:rPr>
        <w:t xml:space="preserve"> — Tier 2, MLP head:</w:t>
      </w:r>
    </w:p>
    <w:p w14:paraId="6C2D3503" w14:textId="77777777" w:rsidR="003D1017" w:rsidRDefault="00000000">
      <w:pPr>
        <w:keepLines/>
        <w:spacing w:before="20" w:after="100"/>
        <w:jc w:val="center"/>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y</m:t>
                  </m:r>
                </m:e>
              </m:acc>
            </m:e>
            <m:sub>
              <m:r>
                <m:rPr>
                  <m:sty m:val="p"/>
                </m:rPr>
                <w:rPr>
                  <w:rFonts w:ascii="Cambria Math" w:hAnsi="Cambria Math"/>
                </w:rPr>
                <m:t>tier 2</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2</m:t>
              </m:r>
            </m:sub>
          </m:sSub>
          <m:r>
            <w:rPr>
              <w:rFonts w:ascii="Cambria Math" w:hAnsi="Cambria Math"/>
            </w:rPr>
            <m:t> σ</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1</m:t>
                  </m:r>
                </m:sub>
              </m:sSub>
              <m:sSub>
                <m:sSubPr>
                  <m:ctrlPr>
                    <w:rPr>
                      <w:rFonts w:ascii="Cambria Math" w:hAnsi="Cambria Math"/>
                    </w:rPr>
                  </m:ctrlPr>
                </m:sSubPr>
                <m:e>
                  <m:r>
                    <w:rPr>
                      <w:rFonts w:ascii="Cambria Math" w:hAnsi="Cambria Math"/>
                    </w:rPr>
                    <m:t>f</m:t>
                  </m:r>
                </m:e>
                <m:sub>
                  <m:r>
                    <w:rPr>
                      <w:rFonts w:ascii="Cambria Math" w:hAnsi="Cambria Math"/>
                    </w:rPr>
                    <m:t>θ</m:t>
                  </m:r>
                </m:sub>
              </m:sSub>
              <m:d>
                <m:dPr>
                  <m:ctrlPr>
                    <w:rPr>
                      <w:rFonts w:ascii="Cambria Math" w:hAnsi="Cambria Math"/>
                    </w:rPr>
                  </m:ctrlPr>
                </m:dPr>
                <m:e>
                  <m:r>
                    <w:rPr>
                      <w:rFonts w:ascii="Cambria Math" w:hAnsi="Cambria Math"/>
                    </w:rPr>
                    <m:t>x</m:t>
                  </m:r>
                </m:e>
              </m:d>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1</m:t>
                  </m:r>
                </m:sub>
              </m:sSub>
            </m:e>
          </m:d>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2</m:t>
              </m:r>
            </m:sub>
          </m:sSub>
          <m:r>
            <m:rPr>
              <m:sty m:val="p"/>
            </m:rPr>
            <w:rPr>
              <w:rFonts w:ascii="Cambria Math" w:hAnsi="Cambria Math"/>
            </w:rPr>
            <m:t>,</m:t>
          </m:r>
          <m:r>
            <w:rPr>
              <w:rFonts w:ascii="Cambria Math" w:hAnsi="Cambria Math"/>
            </w:rPr>
            <m:t> σ</m:t>
          </m:r>
          <m:d>
            <m:dPr>
              <m:ctrlPr>
                <w:rPr>
                  <w:rFonts w:ascii="Cambria Math" w:hAnsi="Cambria Math"/>
                </w:rPr>
              </m:ctrlPr>
            </m:dPr>
            <m:e>
              <m:r>
                <w:rPr>
                  <w:rFonts w:ascii="Cambria Math" w:hAnsi="Cambria Math"/>
                </w:rPr>
                <m:t>z</m:t>
              </m:r>
            </m:e>
          </m:d>
          <m:r>
            <m:rPr>
              <m:sty m:val="p"/>
            </m:rPr>
            <w:rPr>
              <w:rFonts w:ascii="Cambria Math" w:hAnsi="Cambria Math"/>
            </w:rPr>
            <m:t>=max</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z</m:t>
              </m:r>
            </m:e>
          </m:d>
        </m:oMath>
      </m:oMathPara>
    </w:p>
    <w:p w14:paraId="1D57938D" w14:textId="77777777" w:rsidR="003D1017" w:rsidRDefault="00000000">
      <w:pPr>
        <w:keepNext/>
        <w:keepLines/>
        <w:spacing w:before="120" w:after="60"/>
        <w:jc w:val="center"/>
      </w:pPr>
      <w:r>
        <w:rPr>
          <w:b/>
          <w:bCs/>
          <w:i/>
          <w:iCs/>
          <w:sz w:val="17"/>
          <w:szCs w:val="17"/>
        </w:rPr>
        <w:t>Table 2: Model Arms and Tuning Budgets</w:t>
      </w:r>
    </w:p>
    <w:tbl>
      <w:tblPr>
        <w:tblW w:w="503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ayout w:type="fixed"/>
        <w:tblCellMar>
          <w:top w:w="40" w:type="dxa"/>
          <w:left w:w="70" w:type="dxa"/>
          <w:bottom w:w="40" w:type="dxa"/>
          <w:right w:w="70" w:type="dxa"/>
        </w:tblCellMar>
        <w:tblLook w:val="0000" w:firstRow="0" w:lastRow="0" w:firstColumn="0" w:lastColumn="0" w:noHBand="0" w:noVBand="0"/>
      </w:tblPr>
      <w:tblGrid>
        <w:gridCol w:w="1500"/>
        <w:gridCol w:w="1250"/>
        <w:gridCol w:w="1350"/>
        <w:gridCol w:w="930"/>
      </w:tblGrid>
      <w:tr w:rsidR="003D1017" w14:paraId="7CA06B0F" w14:textId="77777777">
        <w:trPr>
          <w:cantSplit/>
          <w:tblHeader/>
        </w:trPr>
        <w:tc>
          <w:tcPr>
            <w:tcW w:w="1500" w:type="dxa"/>
            <w:shd w:val="clear" w:color="auto" w:fill="003087"/>
            <w:vAlign w:val="center"/>
          </w:tcPr>
          <w:p w14:paraId="43C44B95" w14:textId="77777777" w:rsidR="003D1017" w:rsidRDefault="00000000">
            <w:pPr>
              <w:keepNext/>
              <w:keepLines/>
              <w:spacing w:before="20" w:after="20"/>
              <w:jc w:val="center"/>
            </w:pPr>
            <w:r>
              <w:rPr>
                <w:rFonts w:ascii="Times New Roman" w:hAnsi="Times New Roman" w:cs="Times New Roman"/>
                <w:b/>
                <w:bCs/>
                <w:color w:val="FFFFFF"/>
                <w:sz w:val="15"/>
                <w:szCs w:val="15"/>
              </w:rPr>
              <w:t>Arm</w:t>
            </w:r>
          </w:p>
        </w:tc>
        <w:tc>
          <w:tcPr>
            <w:tcW w:w="1250" w:type="dxa"/>
            <w:shd w:val="clear" w:color="auto" w:fill="003087"/>
            <w:vAlign w:val="center"/>
          </w:tcPr>
          <w:p w14:paraId="5C947848" w14:textId="77777777" w:rsidR="003D1017" w:rsidRDefault="00000000">
            <w:pPr>
              <w:keepNext/>
              <w:keepLines/>
              <w:spacing w:before="20" w:after="20"/>
              <w:jc w:val="center"/>
            </w:pPr>
            <w:r>
              <w:rPr>
                <w:rFonts w:ascii="Times New Roman" w:hAnsi="Times New Roman" w:cs="Times New Roman"/>
                <w:b/>
                <w:bCs/>
                <w:color w:val="FFFFFF"/>
                <w:sz w:val="15"/>
                <w:szCs w:val="15"/>
              </w:rPr>
              <w:t>Family</w:t>
            </w:r>
          </w:p>
        </w:tc>
        <w:tc>
          <w:tcPr>
            <w:tcW w:w="1350" w:type="dxa"/>
            <w:shd w:val="clear" w:color="auto" w:fill="003087"/>
            <w:vAlign w:val="center"/>
          </w:tcPr>
          <w:p w14:paraId="46D7443D" w14:textId="77777777" w:rsidR="003D1017" w:rsidRDefault="00000000">
            <w:pPr>
              <w:keepNext/>
              <w:keepLines/>
              <w:spacing w:before="20" w:after="20"/>
              <w:jc w:val="center"/>
            </w:pPr>
            <w:r>
              <w:rPr>
                <w:rFonts w:ascii="Times New Roman" w:hAnsi="Times New Roman" w:cs="Times New Roman"/>
                <w:b/>
                <w:bCs/>
                <w:color w:val="FFFFFF"/>
                <w:sz w:val="15"/>
                <w:szCs w:val="15"/>
              </w:rPr>
              <w:t>Trainable</w:t>
            </w:r>
          </w:p>
        </w:tc>
        <w:tc>
          <w:tcPr>
            <w:tcW w:w="930" w:type="dxa"/>
            <w:shd w:val="clear" w:color="auto" w:fill="003087"/>
            <w:vAlign w:val="center"/>
          </w:tcPr>
          <w:p w14:paraId="4B61A915" w14:textId="77777777" w:rsidR="003D1017" w:rsidRDefault="00000000">
            <w:pPr>
              <w:keepNext/>
              <w:keepLines/>
              <w:spacing w:before="20" w:after="20"/>
              <w:jc w:val="center"/>
            </w:pPr>
            <w:r>
              <w:rPr>
                <w:rFonts w:ascii="Times New Roman" w:hAnsi="Times New Roman" w:cs="Times New Roman"/>
                <w:b/>
                <w:bCs/>
                <w:color w:val="FFFFFF"/>
                <w:sz w:val="15"/>
                <w:szCs w:val="15"/>
              </w:rPr>
              <w:t>Trials</w:t>
            </w:r>
          </w:p>
        </w:tc>
      </w:tr>
      <w:tr w:rsidR="003D1017" w14:paraId="32F0B846" w14:textId="77777777">
        <w:trPr>
          <w:cantSplit/>
        </w:trPr>
        <w:tc>
          <w:tcPr>
            <w:tcW w:w="1500" w:type="dxa"/>
            <w:shd w:val="clear" w:color="auto" w:fill="EEF3F8"/>
            <w:vAlign w:val="center"/>
          </w:tcPr>
          <w:p w14:paraId="313815E3" w14:textId="77777777" w:rsidR="003D1017" w:rsidRDefault="00000000">
            <w:pPr>
              <w:keepNext/>
              <w:keepLines/>
              <w:spacing w:before="20" w:after="20"/>
            </w:pPr>
            <w:r>
              <w:rPr>
                <w:rFonts w:ascii="Times New Roman" w:hAnsi="Times New Roman" w:cs="Times New Roman"/>
                <w:sz w:val="15"/>
                <w:szCs w:val="15"/>
              </w:rPr>
              <w:t>ResNet-18 (MONAI)</w:t>
            </w:r>
          </w:p>
        </w:tc>
        <w:tc>
          <w:tcPr>
            <w:tcW w:w="1250" w:type="dxa"/>
            <w:shd w:val="clear" w:color="auto" w:fill="EEF3F8"/>
            <w:vAlign w:val="center"/>
          </w:tcPr>
          <w:p w14:paraId="4FAC6D9F" w14:textId="77777777" w:rsidR="003D1017" w:rsidRDefault="00000000">
            <w:pPr>
              <w:keepNext/>
              <w:keepLines/>
              <w:spacing w:before="20" w:after="20"/>
            </w:pPr>
            <w:r>
              <w:rPr>
                <w:rFonts w:ascii="Times New Roman" w:hAnsi="Times New Roman" w:cs="Times New Roman"/>
                <w:sz w:val="15"/>
                <w:szCs w:val="15"/>
              </w:rPr>
              <w:t>Supervised, scratch</w:t>
            </w:r>
          </w:p>
        </w:tc>
        <w:tc>
          <w:tcPr>
            <w:tcW w:w="1350" w:type="dxa"/>
            <w:shd w:val="clear" w:color="auto" w:fill="EEF3F8"/>
            <w:vAlign w:val="center"/>
          </w:tcPr>
          <w:p w14:paraId="24F64388" w14:textId="77777777" w:rsidR="003D1017" w:rsidRDefault="00000000">
            <w:pPr>
              <w:keepNext/>
              <w:keepLines/>
              <w:spacing w:before="20" w:after="20"/>
            </w:pPr>
            <w:r>
              <w:rPr>
                <w:rFonts w:ascii="Times New Roman" w:hAnsi="Times New Roman" w:cs="Times New Roman"/>
                <w:sz w:val="15"/>
                <w:szCs w:val="15"/>
              </w:rPr>
              <w:t>All weights</w:t>
            </w:r>
          </w:p>
        </w:tc>
        <w:tc>
          <w:tcPr>
            <w:tcW w:w="930" w:type="dxa"/>
            <w:shd w:val="clear" w:color="auto" w:fill="EEF3F8"/>
            <w:vAlign w:val="center"/>
          </w:tcPr>
          <w:p w14:paraId="168978EC" w14:textId="77777777" w:rsidR="003D1017" w:rsidRDefault="00000000">
            <w:pPr>
              <w:keepNext/>
              <w:keepLines/>
              <w:spacing w:before="20" w:after="20"/>
              <w:jc w:val="center"/>
            </w:pPr>
            <w:r>
              <w:rPr>
                <w:rFonts w:ascii="Times New Roman" w:hAnsi="Times New Roman" w:cs="Times New Roman"/>
                <w:sz w:val="15"/>
                <w:szCs w:val="15"/>
              </w:rPr>
              <w:t>5, 20, 50</w:t>
            </w:r>
          </w:p>
        </w:tc>
      </w:tr>
      <w:tr w:rsidR="003D1017" w14:paraId="536ACC31" w14:textId="77777777">
        <w:trPr>
          <w:cantSplit/>
        </w:trPr>
        <w:tc>
          <w:tcPr>
            <w:tcW w:w="1500" w:type="dxa"/>
            <w:shd w:val="clear" w:color="auto" w:fill="FFFFFF"/>
            <w:vAlign w:val="center"/>
          </w:tcPr>
          <w:p w14:paraId="57DA144B" w14:textId="77777777" w:rsidR="003D1017" w:rsidRDefault="00000000">
            <w:pPr>
              <w:keepNext/>
              <w:keepLines/>
              <w:spacing w:before="20" w:after="20"/>
            </w:pPr>
            <w:r>
              <w:rPr>
                <w:rFonts w:ascii="Times New Roman" w:hAnsi="Times New Roman" w:cs="Times New Roman"/>
                <w:sz w:val="15"/>
                <w:szCs w:val="15"/>
              </w:rPr>
              <w:t>DenseNet-121 (MONAI)</w:t>
            </w:r>
          </w:p>
        </w:tc>
        <w:tc>
          <w:tcPr>
            <w:tcW w:w="1250" w:type="dxa"/>
            <w:shd w:val="clear" w:color="auto" w:fill="FFFFFF"/>
            <w:vAlign w:val="center"/>
          </w:tcPr>
          <w:p w14:paraId="64496A4B" w14:textId="77777777" w:rsidR="003D1017" w:rsidRDefault="00000000">
            <w:pPr>
              <w:keepNext/>
              <w:keepLines/>
              <w:spacing w:before="20" w:after="20"/>
            </w:pPr>
            <w:r>
              <w:rPr>
                <w:rFonts w:ascii="Times New Roman" w:hAnsi="Times New Roman" w:cs="Times New Roman"/>
                <w:sz w:val="15"/>
                <w:szCs w:val="15"/>
              </w:rPr>
              <w:t>Supervised, scratch</w:t>
            </w:r>
          </w:p>
        </w:tc>
        <w:tc>
          <w:tcPr>
            <w:tcW w:w="1350" w:type="dxa"/>
            <w:shd w:val="clear" w:color="auto" w:fill="FFFFFF"/>
            <w:vAlign w:val="center"/>
          </w:tcPr>
          <w:p w14:paraId="6F7FB269" w14:textId="77777777" w:rsidR="003D1017" w:rsidRDefault="00000000">
            <w:pPr>
              <w:keepNext/>
              <w:keepLines/>
              <w:spacing w:before="20" w:after="20"/>
            </w:pPr>
            <w:r>
              <w:rPr>
                <w:rFonts w:ascii="Times New Roman" w:hAnsi="Times New Roman" w:cs="Times New Roman"/>
                <w:sz w:val="15"/>
                <w:szCs w:val="15"/>
              </w:rPr>
              <w:t>All weights</w:t>
            </w:r>
          </w:p>
        </w:tc>
        <w:tc>
          <w:tcPr>
            <w:tcW w:w="930" w:type="dxa"/>
            <w:shd w:val="clear" w:color="auto" w:fill="FFFFFF"/>
            <w:vAlign w:val="center"/>
          </w:tcPr>
          <w:p w14:paraId="10EC46F5" w14:textId="77777777" w:rsidR="003D1017" w:rsidRDefault="00000000">
            <w:pPr>
              <w:keepNext/>
              <w:keepLines/>
              <w:spacing w:before="20" w:after="20"/>
              <w:jc w:val="center"/>
            </w:pPr>
            <w:r>
              <w:rPr>
                <w:rFonts w:ascii="Times New Roman" w:hAnsi="Times New Roman" w:cs="Times New Roman"/>
                <w:sz w:val="15"/>
                <w:szCs w:val="15"/>
              </w:rPr>
              <w:t>5, 20, 50</w:t>
            </w:r>
          </w:p>
        </w:tc>
      </w:tr>
      <w:tr w:rsidR="003D1017" w14:paraId="0B57D639" w14:textId="77777777">
        <w:trPr>
          <w:cantSplit/>
        </w:trPr>
        <w:tc>
          <w:tcPr>
            <w:tcW w:w="1500" w:type="dxa"/>
            <w:shd w:val="clear" w:color="auto" w:fill="EEF3F8"/>
            <w:vAlign w:val="center"/>
          </w:tcPr>
          <w:p w14:paraId="43284D91" w14:textId="77777777" w:rsidR="003D1017" w:rsidRDefault="00000000">
            <w:pPr>
              <w:keepNext/>
              <w:keepLines/>
              <w:spacing w:before="20" w:after="20"/>
            </w:pPr>
            <w:r>
              <w:rPr>
                <w:rFonts w:ascii="Times New Roman" w:hAnsi="Times New Roman" w:cs="Times New Roman"/>
                <w:sz w:val="15"/>
                <w:szCs w:val="15"/>
              </w:rPr>
              <w:t>Volumetric + LightGBM</w:t>
            </w:r>
          </w:p>
        </w:tc>
        <w:tc>
          <w:tcPr>
            <w:tcW w:w="1250" w:type="dxa"/>
            <w:shd w:val="clear" w:color="auto" w:fill="EEF3F8"/>
            <w:vAlign w:val="center"/>
          </w:tcPr>
          <w:p w14:paraId="7C347E60" w14:textId="77777777" w:rsidR="003D1017" w:rsidRDefault="00000000">
            <w:pPr>
              <w:keepNext/>
              <w:keepLines/>
              <w:spacing w:before="20" w:after="20"/>
            </w:pPr>
            <w:r>
              <w:rPr>
                <w:rFonts w:ascii="Times New Roman" w:hAnsi="Times New Roman" w:cs="Times New Roman"/>
                <w:sz w:val="15"/>
                <w:szCs w:val="15"/>
              </w:rPr>
              <w:t>Tabular</w:t>
            </w:r>
          </w:p>
        </w:tc>
        <w:tc>
          <w:tcPr>
            <w:tcW w:w="1350" w:type="dxa"/>
            <w:shd w:val="clear" w:color="auto" w:fill="EEF3F8"/>
            <w:vAlign w:val="center"/>
          </w:tcPr>
          <w:p w14:paraId="04E12CC1" w14:textId="77777777" w:rsidR="003D1017" w:rsidRDefault="00000000">
            <w:pPr>
              <w:keepNext/>
              <w:keepLines/>
              <w:spacing w:before="20" w:after="20"/>
            </w:pPr>
            <w:r>
              <w:rPr>
                <w:rFonts w:ascii="Times New Roman" w:hAnsi="Times New Roman" w:cs="Times New Roman"/>
                <w:sz w:val="15"/>
                <w:szCs w:val="15"/>
              </w:rPr>
              <w:t>Boosted trees</w:t>
            </w:r>
          </w:p>
        </w:tc>
        <w:tc>
          <w:tcPr>
            <w:tcW w:w="930" w:type="dxa"/>
            <w:shd w:val="clear" w:color="auto" w:fill="EEF3F8"/>
            <w:vAlign w:val="center"/>
          </w:tcPr>
          <w:p w14:paraId="4D7E8F9A" w14:textId="77777777" w:rsidR="003D1017" w:rsidRDefault="00000000">
            <w:pPr>
              <w:keepNext/>
              <w:keepLines/>
              <w:spacing w:before="20" w:after="20"/>
              <w:jc w:val="center"/>
            </w:pPr>
            <w:r>
              <w:rPr>
                <w:rFonts w:ascii="Times New Roman" w:hAnsi="Times New Roman" w:cs="Times New Roman"/>
                <w:sz w:val="15"/>
                <w:szCs w:val="15"/>
              </w:rPr>
              <w:t>5, 20, 50</w:t>
            </w:r>
          </w:p>
        </w:tc>
      </w:tr>
      <w:tr w:rsidR="003D1017" w14:paraId="5815D147" w14:textId="77777777">
        <w:trPr>
          <w:cantSplit/>
        </w:trPr>
        <w:tc>
          <w:tcPr>
            <w:tcW w:w="1500" w:type="dxa"/>
            <w:shd w:val="clear" w:color="auto" w:fill="FFFFFF"/>
            <w:vAlign w:val="center"/>
          </w:tcPr>
          <w:p w14:paraId="43C202ED" w14:textId="77777777" w:rsidR="003D1017" w:rsidRDefault="00000000">
            <w:pPr>
              <w:keepNext/>
              <w:keepLines/>
              <w:spacing w:before="20" w:after="20"/>
            </w:pPr>
            <w:r>
              <w:rPr>
                <w:rFonts w:ascii="Times New Roman" w:hAnsi="Times New Roman" w:cs="Times New Roman"/>
                <w:sz w:val="15"/>
                <w:szCs w:val="15"/>
              </w:rPr>
              <w:t>BrainIAC, tiers 1–4</w:t>
            </w:r>
          </w:p>
        </w:tc>
        <w:tc>
          <w:tcPr>
            <w:tcW w:w="1250" w:type="dxa"/>
            <w:shd w:val="clear" w:color="auto" w:fill="FFFFFF"/>
            <w:vAlign w:val="center"/>
          </w:tcPr>
          <w:p w14:paraId="04F71D1C" w14:textId="77777777" w:rsidR="003D1017" w:rsidRDefault="00000000">
            <w:pPr>
              <w:keepNext/>
              <w:keepLines/>
              <w:spacing w:before="20" w:after="20"/>
            </w:pPr>
            <w:r>
              <w:rPr>
                <w:rFonts w:ascii="Times New Roman" w:hAnsi="Times New Roman" w:cs="Times New Roman"/>
                <w:sz w:val="15"/>
                <w:szCs w:val="15"/>
              </w:rPr>
              <w:t>Foundation model</w:t>
            </w:r>
          </w:p>
        </w:tc>
        <w:tc>
          <w:tcPr>
            <w:tcW w:w="1350" w:type="dxa"/>
            <w:shd w:val="clear" w:color="auto" w:fill="FFFFFF"/>
            <w:vAlign w:val="center"/>
          </w:tcPr>
          <w:p w14:paraId="17247AF0" w14:textId="77777777" w:rsidR="003D1017" w:rsidRDefault="00000000">
            <w:pPr>
              <w:keepNext/>
              <w:keepLines/>
              <w:spacing w:before="20" w:after="20"/>
            </w:pPr>
            <w:r>
              <w:rPr>
                <w:rFonts w:ascii="Times New Roman" w:hAnsi="Times New Roman" w:cs="Times New Roman"/>
                <w:sz w:val="15"/>
                <w:szCs w:val="15"/>
              </w:rPr>
              <w:t>Head, last block or all</w:t>
            </w:r>
          </w:p>
        </w:tc>
        <w:tc>
          <w:tcPr>
            <w:tcW w:w="930" w:type="dxa"/>
            <w:shd w:val="clear" w:color="auto" w:fill="FFFFFF"/>
            <w:vAlign w:val="center"/>
          </w:tcPr>
          <w:p w14:paraId="6D8D12C4" w14:textId="77777777" w:rsidR="003D1017" w:rsidRDefault="00000000">
            <w:pPr>
              <w:keepNext/>
              <w:keepLines/>
              <w:spacing w:before="20" w:after="20"/>
              <w:jc w:val="center"/>
            </w:pPr>
            <w:r>
              <w:rPr>
                <w:rFonts w:ascii="Times New Roman" w:hAnsi="Times New Roman" w:cs="Times New Roman"/>
                <w:sz w:val="15"/>
                <w:szCs w:val="15"/>
              </w:rPr>
              <w:t>5, 20, 50</w:t>
            </w:r>
          </w:p>
        </w:tc>
      </w:tr>
      <w:tr w:rsidR="003D1017" w14:paraId="03BE19C9" w14:textId="77777777">
        <w:trPr>
          <w:cantSplit/>
        </w:trPr>
        <w:tc>
          <w:tcPr>
            <w:tcW w:w="1500" w:type="dxa"/>
            <w:shd w:val="clear" w:color="auto" w:fill="EEF3F8"/>
            <w:vAlign w:val="center"/>
          </w:tcPr>
          <w:p w14:paraId="580A762B" w14:textId="77777777" w:rsidR="003D1017" w:rsidRDefault="00000000">
            <w:pPr>
              <w:spacing w:before="20" w:after="20"/>
            </w:pPr>
            <w:r>
              <w:rPr>
                <w:rFonts w:ascii="Times New Roman" w:hAnsi="Times New Roman" w:cs="Times New Roman"/>
                <w:sz w:val="15"/>
                <w:szCs w:val="15"/>
              </w:rPr>
              <w:t>FOMO25, tiers 1–4</w:t>
            </w:r>
          </w:p>
        </w:tc>
        <w:tc>
          <w:tcPr>
            <w:tcW w:w="1250" w:type="dxa"/>
            <w:shd w:val="clear" w:color="auto" w:fill="EEF3F8"/>
            <w:vAlign w:val="center"/>
          </w:tcPr>
          <w:p w14:paraId="2464469C" w14:textId="77777777" w:rsidR="003D1017" w:rsidRDefault="00000000">
            <w:pPr>
              <w:spacing w:before="20" w:after="20"/>
            </w:pPr>
            <w:r>
              <w:rPr>
                <w:rFonts w:ascii="Times New Roman" w:hAnsi="Times New Roman" w:cs="Times New Roman"/>
                <w:sz w:val="15"/>
                <w:szCs w:val="15"/>
              </w:rPr>
              <w:t>Foundation model</w:t>
            </w:r>
          </w:p>
        </w:tc>
        <w:tc>
          <w:tcPr>
            <w:tcW w:w="1350" w:type="dxa"/>
            <w:shd w:val="clear" w:color="auto" w:fill="EEF3F8"/>
            <w:vAlign w:val="center"/>
          </w:tcPr>
          <w:p w14:paraId="35F5933B" w14:textId="77777777" w:rsidR="003D1017" w:rsidRDefault="00000000">
            <w:pPr>
              <w:spacing w:before="20" w:after="20"/>
            </w:pPr>
            <w:r>
              <w:rPr>
                <w:rFonts w:ascii="Times New Roman" w:hAnsi="Times New Roman" w:cs="Times New Roman"/>
                <w:sz w:val="15"/>
                <w:szCs w:val="15"/>
              </w:rPr>
              <w:t>Head, last block or all</w:t>
            </w:r>
          </w:p>
        </w:tc>
        <w:tc>
          <w:tcPr>
            <w:tcW w:w="930" w:type="dxa"/>
            <w:shd w:val="clear" w:color="auto" w:fill="EEF3F8"/>
            <w:vAlign w:val="center"/>
          </w:tcPr>
          <w:p w14:paraId="291E1FFE" w14:textId="77777777" w:rsidR="003D1017" w:rsidRDefault="00000000">
            <w:pPr>
              <w:spacing w:before="20" w:after="20"/>
              <w:jc w:val="center"/>
            </w:pPr>
            <w:r>
              <w:rPr>
                <w:rFonts w:ascii="Times New Roman" w:hAnsi="Times New Roman" w:cs="Times New Roman"/>
                <w:sz w:val="15"/>
                <w:szCs w:val="15"/>
              </w:rPr>
              <w:t>5, 20, 50</w:t>
            </w:r>
          </w:p>
        </w:tc>
      </w:tr>
    </w:tbl>
    <w:p w14:paraId="2EEFE493" w14:textId="77777777" w:rsidR="003D1017" w:rsidRDefault="003D1017">
      <w:pPr>
        <w:spacing w:after="60"/>
      </w:pPr>
    </w:p>
    <w:p w14:paraId="4420A9DA" w14:textId="77777777" w:rsidR="003D1017" w:rsidRDefault="00000000">
      <w:pPr>
        <w:keepNext/>
        <w:keepLines/>
        <w:spacing w:before="120" w:after="60"/>
      </w:pPr>
      <w:r>
        <w:rPr>
          <w:b/>
          <w:bCs/>
          <w:sz w:val="20"/>
          <w:szCs w:val="20"/>
        </w:rPr>
        <w:t>Figure 2: The four-tier adaptation ladder.</w:t>
      </w:r>
    </w:p>
    <w:p w14:paraId="3420F0DB" w14:textId="77777777" w:rsidR="003D1017" w:rsidRDefault="00000000">
      <w:pPr>
        <w:keepNext/>
        <w:keepLines/>
        <w:spacing w:before="40" w:after="120"/>
        <w:jc w:val="center"/>
      </w:pPr>
      <w:r>
        <w:rPr>
          <w:noProof/>
        </w:rPr>
        <w:drawing>
          <wp:inline distT="0" distB="0" distL="0" distR="0" wp14:anchorId="1C0B3AF8" wp14:editId="75E1F988">
            <wp:extent cx="2926080" cy="2009354"/>
            <wp:effectExtent l="0" t="0" r="0" b="0"/>
            <wp:docPr id="102" name="Picture 102" descr="Adaptation ladder: tier 1 linear probe, tier 2 MLP head, tier 3 last block plus head, tier 4 full fine-tu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fig3_ladder.png" descr="Adaptation ladder: tier 1 linear probe, tier 2 MLP head, tier 3 last block plus head, tier 4 full fine-tuning."/>
                    <pic:cNvPicPr/>
                  </pic:nvPicPr>
                  <pic:blipFill>
                    <a:blip r:embed="rId24"/>
                    <a:stretch>
                      <a:fillRect/>
                    </a:stretch>
                  </pic:blipFill>
                  <pic:spPr>
                    <a:xfrm>
                      <a:off x="0" y="0"/>
                      <a:ext cx="2926080" cy="2009354"/>
                    </a:xfrm>
                    <a:prstGeom prst="rect">
                      <a:avLst/>
                    </a:prstGeom>
                  </pic:spPr>
                </pic:pic>
              </a:graphicData>
            </a:graphic>
          </wp:inline>
        </w:drawing>
      </w:r>
    </w:p>
    <w:p w14:paraId="6EC4C12C" w14:textId="77777777" w:rsidR="003D1017" w:rsidRDefault="00000000">
      <w:pPr>
        <w:keepNext/>
        <w:keepLines/>
        <w:spacing w:before="180" w:after="80"/>
      </w:pPr>
      <w:r>
        <w:rPr>
          <w:b/>
          <w:bCs/>
          <w:sz w:val="20"/>
          <w:szCs w:val="20"/>
        </w:rPr>
        <w:t>MODULE 4: Matched-Budget Fitting</w:t>
      </w:r>
    </w:p>
    <w:p w14:paraId="0D3396FE" w14:textId="77777777" w:rsidR="003D1017" w:rsidRDefault="00000000">
      <w:pPr>
        <w:spacing w:after="100" w:line="252" w:lineRule="auto"/>
        <w:jc w:val="both"/>
      </w:pPr>
      <w:r>
        <w:rPr>
          <w:sz w:val="20"/>
          <w:szCs w:val="20"/>
        </w:rPr>
        <w:t xml:space="preserve">The fourth module is there to make sure no arm gets an edge from extra effort. Models are fitted to minimise the mean absolute error of Equation 9, which is the same quantity as the primary metric. Label budgets are N in {25, 50, 100, 250, 500, all}. Baselines and foundation-model heads get identical Optuna [16] budgets of 5, 20 and 50 trials over identical search spaces, and the configuration is chosen on validation error alone (Equation 10).</w:t>
      </w:r>
    </w:p>
    <w:p w14:paraId="0F34583B" w14:textId="77777777" w:rsidR="003D1017" w:rsidRDefault="00000000">
      <w:pPr>
        <w:keepNext/>
        <w:keepLines/>
        <w:spacing w:before="60" w:after="20"/>
      </w:pPr>
      <w:r>
        <w:rPr>
          <w:rStyle w:val="Strong"/>
          <w:sz w:val="20"/>
          <w:szCs w:val="20"/>
        </w:rPr>
        <w:t>Eq. 9</w:t>
      </w:r>
      <w:r>
        <w:rPr>
          <w:sz w:val="20"/>
          <w:szCs w:val="20"/>
        </w:rPr>
        <w:t xml:space="preserve"> — Training loss:</w:t>
      </w:r>
    </w:p>
    <w:p w14:paraId="66298D9F" w14:textId="77777777" w:rsidR="003D1017" w:rsidRDefault="00000000">
      <w:pPr>
        <w:keepLines/>
        <w:spacing w:before="20" w:after="100"/>
        <w:jc w:val="center"/>
      </w:pPr>
      <m:oMathPara>
        <m:oMathParaPr>
          <m:jc m:val="center"/>
        </m:oMathParaPr>
        <m:oMath>
          <m:r>
            <m:rPr>
              <m:scr m:val="script"/>
              <m:sty m:val="p"/>
            </m:rPr>
            <w:rPr>
              <w:rFonts w:ascii="Cambria Math" w:hAnsi="Cambria Math"/>
            </w:rPr>
            <m:t>L</m:t>
          </m:r>
          <m:d>
            <m:dPr>
              <m:ctrlPr>
                <w:rPr>
                  <w:rFonts w:ascii="Cambria Math" w:hAnsi="Cambria Math"/>
                </w:rPr>
              </m:ctrlPr>
            </m:dPr>
            <m:e>
              <m:r>
                <w:rPr>
                  <w:rFonts w:ascii="Cambria Math" w:hAnsi="Cambria Math"/>
                </w:rPr>
                <m:t>θ</m:t>
              </m:r>
              <m:r>
                <m:rPr>
                  <m:sty m:val="p"/>
                </m:rPr>
                <w:rPr>
                  <w:rFonts w:ascii="Cambria Math" w:hAnsi="Cambria Math"/>
                </w:rPr>
                <m:t>,</m:t>
              </m:r>
              <m:r>
                <w:rPr>
                  <w:rFonts w:ascii="Cambria Math" w:hAnsi="Cambria Math"/>
                </w:rPr>
                <m:t>ϕ</m:t>
              </m:r>
            </m:e>
          </m:d>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d>
                <m:dPr>
                  <m:begChr m:val="|"/>
                  <m:endChr m:val="|"/>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e>
              </m:d>
            </m:e>
          </m:nary>
        </m:oMath>
      </m:oMathPara>
    </w:p>
    <w:p w14:paraId="632B03D2" w14:textId="77777777" w:rsidR="003D1017" w:rsidRDefault="00000000">
      <w:pPr>
        <w:keepNext/>
        <w:keepLines/>
        <w:spacing w:before="60" w:after="20"/>
      </w:pPr>
      <w:r>
        <w:rPr>
          <w:rStyle w:val="Strong"/>
          <w:sz w:val="20"/>
          <w:szCs w:val="20"/>
        </w:rPr>
        <w:t>Eq. 10</w:t>
      </w:r>
      <w:r>
        <w:rPr>
          <w:sz w:val="20"/>
          <w:szCs w:val="20"/>
        </w:rPr>
        <w:t xml:space="preserve"> — Hyperparameter selection:</w:t>
      </w:r>
    </w:p>
    <w:p w14:paraId="043E812F" w14:textId="77777777" w:rsidR="003D1017" w:rsidRDefault="00000000">
      <w:pPr>
        <w:keepLines/>
        <w:spacing w:before="20" w:after="100"/>
        <w:jc w:val="center"/>
      </w:pPr>
      <m:oMathPara>
        <m:oMathParaPr>
          <m:jc m:val="center"/>
        </m:oMathParaPr>
        <m:oMath>
          <m:sSup>
            <m:sSupPr>
              <m:ctrlPr>
                <w:rPr>
                  <w:rFonts w:ascii="Cambria Math" w:hAnsi="Cambria Math"/>
                </w:rPr>
              </m:ctrlPr>
            </m:sSupPr>
            <m:e>
              <m:r>
                <w:rPr>
                  <w:rFonts w:ascii="Cambria Math" w:hAnsi="Cambria Math"/>
                </w:rPr>
                <m:t>λ</m:t>
              </m:r>
            </m:e>
            <m:sup>
              <m:r>
                <m:rPr>
                  <m:sty m:val="p"/>
                </m:rPr>
                <w:rPr>
                  <w:rFonts w:ascii="Cambria Math" w:hAnsi="Cambria Math"/>
                </w:rPr>
                <m:t>*</m:t>
              </m:r>
            </m:sup>
          </m:sSup>
          <m:r>
            <m:rPr>
              <m:sty m:val="p"/>
            </m:rPr>
            <w:rPr>
              <w:rFonts w:ascii="Cambria Math" w:hAnsi="Cambria Math"/>
            </w:rPr>
            <m:t>=arg</m:t>
          </m:r>
          <m:limLow>
            <m:limLowPr>
              <m:ctrlPr>
                <w:rPr>
                  <w:rFonts w:ascii="Cambria Math" w:hAnsi="Cambria Math"/>
                </w:rPr>
              </m:ctrlPr>
            </m:limLowPr>
            <m:e>
              <m:r>
                <m:rPr>
                  <m:sty m:val="p"/>
                </m:rPr>
                <w:rPr>
                  <w:rFonts w:ascii="Cambria Math" w:hAnsi="Cambria Math"/>
                </w:rPr>
                <m:t>min</m:t>
              </m:r>
            </m:e>
            <m:lim>
              <m:r>
                <w:rPr>
                  <w:rFonts w:ascii="Cambria Math" w:hAnsi="Cambria Math"/>
                </w:rPr>
                <m:t>λ</m:t>
              </m:r>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T</m:t>
                  </m:r>
                </m:sub>
              </m:sSub>
            </m:lim>
          </m:limLow>
          <m:r>
            <w:rPr>
              <w:rFonts w:ascii="Cambria Math" w:hAnsi="Cambria Math"/>
            </w:rPr>
            <m:t> </m:t>
          </m:r>
          <m:sSub>
            <m:sSubPr>
              <m:ctrlPr>
                <w:rPr>
                  <w:rFonts w:ascii="Cambria Math" w:hAnsi="Cambria Math"/>
                </w:rPr>
              </m:ctrlPr>
            </m:sSubPr>
            <m:e>
              <m:r>
                <m:rPr>
                  <m:sty m:val="p"/>
                </m:rPr>
                <w:rPr>
                  <w:rFonts w:ascii="Cambria Math" w:hAnsi="Cambria Math"/>
                </w:rPr>
                <m:t>MAE</m:t>
              </m:r>
            </m:e>
            <m:sub>
              <m:r>
                <w:rPr>
                  <w:rFonts w:ascii="Cambria Math" w:hAnsi="Cambria Math"/>
                </w:rPr>
                <m:t>val</m:t>
              </m:r>
            </m:sub>
          </m:sSub>
          <m:d>
            <m:dPr>
              <m:ctrlPr>
                <w:rPr>
                  <w:rFonts w:ascii="Cambria Math" w:hAnsi="Cambria Math"/>
                </w:rPr>
              </m:ctrlPr>
            </m:dPr>
            <m:e>
              <m:r>
                <w:rPr>
                  <w:rFonts w:ascii="Cambria Math" w:hAnsi="Cambria Math"/>
                </w:rPr>
                <m:t>λ</m:t>
              </m:r>
            </m:e>
          </m:d>
          <m:r>
            <m:rPr>
              <m:sty m:val="p"/>
            </m:rPr>
            <w:rPr>
              <w:rFonts w:ascii="Cambria Math" w:hAnsi="Cambria Math"/>
            </w:rPr>
            <m:t>,</m:t>
          </m:r>
          <m:r>
            <w:rPr>
              <w:rFonts w:ascii="Cambria Math" w:hAnsi="Cambria Math"/>
            </w:rPr>
            <m:t> T</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20</m:t>
          </m:r>
          <m:r>
            <m:rPr>
              <m:sty m:val="p"/>
            </m:rPr>
            <w:rPr>
              <w:rFonts w:ascii="Cambria Math" w:hAnsi="Cambria Math"/>
            </w:rPr>
            <m:t>,</m:t>
          </m:r>
          <m:r>
            <w:rPr>
              <w:rFonts w:ascii="Cambria Math" w:hAnsi="Cambria Math"/>
            </w:rPr>
            <m:t>50</m:t>
          </m:r>
          <m:r>
            <m:rPr>
              <m:sty m:val="p"/>
            </m:rPr>
            <w:rPr>
              <w:rFonts w:ascii="Cambria Math" w:hAnsi="Cambria Math"/>
            </w:rPr>
            <m:t>}</m:t>
          </m:r>
        </m:oMath>
      </m:oMathPara>
    </w:p>
    <w:p w14:paraId="6CEE9F25" w14:textId="77777777" w:rsidR="003D1017" w:rsidRDefault="00000000">
      <w:pPr>
        <w:spacing w:after="100" w:line="252" w:lineRule="auto"/>
        <w:jc w:val="both"/>
      </w:pPr>
      <w:r>
        <w:rPr>
          <w:sz w:val="20"/>
          <w:szCs w:val="20"/>
        </w:rPr>
        <w:t xml:space="preserve">We log compute in GPU-seconds, counting preprocessing, tuning, training and inference (Equation 11). Every (task, model, N) cell is run with five seeds: 42, 1337, 2026, 7 and 99. Test sets stay quarantined, and each selected model is evaluated just once, at benchmark freeze.</w:t>
      </w:r>
    </w:p>
    <w:p w14:paraId="195C3BB1" w14:textId="77777777" w:rsidR="003D1017" w:rsidRDefault="00000000">
      <w:pPr>
        <w:keepNext/>
        <w:keepLines/>
        <w:spacing w:before="60" w:after="20"/>
      </w:pPr>
      <w:r>
        <w:rPr>
          <w:rStyle w:val="Strong"/>
          <w:sz w:val="20"/>
          <w:szCs w:val="20"/>
        </w:rPr>
        <w:t>Eq. 11</w:t>
      </w:r>
      <w:r>
        <w:rPr>
          <w:sz w:val="20"/>
          <w:szCs w:val="20"/>
        </w:rPr>
        <w:t xml:space="preserve"> — Total compute:</w:t>
      </w:r>
    </w:p>
    <w:p w14:paraId="026AA27D" w14:textId="77777777" w:rsidR="003D1017" w:rsidRDefault="00000000">
      <w:pPr>
        <w:keepLines/>
        <w:spacing w:before="20" w:after="100"/>
        <w:jc w:val="center"/>
      </w:pPr>
      <m:oMathPara>
        <m:oMathParaPr>
          <m:jc m:val="center"/>
        </m:oMathParaPr>
        <m:oMath>
          <m:r>
            <w:rPr>
              <w:rFonts w:ascii="Cambria Math" w:hAnsi="Cambria Math"/>
            </w:rPr>
            <m:t>C</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prep</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tune</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train</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infer</m:t>
              </m:r>
            </m:sub>
          </m:sSub>
        </m:oMath>
      </m:oMathPara>
    </w:p>
    <w:p w14:paraId="4FE836D4" w14:textId="77777777" w:rsidR="003D1017" w:rsidRDefault="00000000">
      <w:pPr>
        <w:keepNext/>
        <w:keepLines/>
        <w:spacing w:before="180" w:after="80"/>
      </w:pPr>
      <w:r>
        <w:rPr>
          <w:b/>
          <w:bCs/>
          <w:sz w:val="20"/>
          <w:szCs w:val="20"/>
        </w:rPr>
        <w:t>MODULE 5: Statistical Analysis</w:t>
      </w:r>
    </w:p>
    <w:p w14:paraId="1A8C3D4F" w14:textId="77777777" w:rsidR="003D1017" w:rsidRDefault="00000000">
      <w:pPr>
        <w:spacing w:after="100" w:line="252" w:lineRule="auto"/>
        <w:jc w:val="both"/>
      </w:pPr>
      <w:r>
        <w:rPr>
          <w:sz w:val="20"/>
          <w:szCs w:val="20"/>
        </w:rPr>
        <w:t xml:space="preserve">The fifth module turns the ledger into evidence. For a model m, the seen-to-unseen error gap is given in Equation 12. The primary statistic is the difference-in-differences [17] between a foundation model (FM) and a supervised baseline (Equation 13). Whatever shift a from-scratch model suffers between the two cohorts is absorbed in the baseline's gap, so a positive value is the excess penalty borne by the foundation model.</w:t>
        <w:lastRenderedPageBreak/>
      </w:r>
    </w:p>
    <w:p w14:paraId="1118C576" w14:textId="77777777" w:rsidR="003D1017" w:rsidRDefault="00000000">
      <w:pPr>
        <w:keepNext/>
        <w:keepLines/>
        <w:spacing w:before="60" w:after="20"/>
      </w:pPr>
      <w:r>
        <w:rPr>
          <w:rStyle w:val="Strong"/>
          <w:sz w:val="20"/>
          <w:szCs w:val="20"/>
        </w:rPr>
        <w:t>Eq. 12</w:t>
      </w:r>
      <w:r>
        <w:rPr>
          <w:sz w:val="20"/>
          <w:szCs w:val="20"/>
        </w:rPr>
        <w:t xml:space="preserve"> — Seen-to-unseen error gap:</w:t>
      </w:r>
    </w:p>
    <w:p w14:paraId="7E5BF776" w14:textId="77777777" w:rsidR="003D1017" w:rsidRDefault="00000000">
      <w:pPr>
        <w:keepLines/>
        <w:spacing w:before="20" w:after="100"/>
        <w:jc w:val="center"/>
      </w:pPr>
      <m:oMathPara>
        <m:oMathParaPr>
          <m:jc m:val="center"/>
        </m:oMathParaPr>
        <m:oMath>
          <m:sSub>
            <m:sSubPr>
              <m:ctrlPr>
                <w:rPr>
                  <w:rFonts w:ascii="Cambria Math" w:hAnsi="Cambria Math"/>
                </w:rPr>
              </m:ctrlPr>
            </m:sSubPr>
            <m:e>
              <m:r>
                <w:rPr>
                  <w:rFonts w:ascii="Cambria Math" w:hAnsi="Cambria Math"/>
                </w:rPr>
                <m:t>Δ</m:t>
              </m:r>
            </m:e>
            <m:sub>
              <m:r>
                <w:rPr>
                  <w:rFonts w:ascii="Cambria Math" w:hAnsi="Cambria Math"/>
                </w:rPr>
                <m:t>m</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MAE</m:t>
              </m:r>
            </m:e>
            <m:sub>
              <m:r>
                <w:rPr>
                  <w:rFonts w:ascii="Cambria Math" w:hAnsi="Cambria Math"/>
                </w:rPr>
                <m:t>m</m:t>
              </m:r>
              <m:r>
                <m:rPr>
                  <m:sty m:val="p"/>
                </m:rPr>
                <w:rPr>
                  <w:rFonts w:ascii="Cambria Math" w:hAnsi="Cambria Math"/>
                </w:rPr>
                <m:t>,unseen</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MAE</m:t>
              </m:r>
            </m:e>
            <m:sub>
              <m:r>
                <w:rPr>
                  <w:rFonts w:ascii="Cambria Math" w:hAnsi="Cambria Math"/>
                </w:rPr>
                <m:t>m</m:t>
              </m:r>
              <m:r>
                <m:rPr>
                  <m:sty m:val="p"/>
                </m:rPr>
                <w:rPr>
                  <w:rFonts w:ascii="Cambria Math" w:hAnsi="Cambria Math"/>
                </w:rPr>
                <m:t>,seen</m:t>
              </m:r>
            </m:sub>
          </m:sSub>
        </m:oMath>
      </m:oMathPara>
    </w:p>
    <w:p w14:paraId="29316188" w14:textId="77777777" w:rsidR="003D1017" w:rsidRDefault="00000000">
      <w:pPr>
        <w:keepNext/>
        <w:keepLines/>
        <w:spacing w:before="60" w:after="20"/>
      </w:pPr>
      <w:r>
        <w:rPr>
          <w:rStyle w:val="Strong"/>
          <w:sz w:val="20"/>
          <w:szCs w:val="20"/>
        </w:rPr>
        <w:t>Eq. 13</w:t>
      </w:r>
      <w:r>
        <w:rPr>
          <w:sz w:val="20"/>
          <w:szCs w:val="20"/>
        </w:rPr>
        <w:t xml:space="preserve"> — Difference-in-differences:</w:t>
      </w:r>
    </w:p>
    <w:p w14:paraId="66775507" w14:textId="77777777" w:rsidR="003D1017" w:rsidRDefault="00000000">
      <w:pPr>
        <w:keepLines/>
        <w:spacing w:before="20" w:after="100"/>
        <w:jc w:val="center"/>
      </w:pPr>
      <m:oMathPara>
        <m:oMathParaPr>
          <m:jc m:val="center"/>
        </m:oMathParaPr>
        <m:oMath>
          <m:r>
            <m:rPr>
              <m:sty m:val="p"/>
            </m:rPr>
            <w:rPr>
              <w:rFonts w:ascii="Cambria Math" w:hAnsi="Cambria Math"/>
            </w:rPr>
            <m:t>DiD=</m:t>
          </m:r>
          <m:sSub>
            <m:sSubPr>
              <m:ctrlPr>
                <w:rPr>
                  <w:rFonts w:ascii="Cambria Math" w:hAnsi="Cambria Math"/>
                </w:rPr>
              </m:ctrlPr>
            </m:sSubPr>
            <m:e>
              <m:r>
                <w:rPr>
                  <w:rFonts w:ascii="Cambria Math" w:hAnsi="Cambria Math"/>
                </w:rPr>
                <m:t>Δ</m:t>
              </m:r>
            </m:e>
            <m:sub>
              <m:r>
                <w:rPr>
                  <w:rFonts w:ascii="Cambria Math" w:hAnsi="Cambria Math"/>
                </w:rPr>
                <m:t>FM</m:t>
              </m:r>
            </m:sub>
          </m:sSub>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base</m:t>
              </m:r>
            </m:sub>
          </m:sSub>
        </m:oMath>
      </m:oMathPara>
    </w:p>
    <w:p w14:paraId="0B05D758" w14:textId="77777777" w:rsidR="003D1017" w:rsidRDefault="00000000">
      <w:pPr>
        <w:spacing w:after="100" w:line="252" w:lineRule="auto"/>
        <w:jc w:val="both"/>
      </w:pPr>
      <w:r>
        <w:rPr>
          <w:sz w:val="20"/>
          <w:szCs w:val="20"/>
        </w:rPr>
        <w:t xml:space="preserve">The pre-registered hypotheses are H1 (contamination), DiD &gt; 0 with p &lt; 0.05 under a two-tailed bootstrap test with 2,000 resamples, and H0 (generalization), DiD ≤ 0. If DiD sits near zero, the representation transfers without relying on pretraining exposure. Figure 3 shows the logic of the design.</w:t>
      </w:r>
    </w:p>
    <w:p w14:paraId="7A2310B9" w14:textId="77777777" w:rsidR="003D1017" w:rsidRDefault="00000000">
      <w:pPr>
        <w:keepNext/>
        <w:keepLines/>
        <w:spacing w:before="120" w:after="60"/>
      </w:pPr>
      <w:r>
        <w:rPr>
          <w:b/>
          <w:bCs/>
          <w:sz w:val="20"/>
          <w:szCs w:val="20"/>
        </w:rPr>
        <w:t>Figure 3: Difference-in-differences design (schematic).</w:t>
      </w:r>
    </w:p>
    <w:p w14:paraId="2E458D88" w14:textId="77777777" w:rsidR="003D1017" w:rsidRDefault="00000000">
      <w:pPr>
        <w:keepNext/>
        <w:keepLines/>
        <w:spacing w:before="40" w:after="120"/>
        <w:jc w:val="center"/>
      </w:pPr>
      <w:r>
        <w:rPr>
          <w:noProof/>
        </w:rPr>
        <w:drawing>
          <wp:inline distT="0" distB="0" distL="0" distR="0" wp14:anchorId="792ED482" wp14:editId="149B740B">
            <wp:extent cx="3017520" cy="2284546"/>
            <wp:effectExtent l="0" t="0" r="0" b="0"/>
            <wp:docPr id="103" name="Picture 103" descr="Schematic of the difference-in-differences design: supervised baseline and foundation model on seen and unseen coho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fig2_did.png" descr="Schematic of the difference-in-differences design: supervised baseline and foundation model on seen and unseen cohorts."/>
                    <pic:cNvPicPr/>
                  </pic:nvPicPr>
                  <pic:blipFill>
                    <a:blip r:embed="rId25"/>
                    <a:stretch>
                      <a:fillRect/>
                    </a:stretch>
                  </pic:blipFill>
                  <pic:spPr>
                    <a:xfrm>
                      <a:off x="0" y="0"/>
                      <a:ext cx="3017520" cy="2284546"/>
                    </a:xfrm>
                    <a:prstGeom prst="rect">
                      <a:avLst/>
                    </a:prstGeom>
                  </pic:spPr>
                </pic:pic>
              </a:graphicData>
            </a:graphic>
          </wp:inline>
        </w:drawing>
      </w:r>
    </w:p>
    <w:p w14:paraId="3D536BDB" w14:textId="77777777" w:rsidR="003D1017" w:rsidRDefault="00000000">
      <w:pPr>
        <w:spacing w:after="100" w:line="252" w:lineRule="auto"/>
        <w:jc w:val="both"/>
      </w:pPr>
      <w:r>
        <w:rPr>
          <w:sz w:val="20"/>
          <w:szCs w:val="20"/>
        </w:rPr>
        <w:t xml:space="preserve">Label equivalence is given in Equation 14. Here N_base(N) is the number of labels the baseline needs to match the foundation model trained on N labels, and it is computed separately for the seen and unseen cohorts by curve fitting. Confidence intervals are 95% bootstrap intervals (Equation 15). The p-values are corrected across tasks T1 to T3 with the Holm–Bonferroni procedure [18] (Equation 16), where p_(j) are the sorted p-values and m is their number. The compute-matched Pareto frontier plots performance against logged GPU-seconds, and rank stability is the frequency of pairwise rank flips across seeds (Equation 17).</w:t>
      </w:r>
    </w:p>
    <w:p w14:paraId="445D750B" w14:textId="77777777" w:rsidR="003D1017" w:rsidRDefault="00000000">
      <w:pPr>
        <w:keepNext/>
        <w:keepLines/>
        <w:spacing w:before="60" w:after="20"/>
      </w:pPr>
      <w:r>
        <w:rPr>
          <w:rStyle w:val="Strong"/>
          <w:sz w:val="20"/>
          <w:szCs w:val="20"/>
        </w:rPr>
        <w:t>Eq. 14</w:t>
      </w:r>
      <w:r>
        <w:rPr>
          <w:sz w:val="20"/>
          <w:szCs w:val="20"/>
        </w:rPr>
        <w:t xml:space="preserve"> — Label equivalence:</w:t>
      </w:r>
    </w:p>
    <w:p w14:paraId="50600195" w14:textId="77777777" w:rsidR="003D1017" w:rsidRDefault="00000000">
      <w:pPr>
        <w:keepLines/>
        <w:spacing w:before="20" w:after="100"/>
        <w:jc w:val="center"/>
      </w:pPr>
      <m:oMathPara>
        <m:oMathParaPr>
          <m:jc m:val="center"/>
        </m:oMathParaPr>
        <m:oMath>
          <m:sSub>
            <m:sSubPr>
              <m:ctrlPr>
                <w:rPr>
                  <w:rFonts w:ascii="Cambria Math" w:hAnsi="Cambria Math"/>
                </w:rPr>
              </m:ctrlPr>
            </m:sSubPr>
            <m:e>
              <m:r>
                <w:rPr>
                  <w:rFonts w:ascii="Cambria Math" w:hAnsi="Cambria Math"/>
                </w:rPr>
                <m:t>N</m:t>
              </m:r>
            </m:e>
            <m:sub>
              <m:r>
                <w:rPr>
                  <w:rFonts w:ascii="Cambria Math" w:hAnsi="Cambria Math"/>
                </w:rPr>
                <m:t>eq</m:t>
              </m:r>
            </m:sub>
          </m:sSub>
          <m:d>
            <m:dPr>
              <m:ctrlPr>
                <w:rPr>
                  <w:rFonts w:ascii="Cambria Math" w:hAnsi="Cambria Math"/>
                </w:rPr>
              </m:ctrlPr>
            </m:dPr>
            <m:e>
              <m:r>
                <w:rPr>
                  <w:rFonts w:ascii="Cambria Math" w:hAnsi="Cambria Math"/>
                </w:rPr>
                <m:t>N</m:t>
              </m:r>
            </m:e>
          </m:d>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base</m:t>
              </m:r>
            </m:sub>
          </m:sSub>
          <m:d>
            <m:dPr>
              <m:ctrlPr>
                <w:rPr>
                  <w:rFonts w:ascii="Cambria Math" w:hAnsi="Cambria Math"/>
                </w:rPr>
              </m:ctrlPr>
            </m:dPr>
            <m:e>
              <m:r>
                <w:rPr>
                  <w:rFonts w:ascii="Cambria Math" w:hAnsi="Cambria Math"/>
                </w:rPr>
                <m:t>N</m:t>
              </m:r>
            </m:e>
          </m:d>
          <m:r>
            <m:rPr>
              <m:sty m:val="p"/>
            </m:rPr>
            <w:rPr>
              <w:rFonts w:ascii="Cambria Math" w:hAnsi="Cambria Math"/>
            </w:rPr>
            <m:t>-</m:t>
          </m:r>
          <m:r>
            <w:rPr>
              <w:rFonts w:ascii="Cambria Math" w:hAnsi="Cambria Math"/>
            </w:rPr>
            <m:t>N</m:t>
          </m:r>
        </m:oMath>
      </m:oMathPara>
    </w:p>
    <w:p w14:paraId="0E29A220" w14:textId="77777777" w:rsidR="003D1017" w:rsidRDefault="00000000">
      <w:pPr>
        <w:keepNext/>
        <w:keepLines/>
        <w:spacing w:before="60" w:after="20"/>
      </w:pPr>
      <w:r>
        <w:rPr>
          <w:rStyle w:val="Strong"/>
          <w:sz w:val="20"/>
          <w:szCs w:val="20"/>
        </w:rPr>
        <w:t>Eq. 15</w:t>
      </w:r>
      <w:r>
        <w:rPr>
          <w:sz w:val="20"/>
          <w:szCs w:val="20"/>
        </w:rPr>
        <w:t xml:space="preserve"> — Bootstrap confidence interval:</w:t>
      </w:r>
    </w:p>
    <w:p w14:paraId="6E3D55CD" w14:textId="77777777" w:rsidR="003D1017" w:rsidRDefault="00000000">
      <w:pPr>
        <w:keepLines/>
        <w:spacing w:before="20" w:after="100"/>
        <w:jc w:val="center"/>
      </w:pPr>
      <m:oMathPara>
        <m:oMathParaPr>
          <m:jc m:val="center"/>
        </m:oMathParaPr>
        <m:oMath>
          <m:sSub>
            <m:sSubPr>
              <m:ctrlPr>
                <w:rPr>
                  <w:rFonts w:ascii="Cambria Math" w:hAnsi="Cambria Math"/>
                </w:rPr>
              </m:ctrlPr>
            </m:sSubPr>
            <m:e>
              <m:r>
                <m:rPr>
                  <m:sty m:val="p"/>
                </m:rPr>
                <w:rPr>
                  <w:rFonts w:ascii="Cambria Math" w:hAnsi="Cambria Math"/>
                </w:rPr>
                <m:t>CI</m:t>
              </m:r>
            </m:e>
            <m:sub>
              <m:r>
                <w:rPr>
                  <w:rFonts w:ascii="Cambria Math" w:hAnsi="Cambria Math"/>
                </w:rPr>
                <m:t>95</m:t>
              </m:r>
              <m:r>
                <m:rPr>
                  <m:sty m:val="p"/>
                </m:rPr>
                <w:rPr>
                  <w:rFonts w:ascii="Cambria Math" w:hAnsi="Cambria Math"/>
                </w:rPr>
                <m:t>%</m:t>
              </m:r>
            </m:sub>
          </m:sSub>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0.025</m:t>
                  </m:r>
                </m:sub>
              </m:sSub>
              <m:d>
                <m:dPr>
                  <m:ctrlPr>
                    <w:rPr>
                      <w:rFonts w:ascii="Cambria Math" w:hAnsi="Cambria Math"/>
                    </w:rPr>
                  </m:ctrlPr>
                </m:dPr>
                <m:e>
                  <m:r>
                    <m:rPr>
                      <m:sty m:val="p"/>
                    </m:rPr>
                    <w:rPr>
                      <w:rFonts w:ascii="Cambria Math" w:hAnsi="Cambria Math"/>
                    </w:rPr>
                    <m:t>{</m:t>
                  </m:r>
                  <m:sSup>
                    <m:sSupPr>
                      <m:ctrlPr>
                        <w:rPr>
                          <w:rFonts w:ascii="Cambria Math" w:hAnsi="Cambria Math"/>
                        </w:rPr>
                      </m:ctrlPr>
                    </m:sSupPr>
                    <m:e>
                      <m:r>
                        <m:rPr>
                          <m:sty m:val="p"/>
                        </m:rPr>
                        <w:rPr>
                          <w:rFonts w:ascii="Cambria Math" w:hAnsi="Cambria Math"/>
                        </w:rPr>
                        <m:t>DiD</m:t>
                      </m:r>
                    </m:e>
                    <m:sup>
                      <m:d>
                        <m:dPr>
                          <m:ctrlPr>
                            <w:rPr>
                              <w:rFonts w:ascii="Cambria Math" w:hAnsi="Cambria Math"/>
                            </w:rPr>
                          </m:ctrlPr>
                        </m:dPr>
                        <m:e>
                          <m:r>
                            <w:rPr>
                              <w:rFonts w:ascii="Cambria Math" w:hAnsi="Cambria Math"/>
                            </w:rPr>
                            <m:t>b</m:t>
                          </m:r>
                        </m:e>
                      </m:d>
                    </m:sup>
                  </m:sSup>
                  <m:sSubSup>
                    <m:sSubSupPr>
                      <m:ctrlPr>
                        <w:rPr>
                          <w:rFonts w:ascii="Cambria Math" w:hAnsi="Cambria Math"/>
                        </w:rPr>
                      </m:ctrlPr>
                    </m:sSubSupPr>
                    <m:e>
                      <m:r>
                        <m:rPr>
                          <m:sty m:val="p"/>
                        </m:rPr>
                        <w:rPr>
                          <w:rFonts w:ascii="Cambria Math" w:hAnsi="Cambria Math"/>
                        </w:rPr>
                        <m:t>}</m:t>
                      </m:r>
                    </m:e>
                    <m:sub>
                      <m:r>
                        <w:rPr>
                          <w:rFonts w:ascii="Cambria Math" w:hAnsi="Cambria Math"/>
                        </w:rPr>
                        <m:t>b</m:t>
                      </m:r>
                      <m:r>
                        <m:rPr>
                          <m:sty m:val="p"/>
                        </m:rPr>
                        <w:rPr>
                          <w:rFonts w:ascii="Cambria Math" w:hAnsi="Cambria Math"/>
                        </w:rPr>
                        <m:t>=</m:t>
                      </m:r>
                      <m:r>
                        <w:rPr>
                          <w:rFonts w:ascii="Cambria Math" w:hAnsi="Cambria Math"/>
                        </w:rPr>
                        <m:t>1</m:t>
                      </m:r>
                    </m:sub>
                    <m:sup>
                      <m:r>
                        <w:rPr>
                          <w:rFonts w:ascii="Cambria Math" w:hAnsi="Cambria Math"/>
                        </w:rPr>
                        <m:t>2000</m:t>
                      </m:r>
                    </m:sup>
                  </m:sSubSup>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Q</m:t>
                  </m:r>
                </m:e>
                <m:sub>
                  <m:r>
                    <w:rPr>
                      <w:rFonts w:ascii="Cambria Math" w:hAnsi="Cambria Math"/>
                    </w:rPr>
                    <m:t>0.975</m:t>
                  </m:r>
                </m:sub>
              </m:sSub>
              <m:d>
                <m:dPr>
                  <m:ctrlPr>
                    <w:rPr>
                      <w:rFonts w:ascii="Cambria Math" w:hAnsi="Cambria Math"/>
                    </w:rPr>
                  </m:ctrlPr>
                </m:dPr>
                <m:e>
                  <m:r>
                    <m:rPr>
                      <m:sty m:val="p"/>
                    </m:rPr>
                    <w:rPr>
                      <w:rFonts w:ascii="Cambria Math" w:hAnsi="Cambria Math"/>
                    </w:rPr>
                    <m:t>{</m:t>
                  </m:r>
                  <m:sSup>
                    <m:sSupPr>
                      <m:ctrlPr>
                        <w:rPr>
                          <w:rFonts w:ascii="Cambria Math" w:hAnsi="Cambria Math"/>
                        </w:rPr>
                      </m:ctrlPr>
                    </m:sSupPr>
                    <m:e>
                      <m:r>
                        <m:rPr>
                          <m:sty m:val="p"/>
                        </m:rPr>
                        <w:rPr>
                          <w:rFonts w:ascii="Cambria Math" w:hAnsi="Cambria Math"/>
                        </w:rPr>
                        <m:t>DiD</m:t>
                      </m:r>
                    </m:e>
                    <m:sup>
                      <m:d>
                        <m:dPr>
                          <m:ctrlPr>
                            <w:rPr>
                              <w:rFonts w:ascii="Cambria Math" w:hAnsi="Cambria Math"/>
                            </w:rPr>
                          </m:ctrlPr>
                        </m:dPr>
                        <m:e>
                          <m:r>
                            <w:rPr>
                              <w:rFonts w:ascii="Cambria Math" w:hAnsi="Cambria Math"/>
                            </w:rPr>
                            <m:t>b</m:t>
                          </m:r>
                        </m:e>
                      </m:d>
                    </m:sup>
                  </m:sSup>
                  <m:sSubSup>
                    <m:sSubSupPr>
                      <m:ctrlPr>
                        <w:rPr>
                          <w:rFonts w:ascii="Cambria Math" w:hAnsi="Cambria Math"/>
                        </w:rPr>
                      </m:ctrlPr>
                    </m:sSubSupPr>
                    <m:e>
                      <m:r>
                        <m:rPr>
                          <m:sty m:val="p"/>
                        </m:rPr>
                        <w:rPr>
                          <w:rFonts w:ascii="Cambria Math" w:hAnsi="Cambria Math"/>
                        </w:rPr>
                        <m:t>}</m:t>
                      </m:r>
                    </m:e>
                    <m:sub>
                      <m:r>
                        <w:rPr>
                          <w:rFonts w:ascii="Cambria Math" w:hAnsi="Cambria Math"/>
                        </w:rPr>
                        <m:t>b</m:t>
                      </m:r>
                      <m:r>
                        <m:rPr>
                          <m:sty m:val="p"/>
                        </m:rPr>
                        <w:rPr>
                          <w:rFonts w:ascii="Cambria Math" w:hAnsi="Cambria Math"/>
                        </w:rPr>
                        <m:t>=</m:t>
                      </m:r>
                      <m:r>
                        <w:rPr>
                          <w:rFonts w:ascii="Cambria Math" w:hAnsi="Cambria Math"/>
                        </w:rPr>
                        <m:t>1</m:t>
                      </m:r>
                    </m:sub>
                    <m:sup>
                      <m:r>
                        <w:rPr>
                          <w:rFonts w:ascii="Cambria Math" w:hAnsi="Cambria Math"/>
                        </w:rPr>
                        <m:t>2000</m:t>
                      </m:r>
                    </m:sup>
                  </m:sSubSup>
                </m:e>
              </m:d>
            </m:e>
          </m:d>
        </m:oMath>
      </m:oMathPara>
    </w:p>
    <w:p w14:paraId="421191CF" w14:textId="77777777" w:rsidR="003D1017" w:rsidRDefault="00000000">
      <w:pPr>
        <w:keepNext/>
        <w:keepLines/>
        <w:spacing w:before="60" w:after="20"/>
      </w:pPr>
      <w:r>
        <w:rPr>
          <w:rStyle w:val="Strong"/>
          <w:sz w:val="20"/>
          <w:szCs w:val="20"/>
        </w:rPr>
        <w:t>Eq. 16</w:t>
      </w:r>
      <w:r>
        <w:rPr>
          <w:sz w:val="20"/>
          <w:szCs w:val="20"/>
        </w:rPr>
        <w:t xml:space="preserve"> — Holm–Bonferroni adjusted p-value:</w:t>
      </w:r>
    </w:p>
    <w:p w14:paraId="37138140" w14:textId="77777777" w:rsidR="003D1017" w:rsidRDefault="00000000">
      <w:pPr>
        <w:keepLines/>
        <w:spacing w:before="20" w:after="100"/>
        <w:jc w:val="center"/>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p</m:t>
                  </m:r>
                </m:e>
              </m:acc>
            </m:e>
            <m:sub>
              <m:d>
                <m:dPr>
                  <m:ctrlPr>
                    <w:rPr>
                      <w:rFonts w:ascii="Cambria Math" w:hAnsi="Cambria Math"/>
                    </w:rPr>
                  </m:ctrlPr>
                </m:dPr>
                <m:e>
                  <m:r>
                    <w:rPr>
                      <w:rFonts w:ascii="Cambria Math" w:hAnsi="Cambria Math"/>
                    </w:rPr>
                    <m:t>k</m:t>
                  </m:r>
                </m:e>
              </m:d>
            </m:sub>
          </m:sSub>
          <m:r>
            <m:rPr>
              <m:sty m:val="p"/>
            </m:rPr>
            <w:rPr>
              <w:rFonts w:ascii="Cambria Math" w:hAnsi="Cambria Math"/>
            </w:rPr>
            <m:t>=</m:t>
          </m:r>
          <m:limLow>
            <m:limLowPr>
              <m:ctrlPr>
                <w:rPr>
                  <w:rFonts w:ascii="Cambria Math" w:hAnsi="Cambria Math"/>
                </w:rPr>
              </m:ctrlPr>
            </m:limLowPr>
            <m:e>
              <m:r>
                <m:rPr>
                  <m:sty m:val="p"/>
                </m:rPr>
                <w:rPr>
                  <w:rFonts w:ascii="Cambria Math" w:hAnsi="Cambria Math"/>
                </w:rPr>
                <m:t>max</m:t>
              </m:r>
            </m:e>
            <m:lim>
              <m:r>
                <w:rPr>
                  <w:rFonts w:ascii="Cambria Math" w:hAnsi="Cambria Math"/>
                </w:rPr>
                <m:t>j</m:t>
              </m:r>
              <m:r>
                <m:rPr>
                  <m:sty m:val="p"/>
                </m:rPr>
                <w:rPr>
                  <w:rFonts w:ascii="Cambria Math" w:hAnsi="Cambria Math"/>
                </w:rPr>
                <m:t>≤</m:t>
              </m:r>
              <m:r>
                <w:rPr>
                  <w:rFonts w:ascii="Cambria Math" w:hAnsi="Cambria Math"/>
                </w:rPr>
                <m:t>k</m:t>
              </m:r>
            </m:lim>
          </m:limLow>
          <m:r>
            <w:rPr>
              <w:rFonts w:ascii="Cambria Math" w:hAnsi="Cambria Math"/>
            </w:rPr>
            <m:t> </m:t>
          </m:r>
          <m:r>
            <m:rPr>
              <m:sty m:val="p"/>
            </m:rPr>
            <w:rPr>
              <w:rFonts w:ascii="Cambria Math" w:hAnsi="Cambria Math"/>
            </w:rPr>
            <m:t>min{</m:t>
          </m:r>
          <m:r>
            <w:rPr>
              <w:rFonts w:ascii="Cambria Math" w:hAnsi="Cambria Math"/>
            </w:rPr>
            <m:t>1</m:t>
          </m:r>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m</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1</m:t>
              </m:r>
            </m:e>
          </m:d>
          <m:r>
            <w:rPr>
              <w:rFonts w:ascii="Cambria Math" w:hAnsi="Cambria Math"/>
            </w:rPr>
            <m:t> </m:t>
          </m:r>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j</m:t>
                  </m:r>
                </m:e>
              </m:d>
            </m:sub>
          </m:sSub>
          <m:r>
            <m:rPr>
              <m:sty m:val="p"/>
            </m:rPr>
            <w:rPr>
              <w:rFonts w:ascii="Cambria Math" w:hAnsi="Cambria Math"/>
            </w:rPr>
            <m:t>}</m:t>
          </m:r>
        </m:oMath>
      </m:oMathPara>
    </w:p>
    <w:p w14:paraId="02523FEF" w14:textId="77777777" w:rsidR="003D1017" w:rsidRDefault="00000000">
      <w:pPr>
        <w:keepNext/>
        <w:keepLines/>
        <w:spacing w:before="60" w:after="20"/>
      </w:pPr>
      <w:r>
        <w:rPr>
          <w:rStyle w:val="Strong"/>
          <w:sz w:val="20"/>
          <w:szCs w:val="20"/>
        </w:rPr>
        <w:t>Eq. 17</w:t>
      </w:r>
      <w:r>
        <w:rPr>
          <w:sz w:val="20"/>
          <w:szCs w:val="20"/>
        </w:rPr>
        <w:t xml:space="preserve"> — Rank-flip rate across seeds:</w:t>
      </w:r>
    </w:p>
    <w:p w14:paraId="286B5279" w14:textId="77777777" w:rsidR="003D1017" w:rsidRDefault="00000000">
      <w:pPr>
        <w:keepLines/>
        <w:spacing w:before="20" w:after="100"/>
        <w:jc w:val="center"/>
      </w:pPr>
      <m:oMathPara>
        <m:oMathParaPr>
          <m:jc m:val="center"/>
        </m:oMathParaPr>
        <m:oMath>
          <m:r>
            <w:rPr>
              <w:rFonts w:ascii="Cambria Math" w:hAnsi="Cambria Math"/>
            </w:rPr>
            <m:t>F</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e>
          </m:d>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S</m:t>
              </m:r>
            </m:den>
          </m:f>
          <m:nary>
            <m:naryPr>
              <m:chr m:val="∑"/>
              <m:limLoc m:val="undOvr"/>
              <m:ctrlPr>
                <w:rPr>
                  <w:rFonts w:ascii="Cambria Math" w:hAnsi="Cambria Math"/>
                </w:rPr>
              </m:ctrlPr>
            </m:naryPr>
            <m:sub>
              <m:r>
                <w:rPr>
                  <w:rFonts w:ascii="Cambria Math" w:hAnsi="Cambria Math"/>
                </w:rPr>
                <m:t>s</m:t>
              </m:r>
              <m:r>
                <m:rPr>
                  <m:sty m:val="p"/>
                </m:rPr>
                <w:rPr>
                  <w:rFonts w:ascii="Cambria Math" w:hAnsi="Cambria Math"/>
                </w:rPr>
                <m:t>=</m:t>
              </m:r>
              <m:r>
                <w:rPr>
                  <w:rFonts w:ascii="Cambria Math" w:hAnsi="Cambria Math"/>
                </w:rPr>
                <m:t>1</m:t>
              </m:r>
            </m:sub>
            <m:sup>
              <m:r>
                <w:rPr>
                  <w:rFonts w:ascii="Cambria Math" w:hAnsi="Cambria Math"/>
                </w:rPr>
                <m:t>S</m:t>
              </m:r>
            </m:sup>
            <m:e>
              <m:r>
                <m:rPr>
                  <m:scr m:val="double-struck"/>
                  <m:sty m:val="p"/>
                </m:rPr>
                <w:rPr>
                  <w:rFonts w:ascii="Cambria Math" w:hAnsi="Cambria Math"/>
                </w:rPr>
                <m:t>1</m:t>
              </m:r>
            </m:e>
          </m:nary>
          <m:d>
            <m:dPr>
              <m:begChr m:val="["/>
              <m:endChr m:val="]"/>
              <m:ctrlPr>
                <w:rPr>
                  <w:rFonts w:ascii="Cambria Math" w:hAnsi="Cambria Math"/>
                </w:rPr>
              </m:ctrlPr>
            </m:dPr>
            <m:e>
              <m:r>
                <m:rPr>
                  <m:sty m:val="p"/>
                </m:rPr>
                <w:rPr>
                  <w:rFonts w:ascii="Cambria Math" w:hAnsi="Cambria Math"/>
                </w:rPr>
                <m:t>sign</m:t>
              </m:r>
              <m:d>
                <m:dPr>
                  <m:ctrlPr>
                    <w:rPr>
                      <w:rFonts w:ascii="Cambria Math" w:hAnsi="Cambria Math"/>
                    </w:rPr>
                  </m:ctrlPr>
                </m:dPr>
                <m:e>
                  <m:sSubSup>
                    <m:sSubSupPr>
                      <m:ctrlPr>
                        <w:rPr>
                          <w:rFonts w:ascii="Cambria Math" w:hAnsi="Cambria Math"/>
                        </w:rPr>
                      </m:ctrlPr>
                    </m:sSubSupPr>
                    <m:e>
                      <m:r>
                        <m:rPr>
                          <m:sty m:val="p"/>
                        </m:rPr>
                        <w:rPr>
                          <w:rFonts w:ascii="Cambria Math" w:hAnsi="Cambria Math"/>
                        </w:rPr>
                        <m:t>MAE</m:t>
                      </m:r>
                    </m:e>
                    <m:sub>
                      <m:r>
                        <w:rPr>
                          <w:rFonts w:ascii="Cambria Math" w:hAnsi="Cambria Math"/>
                        </w:rPr>
                        <m:t>a</m:t>
                      </m:r>
                    </m:sub>
                    <m:sup>
                      <m:d>
                        <m:dPr>
                          <m:ctrlPr>
                            <w:rPr>
                              <w:rFonts w:ascii="Cambria Math" w:hAnsi="Cambria Math"/>
                            </w:rPr>
                          </m:ctrlPr>
                        </m:dPr>
                        <m:e>
                          <m:r>
                            <w:rPr>
                              <w:rFonts w:ascii="Cambria Math" w:hAnsi="Cambria Math"/>
                            </w:rPr>
                            <m:t>s</m:t>
                          </m:r>
                        </m:e>
                      </m:d>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MAE</m:t>
                      </m:r>
                    </m:e>
                    <m:sub>
                      <m:r>
                        <w:rPr>
                          <w:rFonts w:ascii="Cambria Math" w:hAnsi="Cambria Math"/>
                        </w:rPr>
                        <m:t>b</m:t>
                      </m:r>
                    </m:sub>
                    <m:sup>
                      <m:d>
                        <m:dPr>
                          <m:ctrlPr>
                            <w:rPr>
                              <w:rFonts w:ascii="Cambria Math" w:hAnsi="Cambria Math"/>
                            </w:rPr>
                          </m:ctrlPr>
                        </m:dPr>
                        <m:e>
                          <m:r>
                            <w:rPr>
                              <w:rFonts w:ascii="Cambria Math" w:hAnsi="Cambria Math"/>
                            </w:rPr>
                            <m:t>s</m:t>
                          </m:r>
                        </m:e>
                      </m:d>
                    </m:sup>
                  </m:sSubSup>
                </m:e>
              </m:d>
              <m:r>
                <m:rPr>
                  <m:sty m:val="p"/>
                </m:rPr>
                <w:rPr>
                  <w:rFonts w:ascii="Cambria Math" w:hAnsi="Cambria Math"/>
                </w:rPr>
                <m:t>≠sign</m:t>
              </m:r>
              <m:d>
                <m:dPr>
                  <m:ctrlPr>
                    <w:rPr>
                      <w:rFonts w:ascii="Cambria Math" w:hAnsi="Cambria Math"/>
                    </w:rPr>
                  </m:ctrlPr>
                </m:dPr>
                <m:e>
                  <m:sSub>
                    <m:sSubPr>
                      <m:ctrlPr>
                        <w:rPr>
                          <w:rFonts w:ascii="Cambria Math" w:hAnsi="Cambria Math"/>
                        </w:rPr>
                      </m:ctrlPr>
                    </m:sSubPr>
                    <m:e>
                      <m:bar>
                        <m:barPr>
                          <m:pos m:val="top"/>
                          <m:ctrlPr>
                            <w:rPr>
                              <w:rFonts w:ascii="Cambria Math" w:hAnsi="Cambria Math"/>
                            </w:rPr>
                          </m:ctrlPr>
                        </m:barPr>
                        <m:e>
                          <m:r>
                            <m:rPr>
                              <m:sty m:val="p"/>
                            </m:rPr>
                            <w:rPr>
                              <w:rFonts w:ascii="Cambria Math" w:hAnsi="Cambria Math"/>
                            </w:rPr>
                            <m:t>MAE</m:t>
                          </m:r>
                        </m:e>
                      </m:bar>
                    </m:e>
                    <m:sub>
                      <m:r>
                        <w:rPr>
                          <w:rFonts w:ascii="Cambria Math" w:hAnsi="Cambria Math"/>
                        </w:rPr>
                        <m:t>a</m:t>
                      </m:r>
                    </m:sub>
                  </m:sSub>
                  <m:r>
                    <m:rPr>
                      <m:sty m:val="p"/>
                    </m:rPr>
                    <w:rPr>
                      <w:rFonts w:ascii="Cambria Math" w:hAnsi="Cambria Math"/>
                    </w:rPr>
                    <m:t>-</m:t>
                  </m:r>
                  <m:sSub>
                    <m:sSubPr>
                      <m:ctrlPr>
                        <w:rPr>
                          <w:rFonts w:ascii="Cambria Math" w:hAnsi="Cambria Math"/>
                        </w:rPr>
                      </m:ctrlPr>
                    </m:sSubPr>
                    <m:e>
                      <m:bar>
                        <m:barPr>
                          <m:pos m:val="top"/>
                          <m:ctrlPr>
                            <w:rPr>
                              <w:rFonts w:ascii="Cambria Math" w:hAnsi="Cambria Math"/>
                            </w:rPr>
                          </m:ctrlPr>
                        </m:barPr>
                        <m:e>
                          <m:r>
                            <m:rPr>
                              <m:sty m:val="p"/>
                            </m:rPr>
                            <w:rPr>
                              <w:rFonts w:ascii="Cambria Math" w:hAnsi="Cambria Math"/>
                            </w:rPr>
                            <m:t>MAE</m:t>
                          </m:r>
                        </m:e>
                      </m:bar>
                    </m:e>
                    <m:sub>
                      <m:r>
                        <w:rPr>
                          <w:rFonts w:ascii="Cambria Math" w:hAnsi="Cambria Math"/>
                        </w:rPr>
                        <m:t>b</m:t>
                      </m:r>
                    </m:sub>
                  </m:sSub>
                </m:e>
              </m:d>
            </m:e>
          </m:d>
        </m:oMath>
      </m:oMathPara>
    </w:p>
    <w:p w14:paraId="3847AA9A" w14:textId="77777777" w:rsidR="003D1017" w:rsidRDefault="00000000">
      <w:pPr>
        <w:spacing w:after="100" w:line="252" w:lineRule="auto"/>
        <w:jc w:val="both"/>
      </w:pPr>
      <w:r>
        <w:rPr>
          <w:sz w:val="20"/>
          <w:szCs w:val="20"/>
        </w:rPr>
        <w:t xml:space="preserve">The final system output reaches the evaluator in the form shown in Table V to Table VIII.</w:t>
      </w:r>
    </w:p>
    <w:p w14:paraId="30689ABB" w14:textId="77777777" w:rsidR="003D1017" w:rsidRDefault="00000000">
      <w:pPr>
        <w:keepNext/>
        <w:keepLines/>
        <w:spacing w:before="180" w:after="80"/>
      </w:pPr>
      <w:r>
        <w:rPr>
          <w:b/>
          <w:bCs/>
          <w:sz w:val="20"/>
          <w:szCs w:val="20"/>
        </w:rPr>
        <w:t>ALGORITHM 1: Subject-Level Contamination Audit</w:t>
      </w:r>
    </w:p>
    <w:p w14:paraId="3804C808" w14:textId="77777777" w:rsidR="003D1017" w:rsidRDefault="00000000">
      <w:pPr>
        <w:spacing w:before="20" w:after="20"/>
      </w:pPr>
      <w:r>
        <w:rPr>
          <w:sz w:val="20"/>
          <w:szCs w:val="20"/>
        </w:rPr>
        <w:t>Algorithm 1: Contamination audit and cohort labelling</w:t>
      </w:r>
    </w:p>
    <w:p w14:paraId="2A7ABB6A" w14:textId="77777777" w:rsidR="003D1017" w:rsidRDefault="00000000">
      <w:pPr>
        <w:spacing w:before="20" w:after="20"/>
      </w:pPr>
      <w:r>
        <w:rPr>
          <w:b/>
          <w:bCs/>
          <w:sz w:val="20"/>
          <w:szCs w:val="20"/>
        </w:rPr>
        <w:t>Input:</w:t>
      </w:r>
      <w:r>
        <w:rPr>
          <w:sz w:val="20"/>
          <w:szCs w:val="20"/>
        </w:rPr>
        <w:t xml:space="preserve"> Cohort ID sets {S_c}, manifest ID set P, thresholds τ_hi and τ_lo</w:t>
      </w:r>
    </w:p>
    <w:p w14:paraId="4174A98C" w14:textId="77777777" w:rsidR="003D1017" w:rsidRDefault="00000000">
      <w:pPr>
        <w:spacing w:before="20" w:after="20"/>
      </w:pPr>
      <w:r>
        <w:rPr>
          <w:b/>
          <w:bCs/>
          <w:sz w:val="20"/>
          <w:szCs w:val="20"/>
        </w:rPr>
        <w:t>Output:</w:t>
      </w:r>
      <w:r>
        <w:rPr>
          <w:sz w:val="20"/>
          <w:szCs w:val="20"/>
        </w:rPr>
        <w:t xml:space="preserve"> Overlap O(c) and status(c) for every cohort c</w:t>
      </w:r>
    </w:p>
    <w:p w14:paraId="33994A1C" w14:textId="77777777" w:rsidR="003D1017" w:rsidRDefault="00000000">
      <w:pPr>
        <w:tabs>
          <w:tab w:val="left" w:pos="380"/>
        </w:tabs>
        <w:spacing w:before="20" w:after="20"/>
        <w:ind w:left="380" w:hanging="380"/>
      </w:pPr>
      <w:r>
        <w:rPr>
          <w:sz w:val="20"/>
          <w:szCs w:val="20"/>
        </w:rPr>
        <w:t>1.</w:t>
        <w:tab/>
        <w:t>Load mapping.tsv and participants.tsv; build P from the subject identifiers</w:t>
      </w:r>
    </w:p>
    <w:p w14:paraId="1ABCDD61" w14:textId="77777777" w:rsidR="003D1017" w:rsidRDefault="00000000">
      <w:pPr>
        <w:tabs>
          <w:tab w:val="left" w:pos="380"/>
        </w:tabs>
        <w:spacing w:before="20" w:after="20"/>
        <w:ind w:left="380" w:hanging="380"/>
      </w:pPr>
      <w:r>
        <w:rPr>
          <w:sz w:val="20"/>
          <w:szCs w:val="20"/>
        </w:rPr>
        <w:t>2.</w:t>
        <w:tab/>
        <w:t>FOR each cohort c DO</w:t>
      </w:r>
    </w:p>
    <w:p w14:paraId="5A859779" w14:textId="77777777" w:rsidR="003D1017" w:rsidRDefault="00000000">
      <w:pPr>
        <w:tabs>
          <w:tab w:val="left" w:pos="660"/>
        </w:tabs>
        <w:spacing w:before="20" w:after="20"/>
        <w:ind w:left="660" w:hanging="380"/>
      </w:pPr>
      <w:r>
        <w:rPr>
          <w:sz w:val="20"/>
          <w:szCs w:val="20"/>
        </w:rPr>
        <w:t>3.</w:t>
        <w:tab/>
        <w:t>Read the subject identifiers S_c from the cohort participants file</w:t>
      </w:r>
    </w:p>
    <w:p w14:paraId="5210D080" w14:textId="77777777" w:rsidR="003D1017" w:rsidRDefault="00000000">
      <w:pPr>
        <w:tabs>
          <w:tab w:val="left" w:pos="660"/>
        </w:tabs>
        <w:spacing w:before="20" w:after="20"/>
        <w:ind w:left="660" w:hanging="380"/>
      </w:pPr>
      <w:r>
        <w:rPr>
          <w:sz w:val="20"/>
          <w:szCs w:val="20"/>
        </w:rPr>
        <w:t>4.</w:t>
        <w:tab/>
        <w:t>Normalise identifiers so that equivalent IDs compare equal</w:t>
      </w:r>
    </w:p>
    <w:p w14:paraId="6A1BACA4" w14:textId="77777777" w:rsidR="003D1017" w:rsidRDefault="00000000">
      <w:pPr>
        <w:tabs>
          <w:tab w:val="left" w:pos="660"/>
        </w:tabs>
        <w:spacing w:before="20" w:after="20"/>
        <w:ind w:left="660" w:hanging="380"/>
      </w:pPr>
      <w:r>
        <w:rPr>
          <w:sz w:val="20"/>
          <w:szCs w:val="20"/>
        </w:rPr>
        <w:t>5.</w:t>
        <w:tab/>
        <w:t>Compute |S_c ∩ P| and O(c) (Eq. 1)</w:t>
      </w:r>
    </w:p>
    <w:p w14:paraId="42BB103B" w14:textId="77777777" w:rsidR="003D1017" w:rsidRDefault="00000000">
      <w:pPr>
        <w:tabs>
          <w:tab w:val="left" w:pos="660"/>
        </w:tabs>
        <w:spacing w:before="20" w:after="20"/>
        <w:ind w:left="660" w:hanging="380"/>
      </w:pPr>
      <w:r>
        <w:rPr>
          <w:sz w:val="20"/>
          <w:szCs w:val="20"/>
        </w:rPr>
        <w:t>6.</w:t>
        <w:tab/>
        <w:t>IF O(c) ≥ τ_hi THEN status(c) ← seen</w:t>
      </w:r>
    </w:p>
    <w:p w14:paraId="1D6A7C8E" w14:textId="77777777" w:rsidR="003D1017" w:rsidRDefault="00000000">
      <w:pPr>
        <w:tabs>
          <w:tab w:val="left" w:pos="660"/>
        </w:tabs>
        <w:spacing w:before="20" w:after="20"/>
        <w:ind w:left="660" w:hanging="380"/>
      </w:pPr>
      <w:r>
        <w:rPr>
          <w:sz w:val="20"/>
          <w:szCs w:val="20"/>
        </w:rPr>
        <w:t>7.</w:t>
        <w:tab/>
        <w:t>ELSE IF O(c) ≤ τ_lo THEN status(c) ← unseen</w:t>
      </w:r>
    </w:p>
    <w:p w14:paraId="19391440" w14:textId="77777777" w:rsidR="003D1017" w:rsidRDefault="00000000">
      <w:pPr>
        <w:tabs>
          <w:tab w:val="left" w:pos="660"/>
        </w:tabs>
        <w:spacing w:before="20" w:after="20"/>
        <w:ind w:left="660" w:hanging="380"/>
      </w:pPr>
      <w:r>
        <w:rPr>
          <w:sz w:val="20"/>
          <w:szCs w:val="20"/>
        </w:rPr>
        <w:t>8.</w:t>
        <w:tab/>
        <w:t>ELSE status(c) ← excluded</w:t>
      </w:r>
    </w:p>
    <w:p w14:paraId="3DCAABB9" w14:textId="77777777" w:rsidR="003D1017" w:rsidRDefault="00000000">
      <w:pPr>
        <w:tabs>
          <w:tab w:val="left" w:pos="380"/>
        </w:tabs>
        <w:spacing w:before="20" w:after="20"/>
        <w:ind w:left="380" w:hanging="380"/>
      </w:pPr>
      <w:r>
        <w:rPr>
          <w:sz w:val="20"/>
          <w:szCs w:val="20"/>
        </w:rPr>
        <w:t>9.</w:t>
        <w:tab/>
        <w:t>END FOR</w:t>
      </w:r>
    </w:p>
    <w:p w14:paraId="232AB532" w14:textId="77777777" w:rsidR="003D1017" w:rsidRDefault="00000000">
      <w:pPr>
        <w:tabs>
          <w:tab w:val="left" w:pos="380"/>
        </w:tabs>
        <w:spacing w:before="20" w:after="20"/>
        <w:ind w:left="380" w:hanging="380"/>
      </w:pPr>
      <w:r>
        <w:rPr>
          <w:sz w:val="20"/>
          <w:szCs w:val="20"/>
        </w:rPr>
        <w:t>10.</w:t>
        <w:tab/>
        <w:t>Write the overlap table and figures; record the manifest version used</w:t>
      </w:r>
    </w:p>
    <w:p w14:paraId="3876029A" w14:textId="77777777" w:rsidR="003D1017" w:rsidRDefault="00000000">
      <w:pPr>
        <w:tabs>
          <w:tab w:val="left" w:pos="380"/>
        </w:tabs>
        <w:spacing w:before="20" w:after="20"/>
        <w:ind w:left="380" w:hanging="380"/>
      </w:pPr>
      <w:r>
        <w:rPr>
          <w:sz w:val="20"/>
          <w:szCs w:val="20"/>
        </w:rPr>
        <w:t>11.</w:t>
        <w:tab/>
        <w:t>RETURN {O(c), status(c)}</w:t>
      </w:r>
    </w:p>
    <w:p w14:paraId="224E93B5" w14:textId="77777777" w:rsidR="003D1017" w:rsidRDefault="00000000">
      <w:pPr>
        <w:keepNext/>
        <w:keepLines/>
        <w:spacing w:before="180" w:after="80"/>
      </w:pPr>
      <w:r>
        <w:rPr>
          <w:b/>
          <w:bCs/>
          <w:sz w:val="20"/>
          <w:szCs w:val="20"/>
        </w:rPr>
        <w:t>ALGORITHM 2: Matched-Budget Evaluation and DiD</w:t>
      </w:r>
    </w:p>
    <w:p w14:paraId="3B853E5A" w14:textId="77777777" w:rsidR="003D1017" w:rsidRDefault="00000000">
      <w:pPr>
        <w:spacing w:before="20" w:after="20"/>
      </w:pPr>
      <w:r>
        <w:rPr>
          <w:sz w:val="20"/>
          <w:szCs w:val="20"/>
        </w:rPr>
        <w:t>Algorithm 2: Matched-budget evaluation and difference-in-differences estimation</w:t>
      </w:r>
    </w:p>
    <w:p w14:paraId="01B5D3FF" w14:textId="77777777" w:rsidR="003D1017" w:rsidRDefault="00000000">
      <w:pPr>
        <w:spacing w:before="20" w:after="20"/>
      </w:pPr>
      <w:r>
        <w:rPr>
          <w:b/>
          <w:bCs/>
          <w:sz w:val="20"/>
          <w:szCs w:val="20"/>
        </w:rPr>
        <w:t>Input:</w:t>
      </w:r>
      <w:r>
        <w:rPr>
          <w:sz w:val="20"/>
          <w:szCs w:val="20"/>
        </w:rPr>
        <w:t xml:space="preserve"> Frozen splits for the seen and unseen cohorts; arms M; label budgets N; trial budgets T; seeds S</w:t>
      </w:r>
    </w:p>
    <w:p w14:paraId="3792942F" w14:textId="77777777" w:rsidR="003D1017" w:rsidRDefault="00000000">
      <w:pPr>
        <w:spacing w:before="20" w:after="20"/>
      </w:pPr>
      <w:r>
        <w:rPr>
          <w:b/>
          <w:bCs/>
          <w:sz w:val="20"/>
          <w:szCs w:val="20"/>
        </w:rPr>
        <w:t>Output:</w:t>
      </w:r>
      <w:r>
        <w:rPr>
          <w:sz w:val="20"/>
          <w:szCs w:val="20"/>
        </w:rPr>
        <w:t xml:space="preserve"> Ledger rows; DiD, N_eq, Pareto frontier, rank-flip rate</w:t>
      </w:r>
    </w:p>
    <w:p w14:paraId="0D4BB1E9" w14:textId="77777777" w:rsidR="003D1017" w:rsidRDefault="00000000">
      <w:pPr>
        <w:tabs>
          <w:tab w:val="left" w:pos="380"/>
        </w:tabs>
        <w:spacing w:before="20" w:after="20"/>
        <w:ind w:left="380" w:hanging="380"/>
      </w:pPr>
      <w:r>
        <w:rPr>
          <w:sz w:val="20"/>
          <w:szCs w:val="20"/>
        </w:rPr>
        <w:t>1.</w:t>
        <w:tab/>
        <w:t>Preprocess every volume with Pipeline B (Eq. 3, 4); cache as float16</w:t>
      </w:r>
    </w:p>
    <w:p w14:paraId="2BF4F22A" w14:textId="77777777" w:rsidR="003D1017" w:rsidRDefault="00000000">
      <w:pPr>
        <w:tabs>
          <w:tab w:val="left" w:pos="380"/>
        </w:tabs>
        <w:spacing w:before="20" w:after="20"/>
        <w:ind w:left="380" w:hanging="380"/>
      </w:pPr>
      <w:r>
        <w:rPr>
          <w:sz w:val="20"/>
          <w:szCs w:val="20"/>
        </w:rPr>
        <w:t>2.</w:t>
        <w:tab/>
        <w:t>FOR each cohort c in {seen, unseen} DO</w:t>
      </w:r>
    </w:p>
    <w:p w14:paraId="6EFB09C6" w14:textId="77777777" w:rsidR="003D1017" w:rsidRDefault="00000000">
      <w:pPr>
        <w:tabs>
          <w:tab w:val="left" w:pos="660"/>
        </w:tabs>
        <w:spacing w:before="20" w:after="20"/>
        <w:ind w:left="660" w:hanging="380"/>
      </w:pPr>
      <w:r>
        <w:rPr>
          <w:sz w:val="20"/>
          <w:szCs w:val="20"/>
        </w:rPr>
        <w:t>3.</w:t>
        <w:tab/>
        <w:t>FOR each arm m, budget N, trial budget T, seed s DO</w:t>
      </w:r>
    </w:p>
    <w:p w14:paraId="2FB2ECF0" w14:textId="77777777" w:rsidR="003D1017" w:rsidRDefault="00000000">
      <w:pPr>
        <w:tabs>
          <w:tab w:val="left" w:pos="940"/>
        </w:tabs>
        <w:spacing w:before="20" w:after="20"/>
        <w:ind w:left="940" w:hanging="380"/>
      </w:pPr>
      <w:r>
        <w:rPr>
          <w:sz w:val="20"/>
          <w:szCs w:val="20"/>
        </w:rPr>
        <w:t>4.</w:t>
        <w:tab/>
        <w:t>Draw N labeled subjects from the training split of c using seed s</w:t>
      </w:r>
    </w:p>
    <w:p w14:paraId="7E387E56" w14:textId="77777777" w:rsidR="003D1017" w:rsidRDefault="00000000">
      <w:pPr>
        <w:tabs>
          <w:tab w:val="left" w:pos="940"/>
        </w:tabs>
        <w:spacing w:before="20" w:after="20"/>
        <w:ind w:left="940" w:hanging="380"/>
      </w:pPr>
      <w:r>
        <w:rPr>
          <w:sz w:val="20"/>
          <w:szCs w:val="20"/>
        </w:rPr>
        <w:t>5.</w:t>
        <w:tab/>
        <w:t>Run T Optuna trials; select λ* on validation MAE (Eq. 10)</w:t>
      </w:r>
    </w:p>
    <w:p w14:paraId="5853B090" w14:textId="77777777" w:rsidR="003D1017" w:rsidRDefault="00000000">
      <w:pPr>
        <w:tabs>
          <w:tab w:val="left" w:pos="940"/>
        </w:tabs>
        <w:spacing w:before="20" w:after="20"/>
        <w:ind w:left="940" w:hanging="380"/>
      </w:pPr>
      <w:r>
        <w:rPr>
          <w:sz w:val="20"/>
          <w:szCs w:val="20"/>
        </w:rPr>
        <w:t>6.</w:t>
        <w:tab/>
        <w:t>Refit with λ*; log GPU-seconds (Eq. 11)</w:t>
      </w:r>
    </w:p>
    <w:p w14:paraId="1DA95FF4" w14:textId="77777777" w:rsidR="003D1017" w:rsidRDefault="00000000">
      <w:pPr>
        <w:tabs>
          <w:tab w:val="left" w:pos="940"/>
        </w:tabs>
        <w:spacing w:before="20" w:after="20"/>
        <w:ind w:left="940" w:hanging="380"/>
      </w:pPr>
      <w:r>
        <w:rPr>
          <w:sz w:val="20"/>
          <w:szCs w:val="20"/>
        </w:rPr>
        <w:t>7.</w:t>
        <w:tab/>
        <w:t>Append the cell result to results.parquet</w:t>
      </w:r>
    </w:p>
    <w:p w14:paraId="05D2CCBD" w14:textId="77777777" w:rsidR="003D1017" w:rsidRDefault="00000000">
      <w:pPr>
        <w:tabs>
          <w:tab w:val="left" w:pos="660"/>
        </w:tabs>
        <w:spacing w:before="20" w:after="20"/>
        <w:ind w:left="660" w:hanging="380"/>
      </w:pPr>
      <w:r>
        <w:rPr>
          <w:sz w:val="20"/>
          <w:szCs w:val="20"/>
        </w:rPr>
        <w:t>8.</w:t>
        <w:tab/>
        <w:t>END FOR</w:t>
      </w:r>
    </w:p>
    <w:p w14:paraId="030531E0" w14:textId="77777777" w:rsidR="003D1017" w:rsidRDefault="00000000">
      <w:pPr>
        <w:tabs>
          <w:tab w:val="left" w:pos="380"/>
        </w:tabs>
        <w:spacing w:before="20" w:after="20"/>
        <w:ind w:left="380" w:hanging="380"/>
      </w:pPr>
      <w:r>
        <w:rPr>
          <w:sz w:val="20"/>
          <w:szCs w:val="20"/>
        </w:rPr>
        <w:t>9.</w:t>
        <w:tab/>
        <w:t>END FOR</w:t>
      </w:r>
    </w:p>
    <w:p w14:paraId="79570F3A" w14:textId="77777777" w:rsidR="003D1017" w:rsidRDefault="00000000">
      <w:pPr>
        <w:tabs>
          <w:tab w:val="left" w:pos="380"/>
        </w:tabs>
        <w:spacing w:before="20" w:after="20"/>
        <w:ind w:left="380" w:hanging="380"/>
      </w:pPr>
      <w:r>
        <w:rPr>
          <w:sz w:val="20"/>
          <w:szCs w:val="20"/>
        </w:rPr>
        <w:t>10.</w:t>
        <w:tab/>
        <w:t>Freeze the benchmark; evaluate each selected model once on its test split</w:t>
      </w:r>
    </w:p>
    <w:p w14:paraId="1BF00E66" w14:textId="77777777" w:rsidR="003D1017" w:rsidRDefault="00000000">
      <w:pPr>
        <w:tabs>
          <w:tab w:val="left" w:pos="380"/>
        </w:tabs>
        <w:spacing w:before="20" w:after="20"/>
        <w:ind w:left="380" w:hanging="380"/>
      </w:pPr>
      <w:r>
        <w:rPr>
          <w:sz w:val="20"/>
          <w:szCs w:val="20"/>
        </w:rPr>
        <w:t>11.</w:t>
        <w:tab/>
        <w:t>Compute Δ_m (Eq. 12) and DiD (Eq. 13) for every FM–baseline pair</w:t>
      </w:r>
    </w:p>
    <w:p w14:paraId="63651FDE" w14:textId="77777777" w:rsidR="003D1017" w:rsidRDefault="00000000">
      <w:pPr>
        <w:tabs>
          <w:tab w:val="left" w:pos="380"/>
        </w:tabs>
        <w:spacing w:before="20" w:after="20"/>
        <w:ind w:left="380" w:hanging="380"/>
      </w:pPr>
      <w:r>
        <w:rPr>
          <w:sz w:val="20"/>
          <w:szCs w:val="20"/>
        </w:rPr>
        <w:t>12.</w:t>
        <w:tab/>
        <w:t>Bootstrap 2,000 resamples for the 95% CI and p (Eq. 15); apply Holm correction (Eq. 16)</w:t>
      </w:r>
    </w:p>
    <w:p w14:paraId="3984660F" w14:textId="77777777" w:rsidR="003D1017" w:rsidRDefault="00000000">
      <w:pPr>
        <w:tabs>
          <w:tab w:val="left" w:pos="380"/>
        </w:tabs>
        <w:spacing w:before="20" w:after="20"/>
        <w:ind w:left="380" w:hanging="380"/>
      </w:pPr>
      <w:r>
        <w:rPr>
          <w:sz w:val="20"/>
          <w:szCs w:val="20"/>
        </w:rPr>
        <w:t>13.</w:t>
        <w:tab/>
        <w:t>Compute N_eq (Eq. 14), the Pareto frontier and F(a, b) (Eq. 17)</w:t>
      </w:r>
    </w:p>
    <w:p w14:paraId="274C2232" w14:textId="77777777" w:rsidR="003D1017" w:rsidRDefault="00000000">
      <w:pPr>
        <w:tabs>
          <w:tab w:val="left" w:pos="380"/>
        </w:tabs>
        <w:spacing w:before="20" w:after="20"/>
        <w:ind w:left="380" w:hanging="380"/>
      </w:pPr>
      <w:r>
        <w:rPr>
          <w:sz w:val="20"/>
          <w:szCs w:val="20"/>
        </w:rPr>
        <w:t>14.</w:t>
        <w:tab/>
        <w:t>RETURN the statistics</w:t>
      </w:r>
    </w:p>
    <w:p w14:paraId="2EC89C5A" w14:textId="77777777" w:rsidR="003D1017" w:rsidRDefault="00000000">
      <w:pPr>
        <w:keepNext/>
        <w:keepLines/>
        <w:tabs>
          <w:tab w:val="left" w:pos="400"/>
        </w:tabs>
        <w:spacing w:before="200" w:after="100"/>
        <w:ind w:left="400" w:hanging="400"/>
      </w:pPr>
      <w:r>
        <w:rPr>
          <w:rFonts w:ascii="Trebuchet MS" w:hAnsi="Trebuchet MS" w:cs="Trebuchet MS"/>
          <w:b/>
          <w:bCs/>
          <w:w w:val="125"/>
          <w:sz w:val="18"/>
          <w:szCs w:val="18"/>
        </w:rPr>
        <w:lastRenderedPageBreak/>
        <w:t>IV.</w:t>
        <w:tab/>
        <w:t>RESULTS AND DISCUSSION</w:t>
      </w:r>
    </w:p>
    <w:p w14:paraId="6122E769" w14:textId="77777777" w:rsidR="003D1017" w:rsidRDefault="00000000">
      <w:pPr>
        <w:spacing w:after="100" w:line="252" w:lineRule="auto"/>
        <w:jc w:val="both"/>
      </w:pPr>
      <w:r>
        <w:rPr>
          <w:sz w:val="20"/>
          <w:szCs w:val="20"/>
        </w:rPr>
        <w:t xml:space="preserve">All results are read from the append-only ledger (results.parquet) at benchmark freeze, with mock rows excluded. Tables V to VIII fix the reporting format. Cells marked TBD are filled in by the audit and analysis scripts named in each section, and nothing is entered by hand.</w:t>
      </w:r>
    </w:p>
    <w:p w14:paraId="13148243" w14:textId="77777777" w:rsidR="003D1017" w:rsidRDefault="00000000">
      <w:pPr>
        <w:keepNext/>
        <w:keepLines/>
        <w:spacing w:before="140" w:after="60"/>
      </w:pPr>
      <w:r>
        <w:rPr>
          <w:b/>
          <w:bCs/>
          <w:i/>
          <w:iCs/>
          <w:sz w:val="20"/>
          <w:szCs w:val="20"/>
        </w:rPr>
        <w:t>A. Experimental Setup</w:t>
      </w:r>
    </w:p>
    <w:p w14:paraId="14D5F306" w14:textId="77777777" w:rsidR="003D1017" w:rsidRDefault="00000000">
      <w:pPr>
        <w:spacing w:after="100" w:line="252" w:lineRule="auto"/>
        <w:jc w:val="both"/>
      </w:pPr>
      <w:r>
        <w:rPr>
          <w:sz w:val="20"/>
          <w:szCs w:val="20"/>
        </w:rPr>
        <w:t xml:space="preserve">Every experiment runs through one harness. run_cell.py executes a single (task, model, N, seed, budget) cell, sweep.py runs the Optuna search [16], and ledger.py appends each result to results.parquet through a thread-safe, append-only writer. The baselines are built with MONAI [12] and LightGBM [15], while the foundation models are loaded from their released checkpoints [1], [2]. Each configuration is repeated with five seeds, and hyperparameters are chosen on validation folds only. We report the GPU model, driver and library versions (pinned in env/requirements.txt) alongside the ledger. A --mock mode exists purely to test the plumbing; its rows are tagged, and every analysis script excludes them. Table III and Table IV summarise the cohorts and the experimental factors.</w:t>
      </w:r>
    </w:p>
    <w:p w14:paraId="6ED8E6DF" w14:textId="77777777" w:rsidR="003D1017" w:rsidRDefault="00000000">
      <w:pPr>
        <w:keepNext/>
        <w:keepLines/>
        <w:spacing w:before="120" w:after="60"/>
        <w:jc w:val="center"/>
      </w:pPr>
      <w:r>
        <w:rPr>
          <w:b/>
          <w:bCs/>
          <w:i/>
          <w:iCs/>
          <w:sz w:val="17"/>
          <w:szCs w:val="17"/>
        </w:rPr>
        <w:t>TABLE III. Cohorts and Their Roles</w:t>
      </w:r>
    </w:p>
    <w:tbl>
      <w:tblPr>
        <w:tblW w:w="503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ayout w:type="fixed"/>
        <w:tblCellMar>
          <w:top w:w="40" w:type="dxa"/>
          <w:left w:w="70" w:type="dxa"/>
          <w:bottom w:w="40" w:type="dxa"/>
          <w:right w:w="70" w:type="dxa"/>
        </w:tblCellMar>
        <w:tblLook w:val="0000" w:firstRow="0" w:lastRow="0" w:firstColumn="0" w:lastColumn="0" w:noHBand="0" w:noVBand="0"/>
      </w:tblPr>
      <w:tblGrid>
        <w:gridCol w:w="1600"/>
        <w:gridCol w:w="2000"/>
        <w:gridCol w:w="1430"/>
      </w:tblGrid>
      <w:tr w:rsidR="003D1017" w14:paraId="1F338D60" w14:textId="77777777">
        <w:trPr>
          <w:cantSplit/>
          <w:tblHeader/>
        </w:trPr>
        <w:tc>
          <w:tcPr>
            <w:tcW w:w="1600" w:type="dxa"/>
            <w:shd w:val="clear" w:color="auto" w:fill="003087"/>
            <w:vAlign w:val="center"/>
          </w:tcPr>
          <w:p w14:paraId="121DF3F9" w14:textId="77777777" w:rsidR="003D1017" w:rsidRDefault="00000000">
            <w:pPr>
              <w:keepNext/>
              <w:keepLines/>
              <w:spacing w:before="20" w:after="20"/>
              <w:jc w:val="center"/>
            </w:pPr>
            <w:r>
              <w:rPr>
                <w:rFonts w:ascii="Times New Roman" w:hAnsi="Times New Roman" w:cs="Times New Roman"/>
                <w:b/>
                <w:bCs/>
                <w:color w:val="FFFFFF"/>
                <w:sz w:val="15"/>
                <w:szCs w:val="15"/>
              </w:rPr>
              <w:t>Cohort</w:t>
            </w:r>
          </w:p>
        </w:tc>
        <w:tc>
          <w:tcPr>
            <w:tcW w:w="2000" w:type="dxa"/>
            <w:shd w:val="clear" w:color="auto" w:fill="003087"/>
            <w:vAlign w:val="center"/>
          </w:tcPr>
          <w:p w14:paraId="22254DC8" w14:textId="77777777" w:rsidR="003D1017" w:rsidRDefault="00000000">
            <w:pPr>
              <w:keepNext/>
              <w:keepLines/>
              <w:spacing w:before="20" w:after="20"/>
              <w:jc w:val="center"/>
            </w:pPr>
            <w:r>
              <w:rPr>
                <w:rFonts w:ascii="Times New Roman" w:hAnsi="Times New Roman" w:cs="Times New Roman"/>
                <w:b/>
                <w:bCs/>
                <w:color w:val="FFFFFF"/>
                <w:sz w:val="15"/>
                <w:szCs w:val="15"/>
              </w:rPr>
              <w:t>Role</w:t>
            </w:r>
          </w:p>
        </w:tc>
        <w:tc>
          <w:tcPr>
            <w:tcW w:w="1430" w:type="dxa"/>
            <w:shd w:val="clear" w:color="auto" w:fill="003087"/>
            <w:vAlign w:val="center"/>
          </w:tcPr>
          <w:p w14:paraId="0C25BF96" w14:textId="77777777" w:rsidR="003D1017" w:rsidRDefault="00000000">
            <w:pPr>
              <w:keepNext/>
              <w:keepLines/>
              <w:spacing w:before="20" w:after="20"/>
              <w:jc w:val="center"/>
            </w:pPr>
            <w:r>
              <w:rPr>
                <w:rFonts w:ascii="Times New Roman" w:hAnsi="Times New Roman" w:cs="Times New Roman"/>
                <w:b/>
                <w:bCs/>
                <w:color w:val="FFFFFF"/>
                <w:sz w:val="15"/>
                <w:szCs w:val="15"/>
              </w:rPr>
              <w:t>Pretraining status</w:t>
            </w:r>
          </w:p>
        </w:tc>
      </w:tr>
      <w:tr w:rsidR="003D1017" w14:paraId="75990F74" w14:textId="77777777">
        <w:trPr>
          <w:cantSplit/>
        </w:trPr>
        <w:tc>
          <w:tcPr>
            <w:tcW w:w="1600" w:type="dxa"/>
            <w:shd w:val="clear" w:color="auto" w:fill="EEF3F8"/>
            <w:vAlign w:val="center"/>
          </w:tcPr>
          <w:p w14:paraId="17C351FA" w14:textId="77777777" w:rsidR="003D1017" w:rsidRDefault="00000000">
            <w:pPr>
              <w:keepNext/>
              <w:keepLines/>
              <w:spacing w:before="20" w:after="20"/>
            </w:pPr>
            <w:r>
              <w:rPr>
                <w:rFonts w:ascii="Times New Roman" w:hAnsi="Times New Roman" w:cs="Times New Roman"/>
                <w:sz w:val="15"/>
                <w:szCs w:val="15"/>
              </w:rPr>
              <w:t>AOMIC ID1000</w:t>
            </w:r>
          </w:p>
        </w:tc>
        <w:tc>
          <w:tcPr>
            <w:tcW w:w="2000" w:type="dxa"/>
            <w:shd w:val="clear" w:color="auto" w:fill="EEF3F8"/>
            <w:vAlign w:val="center"/>
          </w:tcPr>
          <w:p w14:paraId="3B2C9CD7" w14:textId="77777777" w:rsidR="003D1017" w:rsidRDefault="00000000">
            <w:pPr>
              <w:keepNext/>
              <w:keepLines/>
              <w:spacing w:before="20" w:after="20"/>
            </w:pPr>
            <w:r>
              <w:rPr>
                <w:rFonts w:ascii="Times New Roman" w:hAnsi="Times New Roman" w:cs="Times New Roman"/>
                <w:sz w:val="15"/>
                <w:szCs w:val="15"/>
              </w:rPr>
              <w:t>T1 seen arm</w:t>
            </w:r>
          </w:p>
        </w:tc>
        <w:tc>
          <w:tcPr>
            <w:tcW w:w="1430" w:type="dxa"/>
            <w:shd w:val="clear" w:color="auto" w:fill="EEF3F8"/>
            <w:vAlign w:val="center"/>
          </w:tcPr>
          <w:p w14:paraId="3989C6B6" w14:textId="77777777" w:rsidR="003D1017" w:rsidRDefault="00000000">
            <w:pPr>
              <w:keepNext/>
              <w:keepLines/>
              <w:spacing w:before="20" w:after="20"/>
              <w:jc w:val="center"/>
            </w:pPr>
            <w:r>
              <w:rPr>
                <w:rFonts w:ascii="Times New Roman" w:hAnsi="Times New Roman" w:cs="Times New Roman"/>
                <w:sz w:val="15"/>
                <w:szCs w:val="15"/>
              </w:rPr>
              <w:t>Seen</w:t>
            </w:r>
          </w:p>
        </w:tc>
      </w:tr>
      <w:tr w:rsidR="003D1017" w14:paraId="4923EE07" w14:textId="77777777">
        <w:trPr>
          <w:cantSplit/>
        </w:trPr>
        <w:tc>
          <w:tcPr>
            <w:tcW w:w="1600" w:type="dxa"/>
            <w:shd w:val="clear" w:color="auto" w:fill="FFFFFF"/>
            <w:vAlign w:val="center"/>
          </w:tcPr>
          <w:p w14:paraId="0BF2BF18" w14:textId="77777777" w:rsidR="003D1017" w:rsidRDefault="00000000">
            <w:pPr>
              <w:keepNext/>
              <w:keepLines/>
              <w:spacing w:before="20" w:after="20"/>
            </w:pPr>
            <w:r>
              <w:rPr>
                <w:rFonts w:ascii="Times New Roman" w:hAnsi="Times New Roman" w:cs="Times New Roman"/>
                <w:sz w:val="15"/>
                <w:szCs w:val="15"/>
              </w:rPr>
              <w:t>AOMIC PIOP1</w:t>
            </w:r>
          </w:p>
        </w:tc>
        <w:tc>
          <w:tcPr>
            <w:tcW w:w="2000" w:type="dxa"/>
            <w:shd w:val="clear" w:color="auto" w:fill="FFFFFF"/>
            <w:vAlign w:val="center"/>
          </w:tcPr>
          <w:p w14:paraId="7A99A932" w14:textId="77777777" w:rsidR="003D1017" w:rsidRDefault="00000000">
            <w:pPr>
              <w:keepNext/>
              <w:keepLines/>
              <w:spacing w:before="20" w:after="20"/>
            </w:pPr>
            <w:r>
              <w:rPr>
                <w:rFonts w:ascii="Times New Roman" w:hAnsi="Times New Roman" w:cs="Times New Roman"/>
                <w:sz w:val="15"/>
                <w:szCs w:val="15"/>
              </w:rPr>
              <w:t>T1 unseen arm</w:t>
            </w:r>
          </w:p>
        </w:tc>
        <w:tc>
          <w:tcPr>
            <w:tcW w:w="1430" w:type="dxa"/>
            <w:shd w:val="clear" w:color="auto" w:fill="FFFFFF"/>
            <w:vAlign w:val="center"/>
          </w:tcPr>
          <w:p w14:paraId="73FCED2E" w14:textId="77777777" w:rsidR="003D1017" w:rsidRDefault="00000000">
            <w:pPr>
              <w:keepNext/>
              <w:keepLines/>
              <w:spacing w:before="20" w:after="20"/>
              <w:jc w:val="center"/>
            </w:pPr>
            <w:r>
              <w:rPr>
                <w:rFonts w:ascii="Times New Roman" w:hAnsi="Times New Roman" w:cs="Times New Roman"/>
                <w:sz w:val="15"/>
                <w:szCs w:val="15"/>
              </w:rPr>
              <w:t>Unseen</w:t>
            </w:r>
          </w:p>
        </w:tc>
      </w:tr>
      <w:tr w:rsidR="003D1017" w14:paraId="7A39CDB4" w14:textId="77777777">
        <w:trPr>
          <w:cantSplit/>
        </w:trPr>
        <w:tc>
          <w:tcPr>
            <w:tcW w:w="1600" w:type="dxa"/>
            <w:shd w:val="clear" w:color="auto" w:fill="EEF3F8"/>
            <w:vAlign w:val="center"/>
          </w:tcPr>
          <w:p w14:paraId="026F672D" w14:textId="77777777" w:rsidR="003D1017" w:rsidRDefault="00000000">
            <w:pPr>
              <w:keepNext/>
              <w:keepLines/>
              <w:spacing w:before="20" w:after="20"/>
            </w:pPr>
            <w:r>
              <w:rPr>
                <w:rFonts w:ascii="Times New Roman" w:hAnsi="Times New Roman" w:cs="Times New Roman"/>
                <w:sz w:val="15"/>
                <w:szCs w:val="15"/>
              </w:rPr>
              <w:t>AOMIC PIOP2</w:t>
            </w:r>
          </w:p>
        </w:tc>
        <w:tc>
          <w:tcPr>
            <w:tcW w:w="2000" w:type="dxa"/>
            <w:shd w:val="clear" w:color="auto" w:fill="EEF3F8"/>
            <w:vAlign w:val="center"/>
          </w:tcPr>
          <w:p w14:paraId="06D5DAA7" w14:textId="77777777" w:rsidR="003D1017" w:rsidRDefault="00000000">
            <w:pPr>
              <w:keepNext/>
              <w:keepLines/>
              <w:spacing w:before="20" w:after="20"/>
            </w:pPr>
            <w:r>
              <w:rPr>
                <w:rFonts w:ascii="Times New Roman" w:hAnsi="Times New Roman" w:cs="Times New Roman"/>
                <w:sz w:val="15"/>
                <w:szCs w:val="15"/>
              </w:rPr>
              <w:t>T1 unseen arm</w:t>
            </w:r>
          </w:p>
        </w:tc>
        <w:tc>
          <w:tcPr>
            <w:tcW w:w="1430" w:type="dxa"/>
            <w:shd w:val="clear" w:color="auto" w:fill="EEF3F8"/>
            <w:vAlign w:val="center"/>
          </w:tcPr>
          <w:p w14:paraId="55320013" w14:textId="77777777" w:rsidR="003D1017" w:rsidRDefault="00000000">
            <w:pPr>
              <w:keepNext/>
              <w:keepLines/>
              <w:spacing w:before="20" w:after="20"/>
              <w:jc w:val="center"/>
            </w:pPr>
            <w:r>
              <w:rPr>
                <w:rFonts w:ascii="Times New Roman" w:hAnsi="Times New Roman" w:cs="Times New Roman"/>
                <w:sz w:val="15"/>
                <w:szCs w:val="15"/>
              </w:rPr>
              <w:t>Unseen</w:t>
            </w:r>
          </w:p>
        </w:tc>
      </w:tr>
      <w:tr w:rsidR="003D1017" w14:paraId="03C4A597" w14:textId="77777777">
        <w:trPr>
          <w:cantSplit/>
        </w:trPr>
        <w:tc>
          <w:tcPr>
            <w:tcW w:w="1600" w:type="dxa"/>
            <w:shd w:val="clear" w:color="auto" w:fill="FFFFFF"/>
            <w:vAlign w:val="center"/>
          </w:tcPr>
          <w:p w14:paraId="16956A21" w14:textId="77777777" w:rsidR="003D1017" w:rsidRDefault="00000000">
            <w:pPr>
              <w:keepNext/>
              <w:keepLines/>
              <w:spacing w:before="20" w:after="20"/>
            </w:pPr>
            <w:r>
              <w:rPr>
                <w:rFonts w:ascii="Times New Roman" w:hAnsi="Times New Roman" w:cs="Times New Roman"/>
                <w:sz w:val="15"/>
                <w:szCs w:val="15"/>
              </w:rPr>
              <w:t>IXI</w:t>
            </w:r>
          </w:p>
        </w:tc>
        <w:tc>
          <w:tcPr>
            <w:tcW w:w="2000" w:type="dxa"/>
            <w:shd w:val="clear" w:color="auto" w:fill="FFFFFF"/>
            <w:vAlign w:val="center"/>
          </w:tcPr>
          <w:p w14:paraId="7D1531A7" w14:textId="77777777" w:rsidR="003D1017" w:rsidRDefault="00000000">
            <w:pPr>
              <w:keepNext/>
              <w:keepLines/>
              <w:spacing w:before="20" w:after="20"/>
            </w:pPr>
            <w:r>
              <w:rPr>
                <w:rFonts w:ascii="Times New Roman" w:hAnsi="Times New Roman" w:cs="Times New Roman"/>
                <w:sz w:val="15"/>
                <w:szCs w:val="15"/>
              </w:rPr>
              <w:t>T2 training cohort; audit</w:t>
            </w:r>
          </w:p>
        </w:tc>
        <w:tc>
          <w:tcPr>
            <w:tcW w:w="1430" w:type="dxa"/>
            <w:shd w:val="clear" w:color="auto" w:fill="FFFFFF"/>
            <w:vAlign w:val="center"/>
          </w:tcPr>
          <w:p w14:paraId="311EC051" w14:textId="77777777" w:rsidR="003D1017" w:rsidRDefault="00000000">
            <w:pPr>
              <w:keepNext/>
              <w:keepLines/>
              <w:spacing w:before="20" w:after="20"/>
              <w:jc w:val="center"/>
            </w:pPr>
            <w:r>
              <w:rPr>
                <w:rFonts w:ascii="Times New Roman" w:hAnsi="Times New Roman" w:cs="Times New Roman"/>
                <w:sz w:val="15"/>
                <w:szCs w:val="15"/>
              </w:rPr>
              <w:t>Seen</w:t>
            </w:r>
          </w:p>
        </w:tc>
      </w:tr>
      <w:tr w:rsidR="003D1017" w14:paraId="580F569C" w14:textId="77777777">
        <w:trPr>
          <w:cantSplit/>
        </w:trPr>
        <w:tc>
          <w:tcPr>
            <w:tcW w:w="1600" w:type="dxa"/>
            <w:shd w:val="clear" w:color="auto" w:fill="EEF3F8"/>
            <w:vAlign w:val="center"/>
          </w:tcPr>
          <w:p w14:paraId="2A11543E" w14:textId="77777777" w:rsidR="003D1017" w:rsidRDefault="00000000">
            <w:pPr>
              <w:keepNext/>
              <w:keepLines/>
              <w:spacing w:before="20" w:after="20"/>
            </w:pPr>
            <w:r>
              <w:rPr>
                <w:rFonts w:ascii="Times New Roman" w:hAnsi="Times New Roman" w:cs="Times New Roman"/>
                <w:sz w:val="15"/>
                <w:szCs w:val="15"/>
              </w:rPr>
              <w:t>OASIS-1</w:t>
            </w:r>
          </w:p>
        </w:tc>
        <w:tc>
          <w:tcPr>
            <w:tcW w:w="2000" w:type="dxa"/>
            <w:shd w:val="clear" w:color="auto" w:fill="EEF3F8"/>
            <w:vAlign w:val="center"/>
          </w:tcPr>
          <w:p w14:paraId="75D9A5D0" w14:textId="77777777" w:rsidR="003D1017" w:rsidRDefault="00000000">
            <w:pPr>
              <w:keepNext/>
              <w:keepLines/>
              <w:spacing w:before="20" w:after="20"/>
            </w:pPr>
            <w:r>
              <w:rPr>
                <w:rFonts w:ascii="Times New Roman" w:hAnsi="Times New Roman" w:cs="Times New Roman"/>
                <w:sz w:val="15"/>
                <w:szCs w:val="15"/>
              </w:rPr>
              <w:t>T3 and audit</w:t>
            </w:r>
          </w:p>
        </w:tc>
        <w:tc>
          <w:tcPr>
            <w:tcW w:w="1430" w:type="dxa"/>
            <w:shd w:val="clear" w:color="auto" w:fill="EEF3F8"/>
            <w:vAlign w:val="center"/>
          </w:tcPr>
          <w:p w14:paraId="39BB0DDB" w14:textId="77777777" w:rsidR="003D1017" w:rsidRDefault="00000000">
            <w:pPr>
              <w:keepNext/>
              <w:keepLines/>
              <w:spacing w:before="20" w:after="20"/>
              <w:jc w:val="center"/>
            </w:pPr>
            <w:r>
              <w:rPr>
                <w:rFonts w:ascii="Times New Roman" w:hAnsi="Times New Roman" w:cs="Times New Roman"/>
                <w:sz w:val="15"/>
                <w:szCs w:val="15"/>
              </w:rPr>
              <w:t>Seen</w:t>
            </w:r>
          </w:p>
        </w:tc>
      </w:tr>
      <w:tr w:rsidR="003D1017" w14:paraId="426F8414" w14:textId="77777777">
        <w:trPr>
          <w:cantSplit/>
        </w:trPr>
        <w:tc>
          <w:tcPr>
            <w:tcW w:w="1600" w:type="dxa"/>
            <w:shd w:val="clear" w:color="auto" w:fill="FFFFFF"/>
            <w:vAlign w:val="center"/>
          </w:tcPr>
          <w:p w14:paraId="5F7A8685" w14:textId="77777777" w:rsidR="003D1017" w:rsidRDefault="00000000">
            <w:pPr>
              <w:spacing w:before="20" w:after="20"/>
            </w:pPr>
            <w:r>
              <w:rPr>
                <w:rFonts w:ascii="Times New Roman" w:hAnsi="Times New Roman" w:cs="Times New Roman"/>
                <w:sz w:val="15"/>
                <w:szCs w:val="15"/>
              </w:rPr>
              <w:t>OASIS-2</w:t>
            </w:r>
          </w:p>
        </w:tc>
        <w:tc>
          <w:tcPr>
            <w:tcW w:w="2000" w:type="dxa"/>
            <w:shd w:val="clear" w:color="auto" w:fill="FFFFFF"/>
            <w:vAlign w:val="center"/>
          </w:tcPr>
          <w:p w14:paraId="7A879313" w14:textId="77777777" w:rsidR="003D1017" w:rsidRDefault="00000000">
            <w:pPr>
              <w:spacing w:before="20" w:after="20"/>
            </w:pPr>
            <w:r>
              <w:rPr>
                <w:rFonts w:ascii="Times New Roman" w:hAnsi="Times New Roman" w:cs="Times New Roman"/>
                <w:sz w:val="15"/>
                <w:szCs w:val="15"/>
              </w:rPr>
              <w:t>Audit</w:t>
            </w:r>
          </w:p>
        </w:tc>
        <w:tc>
          <w:tcPr>
            <w:tcW w:w="1430" w:type="dxa"/>
            <w:shd w:val="clear" w:color="auto" w:fill="FFFFFF"/>
            <w:vAlign w:val="center"/>
          </w:tcPr>
          <w:p w14:paraId="3E223C49" w14:textId="77777777" w:rsidR="003D1017" w:rsidRDefault="00000000">
            <w:pPr>
              <w:spacing w:before="20" w:after="20"/>
              <w:jc w:val="center"/>
            </w:pPr>
            <w:r>
              <w:rPr>
                <w:rFonts w:ascii="Times New Roman" w:hAnsi="Times New Roman" w:cs="Times New Roman"/>
                <w:sz w:val="15"/>
                <w:szCs w:val="15"/>
              </w:rPr>
              <w:t>Seen</w:t>
            </w:r>
          </w:p>
        </w:tc>
      </w:tr>
    </w:tbl>
    <w:p w14:paraId="4B2AB8A6" w14:textId="77777777" w:rsidR="003D1017" w:rsidRDefault="00000000">
      <w:pPr>
        <w:spacing w:before="40" w:after="100"/>
      </w:pPr>
      <w:r>
        <w:rPr>
          <w:i/>
          <w:iCs/>
          <w:sz w:val="16"/>
          <w:szCs w:val="16"/>
        </w:rPr>
        <w:t>Pretraining status is the pre-registered expectation; the audit in Section IV-C measures it.</w:t>
      </w:r>
    </w:p>
    <w:p w14:paraId="40FA99C9" w14:textId="77777777" w:rsidR="003D1017" w:rsidRDefault="00000000">
      <w:pPr>
        <w:keepNext/>
        <w:keepLines/>
        <w:spacing w:before="120" w:after="60"/>
        <w:jc w:val="center"/>
      </w:pPr>
      <w:r>
        <w:rPr>
          <w:b/>
          <w:bCs/>
          <w:i/>
          <w:iCs/>
          <w:sz w:val="17"/>
          <w:szCs w:val="17"/>
        </w:rPr>
        <w:t>TABLE IV. Experimental Factors</w:t>
      </w:r>
    </w:p>
    <w:tbl>
      <w:tblPr>
        <w:tblW w:w="503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ayout w:type="fixed"/>
        <w:tblCellMar>
          <w:top w:w="40" w:type="dxa"/>
          <w:left w:w="70" w:type="dxa"/>
          <w:bottom w:w="40" w:type="dxa"/>
          <w:right w:w="70" w:type="dxa"/>
        </w:tblCellMar>
        <w:tblLook w:val="0000" w:firstRow="0" w:lastRow="0" w:firstColumn="0" w:lastColumn="0" w:noHBand="0" w:noVBand="0"/>
      </w:tblPr>
      <w:tblGrid>
        <w:gridCol w:w="1500"/>
        <w:gridCol w:w="3530"/>
      </w:tblGrid>
      <w:tr w:rsidR="003D1017" w14:paraId="5E25F301" w14:textId="77777777">
        <w:trPr>
          <w:cantSplit/>
          <w:tblHeader/>
        </w:trPr>
        <w:tc>
          <w:tcPr>
            <w:tcW w:w="1500" w:type="dxa"/>
            <w:shd w:val="clear" w:color="auto" w:fill="003087"/>
            <w:vAlign w:val="center"/>
          </w:tcPr>
          <w:p w14:paraId="68EA99EB" w14:textId="77777777" w:rsidR="003D1017" w:rsidRDefault="00000000">
            <w:pPr>
              <w:keepNext/>
              <w:keepLines/>
              <w:spacing w:before="20" w:after="20"/>
              <w:jc w:val="center"/>
            </w:pPr>
            <w:r>
              <w:rPr>
                <w:rFonts w:ascii="Times New Roman" w:hAnsi="Times New Roman" w:cs="Times New Roman"/>
                <w:b/>
                <w:bCs/>
                <w:color w:val="FFFFFF"/>
                <w:sz w:val="15"/>
                <w:szCs w:val="15"/>
              </w:rPr>
              <w:t>Factor</w:t>
            </w:r>
          </w:p>
        </w:tc>
        <w:tc>
          <w:tcPr>
            <w:tcW w:w="3530" w:type="dxa"/>
            <w:shd w:val="clear" w:color="auto" w:fill="003087"/>
            <w:vAlign w:val="center"/>
          </w:tcPr>
          <w:p w14:paraId="0B1FCDC7" w14:textId="77777777" w:rsidR="003D1017" w:rsidRDefault="00000000">
            <w:pPr>
              <w:keepNext/>
              <w:keepLines/>
              <w:spacing w:before="20" w:after="20"/>
              <w:jc w:val="center"/>
            </w:pPr>
            <w:r>
              <w:rPr>
                <w:rFonts w:ascii="Times New Roman" w:hAnsi="Times New Roman" w:cs="Times New Roman"/>
                <w:b/>
                <w:bCs/>
                <w:color w:val="FFFFFF"/>
                <w:sz w:val="15"/>
                <w:szCs w:val="15"/>
              </w:rPr>
              <w:t>Levels</w:t>
            </w:r>
          </w:p>
        </w:tc>
      </w:tr>
      <w:tr w:rsidR="003D1017" w14:paraId="0E86ED9E" w14:textId="77777777">
        <w:trPr>
          <w:cantSplit/>
        </w:trPr>
        <w:tc>
          <w:tcPr>
            <w:tcW w:w="1500" w:type="dxa"/>
            <w:shd w:val="clear" w:color="auto" w:fill="EEF3F8"/>
            <w:vAlign w:val="center"/>
          </w:tcPr>
          <w:p w14:paraId="70E8518A" w14:textId="77777777" w:rsidR="003D1017" w:rsidRDefault="00000000">
            <w:pPr>
              <w:keepNext/>
              <w:keepLines/>
              <w:spacing w:before="20" w:after="20"/>
            </w:pPr>
            <w:r>
              <w:rPr>
                <w:rFonts w:ascii="Times New Roman" w:hAnsi="Times New Roman" w:cs="Times New Roman"/>
                <w:sz w:val="15"/>
                <w:szCs w:val="15"/>
              </w:rPr>
              <w:t>Task</w:t>
            </w:r>
          </w:p>
        </w:tc>
        <w:tc>
          <w:tcPr>
            <w:tcW w:w="3530" w:type="dxa"/>
            <w:shd w:val="clear" w:color="auto" w:fill="EEF3F8"/>
            <w:vAlign w:val="center"/>
          </w:tcPr>
          <w:p w14:paraId="1B8D15B8" w14:textId="77777777" w:rsidR="003D1017" w:rsidRDefault="00000000">
            <w:pPr>
              <w:keepNext/>
              <w:keepLines/>
              <w:spacing w:before="20" w:after="20"/>
            </w:pPr>
            <w:r>
              <w:rPr>
                <w:rFonts w:ascii="Times New Roman" w:hAnsi="Times New Roman" w:cs="Times New Roman"/>
                <w:sz w:val="15"/>
                <w:szCs w:val="15"/>
              </w:rPr>
              <w:t>T1 (AOMIC brain age), T2 (IXI to PIOP), T3 (OASIS dementia)</w:t>
            </w:r>
          </w:p>
        </w:tc>
      </w:tr>
      <w:tr w:rsidR="003D1017" w14:paraId="1928213D" w14:textId="77777777">
        <w:trPr>
          <w:cantSplit/>
        </w:trPr>
        <w:tc>
          <w:tcPr>
            <w:tcW w:w="1500" w:type="dxa"/>
            <w:shd w:val="clear" w:color="auto" w:fill="FFFFFF"/>
            <w:vAlign w:val="center"/>
          </w:tcPr>
          <w:p w14:paraId="69567B98" w14:textId="77777777" w:rsidR="003D1017" w:rsidRDefault="00000000">
            <w:pPr>
              <w:keepNext/>
              <w:keepLines/>
              <w:spacing w:before="20" w:after="20"/>
            </w:pPr>
            <w:r>
              <w:rPr>
                <w:rFonts w:ascii="Times New Roman" w:hAnsi="Times New Roman" w:cs="Times New Roman"/>
                <w:sz w:val="15"/>
                <w:szCs w:val="15"/>
              </w:rPr>
              <w:t>Cohort (T1)</w:t>
            </w:r>
          </w:p>
        </w:tc>
        <w:tc>
          <w:tcPr>
            <w:tcW w:w="3530" w:type="dxa"/>
            <w:shd w:val="clear" w:color="auto" w:fill="FFFFFF"/>
            <w:vAlign w:val="center"/>
          </w:tcPr>
          <w:p w14:paraId="35D07513" w14:textId="77777777" w:rsidR="003D1017" w:rsidRDefault="00000000">
            <w:pPr>
              <w:keepNext/>
              <w:keepLines/>
              <w:spacing w:before="20" w:after="20"/>
            </w:pPr>
            <w:r>
              <w:rPr>
                <w:rFonts w:ascii="Times New Roman" w:hAnsi="Times New Roman" w:cs="Times New Roman"/>
                <w:sz w:val="15"/>
                <w:szCs w:val="15"/>
              </w:rPr>
              <w:t>Seen (ID1000); unseen (PIOP1, PIOP2)</w:t>
            </w:r>
          </w:p>
        </w:tc>
      </w:tr>
      <w:tr w:rsidR="003D1017" w14:paraId="1B5B4C3B" w14:textId="77777777">
        <w:trPr>
          <w:cantSplit/>
        </w:trPr>
        <w:tc>
          <w:tcPr>
            <w:tcW w:w="1500" w:type="dxa"/>
            <w:shd w:val="clear" w:color="auto" w:fill="EEF3F8"/>
            <w:vAlign w:val="center"/>
          </w:tcPr>
          <w:p w14:paraId="338FD1A4" w14:textId="77777777" w:rsidR="003D1017" w:rsidRDefault="00000000">
            <w:pPr>
              <w:keepNext/>
              <w:keepLines/>
              <w:spacing w:before="20" w:after="20"/>
            </w:pPr>
            <w:r>
              <w:rPr>
                <w:rFonts w:ascii="Times New Roman" w:hAnsi="Times New Roman" w:cs="Times New Roman"/>
                <w:sz w:val="15"/>
                <w:szCs w:val="15"/>
              </w:rPr>
              <w:t>Label budget N</w:t>
            </w:r>
          </w:p>
        </w:tc>
        <w:tc>
          <w:tcPr>
            <w:tcW w:w="3530" w:type="dxa"/>
            <w:shd w:val="clear" w:color="auto" w:fill="EEF3F8"/>
            <w:vAlign w:val="center"/>
          </w:tcPr>
          <w:p w14:paraId="2F6A4810" w14:textId="77777777" w:rsidR="003D1017" w:rsidRDefault="00000000">
            <w:pPr>
              <w:keepNext/>
              <w:keepLines/>
              <w:spacing w:before="20" w:after="20"/>
            </w:pPr>
            <w:r>
              <w:rPr>
                <w:rFonts w:ascii="Times New Roman" w:hAnsi="Times New Roman" w:cs="Times New Roman"/>
                <w:sz w:val="15"/>
                <w:szCs w:val="15"/>
              </w:rPr>
              <w:t>25, 50, 100, 250, 500, all</w:t>
            </w:r>
          </w:p>
        </w:tc>
      </w:tr>
      <w:tr w:rsidR="003D1017" w14:paraId="537B0FA6" w14:textId="77777777">
        <w:trPr>
          <w:cantSplit/>
        </w:trPr>
        <w:tc>
          <w:tcPr>
            <w:tcW w:w="1500" w:type="dxa"/>
            <w:shd w:val="clear" w:color="auto" w:fill="FFFFFF"/>
            <w:vAlign w:val="center"/>
          </w:tcPr>
          <w:p w14:paraId="188832AD" w14:textId="77777777" w:rsidR="003D1017" w:rsidRDefault="00000000">
            <w:pPr>
              <w:keepNext/>
              <w:keepLines/>
              <w:spacing w:before="20" w:after="20"/>
            </w:pPr>
            <w:r>
              <w:rPr>
                <w:rFonts w:ascii="Times New Roman" w:hAnsi="Times New Roman" w:cs="Times New Roman"/>
                <w:sz w:val="15"/>
                <w:szCs w:val="15"/>
              </w:rPr>
              <w:t>Optuna trials</w:t>
            </w:r>
          </w:p>
        </w:tc>
        <w:tc>
          <w:tcPr>
            <w:tcW w:w="3530" w:type="dxa"/>
            <w:shd w:val="clear" w:color="auto" w:fill="FFFFFF"/>
            <w:vAlign w:val="center"/>
          </w:tcPr>
          <w:p w14:paraId="3C0CD603" w14:textId="77777777" w:rsidR="003D1017" w:rsidRDefault="00000000">
            <w:pPr>
              <w:keepNext/>
              <w:keepLines/>
              <w:spacing w:before="20" w:after="20"/>
            </w:pPr>
            <w:r>
              <w:rPr>
                <w:rFonts w:ascii="Times New Roman" w:hAnsi="Times New Roman" w:cs="Times New Roman"/>
                <w:sz w:val="15"/>
                <w:szCs w:val="15"/>
              </w:rPr>
              <w:t>5, 20, 50</w:t>
            </w:r>
          </w:p>
        </w:tc>
      </w:tr>
      <w:tr w:rsidR="003D1017" w14:paraId="12101F07" w14:textId="77777777">
        <w:trPr>
          <w:cantSplit/>
        </w:trPr>
        <w:tc>
          <w:tcPr>
            <w:tcW w:w="1500" w:type="dxa"/>
            <w:shd w:val="clear" w:color="auto" w:fill="EEF3F8"/>
            <w:vAlign w:val="center"/>
          </w:tcPr>
          <w:p w14:paraId="331435FD" w14:textId="77777777" w:rsidR="003D1017" w:rsidRDefault="00000000">
            <w:pPr>
              <w:keepNext/>
              <w:keepLines/>
              <w:spacing w:before="20" w:after="20"/>
            </w:pPr>
            <w:r>
              <w:rPr>
                <w:rFonts w:ascii="Times New Roman" w:hAnsi="Times New Roman" w:cs="Times New Roman"/>
                <w:sz w:val="15"/>
                <w:szCs w:val="15"/>
              </w:rPr>
              <w:t>Seeds</w:t>
            </w:r>
          </w:p>
        </w:tc>
        <w:tc>
          <w:tcPr>
            <w:tcW w:w="3530" w:type="dxa"/>
            <w:shd w:val="clear" w:color="auto" w:fill="EEF3F8"/>
            <w:vAlign w:val="center"/>
          </w:tcPr>
          <w:p w14:paraId="2967E6DB" w14:textId="77777777" w:rsidR="003D1017" w:rsidRDefault="00000000">
            <w:pPr>
              <w:keepNext/>
              <w:keepLines/>
              <w:spacing w:before="20" w:after="20"/>
            </w:pPr>
            <w:r>
              <w:rPr>
                <w:rFonts w:ascii="Times New Roman" w:hAnsi="Times New Roman" w:cs="Times New Roman"/>
                <w:sz w:val="15"/>
                <w:szCs w:val="15"/>
              </w:rPr>
              <w:t>42, 1337, 2026, 7, 99</w:t>
            </w:r>
          </w:p>
        </w:tc>
      </w:tr>
      <w:tr w:rsidR="003D1017" w14:paraId="6B79C337" w14:textId="77777777">
        <w:trPr>
          <w:cantSplit/>
        </w:trPr>
        <w:tc>
          <w:tcPr>
            <w:tcW w:w="1500" w:type="dxa"/>
            <w:shd w:val="clear" w:color="auto" w:fill="FFFFFF"/>
            <w:vAlign w:val="center"/>
          </w:tcPr>
          <w:p w14:paraId="0F82FD41" w14:textId="77777777" w:rsidR="003D1017" w:rsidRDefault="00000000">
            <w:pPr>
              <w:spacing w:before="20" w:after="20"/>
            </w:pPr>
            <w:r>
              <w:rPr>
                <w:rFonts w:ascii="Times New Roman" w:hAnsi="Times New Roman" w:cs="Times New Roman"/>
                <w:sz w:val="15"/>
                <w:szCs w:val="15"/>
              </w:rPr>
              <w:t>Primary metric (T1)</w:t>
            </w:r>
          </w:p>
        </w:tc>
        <w:tc>
          <w:tcPr>
            <w:tcW w:w="3530" w:type="dxa"/>
            <w:shd w:val="clear" w:color="auto" w:fill="FFFFFF"/>
            <w:vAlign w:val="center"/>
          </w:tcPr>
          <w:p w14:paraId="2F3A5273" w14:textId="77777777" w:rsidR="003D1017" w:rsidRDefault="00000000">
            <w:pPr>
              <w:spacing w:before="20" w:after="20"/>
            </w:pPr>
            <w:r>
              <w:rPr>
                <w:rFonts w:ascii="Times New Roman" w:hAnsi="Times New Roman" w:cs="Times New Roman"/>
                <w:sz w:val="15"/>
                <w:szCs w:val="15"/>
              </w:rPr>
              <w:t>Mean absolute error (MAE), years</w:t>
            </w:r>
          </w:p>
        </w:tc>
      </w:tr>
    </w:tbl>
    <w:p w14:paraId="39431316" w14:textId="77777777" w:rsidR="003D1017" w:rsidRDefault="003D1017">
      <w:pPr>
        <w:spacing w:after="60"/>
      </w:pPr>
    </w:p>
    <w:p w14:paraId="5D400171" w14:textId="77777777" w:rsidR="003D1017" w:rsidRDefault="00000000">
      <w:pPr>
        <w:keepNext/>
        <w:keepLines/>
        <w:spacing w:before="140" w:after="60"/>
      </w:pPr>
      <w:r>
        <w:rPr>
          <w:b/>
          <w:bCs/>
          <w:i/>
          <w:iCs/>
          <w:sz w:val="20"/>
          <w:szCs w:val="20"/>
        </w:rPr>
        <w:t>B. Dataset Description</w:t>
      </w:r>
    </w:p>
    <w:p w14:paraId="7B842CB4" w14:textId="77777777" w:rsidR="003D1017" w:rsidRDefault="00000000">
      <w:pPr>
        <w:spacing w:after="100" w:line="252" w:lineRule="auto"/>
        <w:jc w:val="both"/>
      </w:pPr>
      <w:r>
        <w:rPr>
          <w:sz w:val="20"/>
          <w:szCs w:val="20"/>
        </w:rPr>
        <w:t xml:space="preserve">The AOMIC releases contain 928 participants in ID1000, 216 in PIOP1 and 226 in PIOP2 [11]. After the 19.0 to 26.0 year age restriction and QC exclusions the analysed sizes are smaller, and the audit scripts report them. IXI [21] and OASIS [19], [20] enter the audit and tasks T2 and T3. Each AOMIC participant record includes age and sex, which we use for stratified splitting. The age window is narrow, so the target has low variance. For that reason a mean-age predictor appears as a reference row in every MAE table, to show the error floor.</w:t>
      </w:r>
    </w:p>
    <w:p w14:paraId="18B401BC" w14:textId="77777777" w:rsidR="003D1017" w:rsidRDefault="00000000">
      <w:pPr>
        <w:keepNext/>
        <w:keepLines/>
        <w:spacing w:before="140" w:after="60"/>
      </w:pPr>
      <w:r>
        <w:rPr>
          <w:b/>
          <w:bCs/>
          <w:i/>
          <w:iCs/>
          <w:sz w:val="20"/>
          <w:szCs w:val="20"/>
        </w:rPr>
        <w:t>C. Contamination Audit</w:t>
      </w:r>
    </w:p>
    <w:p w14:paraId="4CB34504" w14:textId="77777777" w:rsidR="003D1017" w:rsidRDefault="00000000">
      <w:pPr>
        <w:spacing w:after="100" w:line="252" w:lineRule="auto"/>
        <w:jc w:val="both"/>
      </w:pPr>
      <w:r>
        <w:rPr>
          <w:sz w:val="20"/>
          <w:szCs w:val="20"/>
        </w:rPr>
        <w:t xml:space="preserve">Table V is the output of report_contamination.py. A cohort with overlap near 100% counts as seen, and one near 0% counts as unseen. Anything in between is reported, but that cohort is excluded from the seen-versus-unseen contrast.</w:t>
      </w:r>
    </w:p>
    <w:p w14:paraId="146B7B61" w14:textId="77777777" w:rsidR="003D1017" w:rsidRDefault="00000000">
      <w:pPr>
        <w:keepNext/>
        <w:keepLines/>
        <w:spacing w:before="120" w:after="60"/>
        <w:jc w:val="center"/>
      </w:pPr>
      <w:r>
        <w:rPr>
          <w:b/>
          <w:bCs/>
          <w:i/>
          <w:iCs/>
          <w:sz w:val="17"/>
          <w:szCs w:val="17"/>
        </w:rPr>
        <w:t>TABLE V. Subject-Level Overlap Between Cohorts and the Pretraining Manifest</w:t>
      </w:r>
    </w:p>
    <w:tbl>
      <w:tblPr>
        <w:tblW w:w="503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ayout w:type="fixed"/>
        <w:tblCellMar>
          <w:top w:w="40" w:type="dxa"/>
          <w:left w:w="70" w:type="dxa"/>
          <w:bottom w:w="40" w:type="dxa"/>
          <w:right w:w="70" w:type="dxa"/>
        </w:tblCellMar>
        <w:tblLook w:val="0000" w:firstRow="0" w:lastRow="0" w:firstColumn="0" w:lastColumn="0" w:noHBand="0" w:noVBand="0"/>
      </w:tblPr>
      <w:tblGrid>
        <w:gridCol w:w="1700"/>
        <w:gridCol w:w="1100"/>
        <w:gridCol w:w="1230"/>
        <w:gridCol w:w="1000"/>
      </w:tblGrid>
      <w:tr w:rsidR="003D1017" w14:paraId="650A3C5A" w14:textId="77777777">
        <w:trPr>
          <w:cantSplit/>
          <w:tblHeader/>
        </w:trPr>
        <w:tc>
          <w:tcPr>
            <w:tcW w:w="1700" w:type="dxa"/>
            <w:shd w:val="clear" w:color="auto" w:fill="003087"/>
            <w:vAlign w:val="center"/>
          </w:tcPr>
          <w:p w14:paraId="7A68F24E" w14:textId="77777777" w:rsidR="003D1017" w:rsidRDefault="00000000">
            <w:pPr>
              <w:keepNext/>
              <w:keepLines/>
              <w:spacing w:before="20" w:after="20"/>
              <w:jc w:val="center"/>
            </w:pPr>
            <w:r>
              <w:rPr>
                <w:rFonts w:ascii="Times New Roman" w:hAnsi="Times New Roman" w:cs="Times New Roman"/>
                <w:b/>
                <w:bCs/>
                <w:color w:val="FFFFFF"/>
                <w:sz w:val="15"/>
                <w:szCs w:val="15"/>
              </w:rPr>
              <w:t>Cohort</w:t>
            </w:r>
          </w:p>
        </w:tc>
        <w:tc>
          <w:tcPr>
            <w:tcW w:w="1100" w:type="dxa"/>
            <w:shd w:val="clear" w:color="auto" w:fill="003087"/>
            <w:vAlign w:val="center"/>
          </w:tcPr>
          <w:p w14:paraId="272491C6" w14:textId="77777777" w:rsidR="003D1017" w:rsidRDefault="00000000">
            <w:pPr>
              <w:keepNext/>
              <w:keepLines/>
              <w:spacing w:before="20" w:after="20"/>
              <w:jc w:val="center"/>
            </w:pPr>
            <w:r>
              <w:rPr>
                <w:rFonts w:ascii="Times New Roman" w:hAnsi="Times New Roman" w:cs="Times New Roman"/>
                <w:b/>
                <w:bCs/>
                <w:color w:val="FFFFFF"/>
                <w:sz w:val="15"/>
                <w:szCs w:val="15"/>
              </w:rPr>
              <w:t>Subjects</w:t>
            </w:r>
          </w:p>
        </w:tc>
        <w:tc>
          <w:tcPr>
            <w:tcW w:w="1230" w:type="dxa"/>
            <w:shd w:val="clear" w:color="auto" w:fill="003087"/>
            <w:vAlign w:val="center"/>
          </w:tcPr>
          <w:p w14:paraId="40F92116" w14:textId="77777777" w:rsidR="003D1017" w:rsidRDefault="00000000">
            <w:pPr>
              <w:keepNext/>
              <w:keepLines/>
              <w:spacing w:before="20" w:after="20"/>
              <w:jc w:val="center"/>
            </w:pPr>
            <w:r>
              <w:rPr>
                <w:rFonts w:ascii="Times New Roman" w:hAnsi="Times New Roman" w:cs="Times New Roman"/>
                <w:b/>
                <w:bCs/>
                <w:color w:val="FFFFFF"/>
                <w:sz w:val="15"/>
                <w:szCs w:val="15"/>
              </w:rPr>
              <w:t>In manifest</w:t>
            </w:r>
          </w:p>
        </w:tc>
        <w:tc>
          <w:tcPr>
            <w:tcW w:w="1000" w:type="dxa"/>
            <w:shd w:val="clear" w:color="auto" w:fill="003087"/>
            <w:vAlign w:val="center"/>
          </w:tcPr>
          <w:p w14:paraId="30771FC3" w14:textId="77777777" w:rsidR="003D1017" w:rsidRDefault="00000000">
            <w:pPr>
              <w:keepNext/>
              <w:keepLines/>
              <w:spacing w:before="20" w:after="20"/>
              <w:jc w:val="center"/>
            </w:pPr>
            <w:r>
              <w:rPr>
                <w:rFonts w:ascii="Times New Roman" w:hAnsi="Times New Roman" w:cs="Times New Roman"/>
                <w:b/>
                <w:bCs/>
                <w:color w:val="FFFFFF"/>
                <w:sz w:val="15"/>
                <w:szCs w:val="15"/>
              </w:rPr>
              <w:t>O(c), %</w:t>
            </w:r>
          </w:p>
        </w:tc>
      </w:tr>
      <w:tr w:rsidR="003D1017" w14:paraId="5218B8B6" w14:textId="77777777">
        <w:trPr>
          <w:cantSplit/>
        </w:trPr>
        <w:tc>
          <w:tcPr>
            <w:tcW w:w="1700" w:type="dxa"/>
            <w:shd w:val="clear" w:color="auto" w:fill="EEF3F8"/>
            <w:vAlign w:val="center"/>
          </w:tcPr>
          <w:p w14:paraId="54BA3198" w14:textId="77777777" w:rsidR="003D1017" w:rsidRDefault="00000000">
            <w:pPr>
              <w:keepNext/>
              <w:keepLines/>
              <w:spacing w:before="20" w:after="20"/>
              <w:jc w:val="center"/>
            </w:pPr>
            <w:r>
              <w:rPr>
                <w:rFonts w:ascii="Times New Roman" w:hAnsi="Times New Roman" w:cs="Times New Roman"/>
                <w:sz w:val="15"/>
                <w:szCs w:val="15"/>
              </w:rPr>
              <w:t>AOMIC ID1000</w:t>
            </w:r>
          </w:p>
        </w:tc>
        <w:tc>
          <w:tcPr>
            <w:tcW w:w="1100" w:type="dxa"/>
            <w:shd w:val="clear" w:color="auto" w:fill="EEF3F8"/>
            <w:vAlign w:val="center"/>
          </w:tcPr>
          <w:p w14:paraId="060D7973" w14:textId="77777777" w:rsidR="003D1017" w:rsidRDefault="00000000">
            <w:pPr>
              <w:keepNext/>
              <w:keepLines/>
              <w:spacing w:before="20" w:after="20"/>
              <w:jc w:val="center"/>
            </w:pPr>
            <w:r>
              <w:rPr>
                <w:rFonts w:ascii="Times New Roman" w:hAnsi="Times New Roman" w:cs="Times New Roman"/>
                <w:sz w:val="15"/>
                <w:szCs w:val="15"/>
              </w:rPr>
              <w:t>TBD</w:t>
            </w:r>
          </w:p>
        </w:tc>
        <w:tc>
          <w:tcPr>
            <w:tcW w:w="1230" w:type="dxa"/>
            <w:shd w:val="clear" w:color="auto" w:fill="EEF3F8"/>
            <w:vAlign w:val="center"/>
          </w:tcPr>
          <w:p w14:paraId="4DF8F377" w14:textId="77777777" w:rsidR="003D1017" w:rsidRDefault="00000000">
            <w:pPr>
              <w:keepNext/>
              <w:keepLines/>
              <w:spacing w:before="20" w:after="20"/>
              <w:jc w:val="center"/>
            </w:pPr>
            <w:r>
              <w:rPr>
                <w:rFonts w:ascii="Times New Roman" w:hAnsi="Times New Roman" w:cs="Times New Roman"/>
                <w:sz w:val="15"/>
                <w:szCs w:val="15"/>
              </w:rPr>
              <w:t>TBD</w:t>
            </w:r>
          </w:p>
        </w:tc>
        <w:tc>
          <w:tcPr>
            <w:tcW w:w="1000" w:type="dxa"/>
            <w:shd w:val="clear" w:color="auto" w:fill="EEF3F8"/>
            <w:vAlign w:val="center"/>
          </w:tcPr>
          <w:p w14:paraId="62A0E908" w14:textId="77777777" w:rsidR="003D1017" w:rsidRDefault="00000000">
            <w:pPr>
              <w:keepNext/>
              <w:keepLines/>
              <w:spacing w:before="20" w:after="20"/>
              <w:jc w:val="center"/>
            </w:pPr>
            <w:r>
              <w:rPr>
                <w:rFonts w:ascii="Times New Roman" w:hAnsi="Times New Roman" w:cs="Times New Roman"/>
                <w:sz w:val="15"/>
                <w:szCs w:val="15"/>
              </w:rPr>
              <w:t>TBD</w:t>
            </w:r>
          </w:p>
        </w:tc>
      </w:tr>
      <w:tr w:rsidR="003D1017" w14:paraId="1CBBF500" w14:textId="77777777">
        <w:trPr>
          <w:cantSplit/>
        </w:trPr>
        <w:tc>
          <w:tcPr>
            <w:tcW w:w="1700" w:type="dxa"/>
            <w:shd w:val="clear" w:color="auto" w:fill="FFFFFF"/>
            <w:vAlign w:val="center"/>
          </w:tcPr>
          <w:p w14:paraId="19731209" w14:textId="77777777" w:rsidR="003D1017" w:rsidRDefault="00000000">
            <w:pPr>
              <w:keepNext/>
              <w:keepLines/>
              <w:spacing w:before="20" w:after="20"/>
              <w:jc w:val="center"/>
            </w:pPr>
            <w:r>
              <w:rPr>
                <w:rFonts w:ascii="Times New Roman" w:hAnsi="Times New Roman" w:cs="Times New Roman"/>
                <w:sz w:val="15"/>
                <w:szCs w:val="15"/>
              </w:rPr>
              <w:t>AOMIC PIOP1</w:t>
            </w:r>
          </w:p>
        </w:tc>
        <w:tc>
          <w:tcPr>
            <w:tcW w:w="1100" w:type="dxa"/>
            <w:shd w:val="clear" w:color="auto" w:fill="FFFFFF"/>
            <w:vAlign w:val="center"/>
          </w:tcPr>
          <w:p w14:paraId="6E8796AB" w14:textId="77777777" w:rsidR="003D1017" w:rsidRDefault="00000000">
            <w:pPr>
              <w:keepNext/>
              <w:keepLines/>
              <w:spacing w:before="20" w:after="20"/>
              <w:jc w:val="center"/>
            </w:pPr>
            <w:r>
              <w:rPr>
                <w:rFonts w:ascii="Times New Roman" w:hAnsi="Times New Roman" w:cs="Times New Roman"/>
                <w:sz w:val="15"/>
                <w:szCs w:val="15"/>
              </w:rPr>
              <w:t>TBD</w:t>
            </w:r>
          </w:p>
        </w:tc>
        <w:tc>
          <w:tcPr>
            <w:tcW w:w="1230" w:type="dxa"/>
            <w:shd w:val="clear" w:color="auto" w:fill="FFFFFF"/>
            <w:vAlign w:val="center"/>
          </w:tcPr>
          <w:p w14:paraId="62AC0F30" w14:textId="77777777" w:rsidR="003D1017" w:rsidRDefault="00000000">
            <w:pPr>
              <w:keepNext/>
              <w:keepLines/>
              <w:spacing w:before="20" w:after="20"/>
              <w:jc w:val="center"/>
            </w:pPr>
            <w:r>
              <w:rPr>
                <w:rFonts w:ascii="Times New Roman" w:hAnsi="Times New Roman" w:cs="Times New Roman"/>
                <w:sz w:val="15"/>
                <w:szCs w:val="15"/>
              </w:rPr>
              <w:t>TBD</w:t>
            </w:r>
          </w:p>
        </w:tc>
        <w:tc>
          <w:tcPr>
            <w:tcW w:w="1000" w:type="dxa"/>
            <w:shd w:val="clear" w:color="auto" w:fill="FFFFFF"/>
            <w:vAlign w:val="center"/>
          </w:tcPr>
          <w:p w14:paraId="7DCF8205" w14:textId="77777777" w:rsidR="003D1017" w:rsidRDefault="00000000">
            <w:pPr>
              <w:keepNext/>
              <w:keepLines/>
              <w:spacing w:before="20" w:after="20"/>
              <w:jc w:val="center"/>
            </w:pPr>
            <w:r>
              <w:rPr>
                <w:rFonts w:ascii="Times New Roman" w:hAnsi="Times New Roman" w:cs="Times New Roman"/>
                <w:sz w:val="15"/>
                <w:szCs w:val="15"/>
              </w:rPr>
              <w:t>TBD</w:t>
            </w:r>
          </w:p>
        </w:tc>
      </w:tr>
      <w:tr w:rsidR="003D1017" w14:paraId="2130488E" w14:textId="77777777">
        <w:trPr>
          <w:cantSplit/>
        </w:trPr>
        <w:tc>
          <w:tcPr>
            <w:tcW w:w="1700" w:type="dxa"/>
            <w:shd w:val="clear" w:color="auto" w:fill="EEF3F8"/>
            <w:vAlign w:val="center"/>
          </w:tcPr>
          <w:p w14:paraId="71B2CC26" w14:textId="77777777" w:rsidR="003D1017" w:rsidRDefault="00000000">
            <w:pPr>
              <w:keepNext/>
              <w:keepLines/>
              <w:spacing w:before="20" w:after="20"/>
              <w:jc w:val="center"/>
            </w:pPr>
            <w:r>
              <w:rPr>
                <w:rFonts w:ascii="Times New Roman" w:hAnsi="Times New Roman" w:cs="Times New Roman"/>
                <w:sz w:val="15"/>
                <w:szCs w:val="15"/>
              </w:rPr>
              <w:t>AOMIC PIOP2</w:t>
            </w:r>
          </w:p>
        </w:tc>
        <w:tc>
          <w:tcPr>
            <w:tcW w:w="1100" w:type="dxa"/>
            <w:shd w:val="clear" w:color="auto" w:fill="EEF3F8"/>
            <w:vAlign w:val="center"/>
          </w:tcPr>
          <w:p w14:paraId="734ED51F" w14:textId="77777777" w:rsidR="003D1017" w:rsidRDefault="00000000">
            <w:pPr>
              <w:keepNext/>
              <w:keepLines/>
              <w:spacing w:before="20" w:after="20"/>
              <w:jc w:val="center"/>
            </w:pPr>
            <w:r>
              <w:rPr>
                <w:rFonts w:ascii="Times New Roman" w:hAnsi="Times New Roman" w:cs="Times New Roman"/>
                <w:sz w:val="15"/>
                <w:szCs w:val="15"/>
              </w:rPr>
              <w:t>TBD</w:t>
            </w:r>
          </w:p>
        </w:tc>
        <w:tc>
          <w:tcPr>
            <w:tcW w:w="1230" w:type="dxa"/>
            <w:shd w:val="clear" w:color="auto" w:fill="EEF3F8"/>
            <w:vAlign w:val="center"/>
          </w:tcPr>
          <w:p w14:paraId="32530843" w14:textId="77777777" w:rsidR="003D1017" w:rsidRDefault="00000000">
            <w:pPr>
              <w:keepNext/>
              <w:keepLines/>
              <w:spacing w:before="20" w:after="20"/>
              <w:jc w:val="center"/>
            </w:pPr>
            <w:r>
              <w:rPr>
                <w:rFonts w:ascii="Times New Roman" w:hAnsi="Times New Roman" w:cs="Times New Roman"/>
                <w:sz w:val="15"/>
                <w:szCs w:val="15"/>
              </w:rPr>
              <w:t>TBD</w:t>
            </w:r>
          </w:p>
        </w:tc>
        <w:tc>
          <w:tcPr>
            <w:tcW w:w="1000" w:type="dxa"/>
            <w:shd w:val="clear" w:color="auto" w:fill="EEF3F8"/>
            <w:vAlign w:val="center"/>
          </w:tcPr>
          <w:p w14:paraId="3670D1E0" w14:textId="77777777" w:rsidR="003D1017" w:rsidRDefault="00000000">
            <w:pPr>
              <w:keepNext/>
              <w:keepLines/>
              <w:spacing w:before="20" w:after="20"/>
              <w:jc w:val="center"/>
            </w:pPr>
            <w:r>
              <w:rPr>
                <w:rFonts w:ascii="Times New Roman" w:hAnsi="Times New Roman" w:cs="Times New Roman"/>
                <w:sz w:val="15"/>
                <w:szCs w:val="15"/>
              </w:rPr>
              <w:t>TBD</w:t>
            </w:r>
          </w:p>
        </w:tc>
      </w:tr>
      <w:tr w:rsidR="003D1017" w14:paraId="68CE4458" w14:textId="77777777">
        <w:trPr>
          <w:cantSplit/>
        </w:trPr>
        <w:tc>
          <w:tcPr>
            <w:tcW w:w="1700" w:type="dxa"/>
            <w:shd w:val="clear" w:color="auto" w:fill="FFFFFF"/>
            <w:vAlign w:val="center"/>
          </w:tcPr>
          <w:p w14:paraId="545C42AE" w14:textId="77777777" w:rsidR="003D1017" w:rsidRDefault="00000000">
            <w:pPr>
              <w:keepNext/>
              <w:keepLines/>
              <w:spacing w:before="20" w:after="20"/>
              <w:jc w:val="center"/>
            </w:pPr>
            <w:r>
              <w:rPr>
                <w:rFonts w:ascii="Times New Roman" w:hAnsi="Times New Roman" w:cs="Times New Roman"/>
                <w:sz w:val="15"/>
                <w:szCs w:val="15"/>
              </w:rPr>
              <w:t>IXI</w:t>
            </w:r>
          </w:p>
        </w:tc>
        <w:tc>
          <w:tcPr>
            <w:tcW w:w="1100" w:type="dxa"/>
            <w:shd w:val="clear" w:color="auto" w:fill="FFFFFF"/>
            <w:vAlign w:val="center"/>
          </w:tcPr>
          <w:p w14:paraId="7276F7E8" w14:textId="77777777" w:rsidR="003D1017" w:rsidRDefault="00000000">
            <w:pPr>
              <w:keepNext/>
              <w:keepLines/>
              <w:spacing w:before="20" w:after="20"/>
              <w:jc w:val="center"/>
            </w:pPr>
            <w:r>
              <w:rPr>
                <w:rFonts w:ascii="Times New Roman" w:hAnsi="Times New Roman" w:cs="Times New Roman"/>
                <w:sz w:val="15"/>
                <w:szCs w:val="15"/>
              </w:rPr>
              <w:t>TBD</w:t>
            </w:r>
          </w:p>
        </w:tc>
        <w:tc>
          <w:tcPr>
            <w:tcW w:w="1230" w:type="dxa"/>
            <w:shd w:val="clear" w:color="auto" w:fill="FFFFFF"/>
            <w:vAlign w:val="center"/>
          </w:tcPr>
          <w:p w14:paraId="5911724C" w14:textId="77777777" w:rsidR="003D1017" w:rsidRDefault="00000000">
            <w:pPr>
              <w:keepNext/>
              <w:keepLines/>
              <w:spacing w:before="20" w:after="20"/>
              <w:jc w:val="center"/>
            </w:pPr>
            <w:r>
              <w:rPr>
                <w:rFonts w:ascii="Times New Roman" w:hAnsi="Times New Roman" w:cs="Times New Roman"/>
                <w:sz w:val="15"/>
                <w:szCs w:val="15"/>
              </w:rPr>
              <w:t>TBD</w:t>
            </w:r>
          </w:p>
        </w:tc>
        <w:tc>
          <w:tcPr>
            <w:tcW w:w="1000" w:type="dxa"/>
            <w:shd w:val="clear" w:color="auto" w:fill="FFFFFF"/>
            <w:vAlign w:val="center"/>
          </w:tcPr>
          <w:p w14:paraId="0D5AA08F" w14:textId="77777777" w:rsidR="003D1017" w:rsidRDefault="00000000">
            <w:pPr>
              <w:keepNext/>
              <w:keepLines/>
              <w:spacing w:before="20" w:after="20"/>
              <w:jc w:val="center"/>
            </w:pPr>
            <w:r>
              <w:rPr>
                <w:rFonts w:ascii="Times New Roman" w:hAnsi="Times New Roman" w:cs="Times New Roman"/>
                <w:sz w:val="15"/>
                <w:szCs w:val="15"/>
              </w:rPr>
              <w:t>TBD</w:t>
            </w:r>
          </w:p>
        </w:tc>
      </w:tr>
      <w:tr w:rsidR="003D1017" w14:paraId="0904C445" w14:textId="77777777">
        <w:trPr>
          <w:cantSplit/>
        </w:trPr>
        <w:tc>
          <w:tcPr>
            <w:tcW w:w="1700" w:type="dxa"/>
            <w:shd w:val="clear" w:color="auto" w:fill="EEF3F8"/>
            <w:vAlign w:val="center"/>
          </w:tcPr>
          <w:p w14:paraId="4C20DF3A" w14:textId="77777777" w:rsidR="003D1017" w:rsidRDefault="00000000">
            <w:pPr>
              <w:keepNext/>
              <w:keepLines/>
              <w:spacing w:before="20" w:after="20"/>
              <w:jc w:val="center"/>
            </w:pPr>
            <w:r>
              <w:rPr>
                <w:rFonts w:ascii="Times New Roman" w:hAnsi="Times New Roman" w:cs="Times New Roman"/>
                <w:sz w:val="15"/>
                <w:szCs w:val="15"/>
              </w:rPr>
              <w:t>OASIS-1</w:t>
            </w:r>
          </w:p>
        </w:tc>
        <w:tc>
          <w:tcPr>
            <w:tcW w:w="1100" w:type="dxa"/>
            <w:shd w:val="clear" w:color="auto" w:fill="EEF3F8"/>
            <w:vAlign w:val="center"/>
          </w:tcPr>
          <w:p w14:paraId="24208632" w14:textId="77777777" w:rsidR="003D1017" w:rsidRDefault="00000000">
            <w:pPr>
              <w:keepNext/>
              <w:keepLines/>
              <w:spacing w:before="20" w:after="20"/>
              <w:jc w:val="center"/>
            </w:pPr>
            <w:r>
              <w:rPr>
                <w:rFonts w:ascii="Times New Roman" w:hAnsi="Times New Roman" w:cs="Times New Roman"/>
                <w:sz w:val="15"/>
                <w:szCs w:val="15"/>
              </w:rPr>
              <w:t>TBD</w:t>
            </w:r>
          </w:p>
        </w:tc>
        <w:tc>
          <w:tcPr>
            <w:tcW w:w="1230" w:type="dxa"/>
            <w:shd w:val="clear" w:color="auto" w:fill="EEF3F8"/>
            <w:vAlign w:val="center"/>
          </w:tcPr>
          <w:p w14:paraId="0EC8E2A4" w14:textId="77777777" w:rsidR="003D1017" w:rsidRDefault="00000000">
            <w:pPr>
              <w:keepNext/>
              <w:keepLines/>
              <w:spacing w:before="20" w:after="20"/>
              <w:jc w:val="center"/>
            </w:pPr>
            <w:r>
              <w:rPr>
                <w:rFonts w:ascii="Times New Roman" w:hAnsi="Times New Roman" w:cs="Times New Roman"/>
                <w:sz w:val="15"/>
                <w:szCs w:val="15"/>
              </w:rPr>
              <w:t>TBD</w:t>
            </w:r>
          </w:p>
        </w:tc>
        <w:tc>
          <w:tcPr>
            <w:tcW w:w="1000" w:type="dxa"/>
            <w:shd w:val="clear" w:color="auto" w:fill="EEF3F8"/>
            <w:vAlign w:val="center"/>
          </w:tcPr>
          <w:p w14:paraId="4BAB6314" w14:textId="77777777" w:rsidR="003D1017" w:rsidRDefault="00000000">
            <w:pPr>
              <w:keepNext/>
              <w:keepLines/>
              <w:spacing w:before="20" w:after="20"/>
              <w:jc w:val="center"/>
            </w:pPr>
            <w:r>
              <w:rPr>
                <w:rFonts w:ascii="Times New Roman" w:hAnsi="Times New Roman" w:cs="Times New Roman"/>
                <w:sz w:val="15"/>
                <w:szCs w:val="15"/>
              </w:rPr>
              <w:t>TBD</w:t>
            </w:r>
          </w:p>
        </w:tc>
      </w:tr>
      <w:tr w:rsidR="003D1017" w14:paraId="5DE126C8" w14:textId="77777777">
        <w:trPr>
          <w:cantSplit/>
        </w:trPr>
        <w:tc>
          <w:tcPr>
            <w:tcW w:w="1700" w:type="dxa"/>
            <w:shd w:val="clear" w:color="auto" w:fill="FFFFFF"/>
            <w:vAlign w:val="center"/>
          </w:tcPr>
          <w:p w14:paraId="16EA41EB" w14:textId="77777777" w:rsidR="003D1017" w:rsidRDefault="00000000">
            <w:pPr>
              <w:spacing w:before="20" w:after="20"/>
              <w:jc w:val="center"/>
            </w:pPr>
            <w:r>
              <w:rPr>
                <w:rFonts w:ascii="Times New Roman" w:hAnsi="Times New Roman" w:cs="Times New Roman"/>
                <w:sz w:val="15"/>
                <w:szCs w:val="15"/>
              </w:rPr>
              <w:t>OASIS-2</w:t>
            </w:r>
          </w:p>
        </w:tc>
        <w:tc>
          <w:tcPr>
            <w:tcW w:w="1100" w:type="dxa"/>
            <w:shd w:val="clear" w:color="auto" w:fill="FFFFFF"/>
            <w:vAlign w:val="center"/>
          </w:tcPr>
          <w:p w14:paraId="33EF8659" w14:textId="77777777" w:rsidR="003D1017" w:rsidRDefault="00000000">
            <w:pPr>
              <w:spacing w:before="20" w:after="20"/>
              <w:jc w:val="center"/>
            </w:pPr>
            <w:r>
              <w:rPr>
                <w:rFonts w:ascii="Times New Roman" w:hAnsi="Times New Roman" w:cs="Times New Roman"/>
                <w:sz w:val="15"/>
                <w:szCs w:val="15"/>
              </w:rPr>
              <w:t>TBD</w:t>
            </w:r>
          </w:p>
        </w:tc>
        <w:tc>
          <w:tcPr>
            <w:tcW w:w="1230" w:type="dxa"/>
            <w:shd w:val="clear" w:color="auto" w:fill="FFFFFF"/>
            <w:vAlign w:val="center"/>
          </w:tcPr>
          <w:p w14:paraId="0701E418" w14:textId="77777777" w:rsidR="003D1017" w:rsidRDefault="00000000">
            <w:pPr>
              <w:spacing w:before="20" w:after="20"/>
              <w:jc w:val="center"/>
            </w:pPr>
            <w:r>
              <w:rPr>
                <w:rFonts w:ascii="Times New Roman" w:hAnsi="Times New Roman" w:cs="Times New Roman"/>
                <w:sz w:val="15"/>
                <w:szCs w:val="15"/>
              </w:rPr>
              <w:t>TBD</w:t>
            </w:r>
          </w:p>
        </w:tc>
        <w:tc>
          <w:tcPr>
            <w:tcW w:w="1000" w:type="dxa"/>
            <w:shd w:val="clear" w:color="auto" w:fill="FFFFFF"/>
            <w:vAlign w:val="center"/>
          </w:tcPr>
          <w:p w14:paraId="6E982570" w14:textId="77777777" w:rsidR="003D1017" w:rsidRDefault="00000000">
            <w:pPr>
              <w:spacing w:before="20" w:after="20"/>
              <w:jc w:val="center"/>
            </w:pPr>
            <w:r>
              <w:rPr>
                <w:rFonts w:ascii="Times New Roman" w:hAnsi="Times New Roman" w:cs="Times New Roman"/>
                <w:sz w:val="15"/>
                <w:szCs w:val="15"/>
              </w:rPr>
              <w:t>TBD</w:t>
            </w:r>
          </w:p>
        </w:tc>
      </w:tr>
    </w:tbl>
    <w:p w14:paraId="2199B27B" w14:textId="77777777" w:rsidR="003D1017" w:rsidRDefault="003D1017">
      <w:pPr>
        <w:spacing w:after="60"/>
      </w:pPr>
    </w:p>
    <w:p w14:paraId="2060DAC6" w14:textId="77777777" w:rsidR="003D1017" w:rsidRDefault="00000000">
      <w:pPr>
        <w:keepNext/>
        <w:keepLines/>
        <w:spacing w:before="140" w:after="60"/>
      </w:pPr>
      <w:r>
        <w:rPr>
          <w:b/>
          <w:bCs/>
          <w:i/>
          <w:iCs/>
          <w:sz w:val="20"/>
          <w:szCs w:val="20"/>
        </w:rPr>
        <w:t>D. Brain-Age Error on Seen and Unseen Cohorts</w:t>
      </w:r>
    </w:p>
    <w:p w14:paraId="3EB59959" w14:textId="77777777" w:rsidR="003D1017" w:rsidRDefault="00000000">
      <w:pPr>
        <w:spacing w:after="100" w:line="252" w:lineRule="auto"/>
        <w:jc w:val="both"/>
      </w:pPr>
      <w:r>
        <w:rPr>
          <w:sz w:val="20"/>
          <w:szCs w:val="20"/>
        </w:rPr>
        <w:t xml:space="preserve">Table VI gives test MAE for each arm at each label budget, with 95% bootstrap intervals over seeds. It is repeated for every N and every tuning budget, and the gap column is the quantity that feeds Equation 12.</w:t>
      </w:r>
    </w:p>
    <w:p w14:paraId="57C8C6BE" w14:textId="77777777" w:rsidR="003D1017" w:rsidRDefault="00000000">
      <w:pPr>
        <w:keepNext/>
        <w:keepLines/>
        <w:spacing w:before="120" w:after="60"/>
        <w:jc w:val="center"/>
      </w:pPr>
      <w:r>
        <w:rPr>
          <w:b/>
          <w:bCs/>
          <w:i/>
          <w:iCs/>
          <w:sz w:val="17"/>
          <w:szCs w:val="17"/>
        </w:rPr>
        <w:t>TABLE VI. T1 Test MAE (Years) by Arm and Cohort, One Panel per N and Trial Budget</w:t>
      </w:r>
    </w:p>
    <w:tbl>
      <w:tblPr>
        <w:tblW w:w="503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ayout w:type="fixed"/>
        <w:tblCellMar>
          <w:top w:w="40" w:type="dxa"/>
          <w:left w:w="70" w:type="dxa"/>
          <w:bottom w:w="40" w:type="dxa"/>
          <w:right w:w="70" w:type="dxa"/>
        </w:tblCellMar>
        <w:tblLook w:val="0000" w:firstRow="0" w:lastRow="0" w:firstColumn="0" w:lastColumn="0" w:noHBand="0" w:noVBand="0"/>
      </w:tblPr>
      <w:tblGrid>
        <w:gridCol w:w="1830"/>
        <w:gridCol w:w="1070"/>
        <w:gridCol w:w="1130"/>
        <w:gridCol w:w="1000"/>
      </w:tblGrid>
      <w:tr w:rsidR="003D1017" w14:paraId="33552BA5" w14:textId="77777777">
        <w:trPr>
          <w:cantSplit/>
          <w:tblHeader/>
        </w:trPr>
        <w:tc>
          <w:tcPr>
            <w:tcW w:w="1830" w:type="dxa"/>
            <w:shd w:val="clear" w:color="auto" w:fill="003087"/>
            <w:vAlign w:val="center"/>
          </w:tcPr>
          <w:p w14:paraId="4C7D57F1" w14:textId="77777777" w:rsidR="003D1017" w:rsidRDefault="00000000">
            <w:pPr>
              <w:keepNext/>
              <w:keepLines/>
              <w:spacing w:before="20" w:after="20"/>
              <w:jc w:val="center"/>
            </w:pPr>
            <w:r>
              <w:rPr>
                <w:rFonts w:ascii="Times New Roman" w:hAnsi="Times New Roman" w:cs="Times New Roman"/>
                <w:b/>
                <w:bCs/>
                <w:color w:val="FFFFFF"/>
                <w:sz w:val="15"/>
                <w:szCs w:val="15"/>
              </w:rPr>
              <w:t>Arm</w:t>
            </w:r>
          </w:p>
        </w:tc>
        <w:tc>
          <w:tcPr>
            <w:tcW w:w="1070" w:type="dxa"/>
            <w:shd w:val="clear" w:color="auto" w:fill="003087"/>
            <w:vAlign w:val="center"/>
          </w:tcPr>
          <w:p w14:paraId="7FA3881F" w14:textId="77777777" w:rsidR="003D1017" w:rsidRDefault="00000000">
            <w:pPr>
              <w:keepNext/>
              <w:keepLines/>
              <w:spacing w:before="20" w:after="20"/>
              <w:jc w:val="center"/>
            </w:pPr>
            <w:r>
              <w:rPr>
                <w:rFonts w:ascii="Times New Roman" w:hAnsi="Times New Roman" w:cs="Times New Roman"/>
                <w:b/>
                <w:bCs/>
                <w:color w:val="FFFFFF"/>
                <w:sz w:val="15"/>
                <w:szCs w:val="15"/>
              </w:rPr>
              <w:t>MAE seen</w:t>
            </w:r>
          </w:p>
        </w:tc>
        <w:tc>
          <w:tcPr>
            <w:tcW w:w="1130" w:type="dxa"/>
            <w:shd w:val="clear" w:color="auto" w:fill="003087"/>
            <w:vAlign w:val="center"/>
          </w:tcPr>
          <w:p w14:paraId="3FAA09B8" w14:textId="77777777" w:rsidR="003D1017" w:rsidRDefault="00000000">
            <w:pPr>
              <w:keepNext/>
              <w:keepLines/>
              <w:spacing w:before="20" w:after="20"/>
              <w:jc w:val="center"/>
            </w:pPr>
            <w:r>
              <w:rPr>
                <w:rFonts w:ascii="Times New Roman" w:hAnsi="Times New Roman" w:cs="Times New Roman"/>
                <w:b/>
                <w:bCs/>
                <w:color w:val="FFFFFF"/>
                <w:sz w:val="15"/>
                <w:szCs w:val="15"/>
              </w:rPr>
              <w:t>MAE unseen</w:t>
            </w:r>
          </w:p>
        </w:tc>
        <w:tc>
          <w:tcPr>
            <w:tcW w:w="1000" w:type="dxa"/>
            <w:shd w:val="clear" w:color="auto" w:fill="003087"/>
            <w:vAlign w:val="center"/>
          </w:tcPr>
          <w:p w14:paraId="7943A671" w14:textId="77777777" w:rsidR="003D1017" w:rsidRDefault="00000000">
            <w:pPr>
              <w:keepNext/>
              <w:keepLines/>
              <w:spacing w:before="20" w:after="20"/>
              <w:jc w:val="center"/>
            </w:pPr>
            <w:r>
              <w:rPr>
                <w:rFonts w:ascii="Times New Roman" w:hAnsi="Times New Roman" w:cs="Times New Roman"/>
                <w:b/>
                <w:bCs/>
                <w:color w:val="FFFFFF"/>
                <w:sz w:val="15"/>
                <w:szCs w:val="15"/>
              </w:rPr>
              <w:t>Gap</w:t>
            </w:r>
          </w:p>
        </w:tc>
      </w:tr>
      <w:tr w:rsidR="003D1017" w14:paraId="298FFB2B" w14:textId="77777777">
        <w:trPr>
          <w:cantSplit/>
        </w:trPr>
        <w:tc>
          <w:tcPr>
            <w:tcW w:w="1830" w:type="dxa"/>
            <w:shd w:val="clear" w:color="auto" w:fill="EEF3F8"/>
            <w:vAlign w:val="center"/>
          </w:tcPr>
          <w:p w14:paraId="657836AD" w14:textId="77777777" w:rsidR="003D1017" w:rsidRDefault="00000000">
            <w:pPr>
              <w:keepNext/>
              <w:keepLines/>
              <w:spacing w:before="20" w:after="20"/>
            </w:pPr>
            <w:r>
              <w:rPr>
                <w:rFonts w:ascii="Times New Roman" w:hAnsi="Times New Roman" w:cs="Times New Roman"/>
                <w:sz w:val="15"/>
                <w:szCs w:val="15"/>
              </w:rPr>
              <w:t>Mean-age reference</w:t>
            </w:r>
          </w:p>
        </w:tc>
        <w:tc>
          <w:tcPr>
            <w:tcW w:w="1070" w:type="dxa"/>
            <w:shd w:val="clear" w:color="auto" w:fill="EEF3F8"/>
            <w:vAlign w:val="center"/>
          </w:tcPr>
          <w:p w14:paraId="4FD66D9A" w14:textId="77777777" w:rsidR="003D1017" w:rsidRDefault="00000000">
            <w:pPr>
              <w:keepNext/>
              <w:keepLines/>
              <w:spacing w:before="20" w:after="20"/>
              <w:jc w:val="center"/>
            </w:pPr>
            <w:r>
              <w:rPr>
                <w:rFonts w:ascii="Times New Roman" w:hAnsi="Times New Roman" w:cs="Times New Roman"/>
                <w:sz w:val="15"/>
                <w:szCs w:val="15"/>
              </w:rPr>
              <w:t>TBD</w:t>
            </w:r>
          </w:p>
        </w:tc>
        <w:tc>
          <w:tcPr>
            <w:tcW w:w="1130" w:type="dxa"/>
            <w:shd w:val="clear" w:color="auto" w:fill="EEF3F8"/>
            <w:vAlign w:val="center"/>
          </w:tcPr>
          <w:p w14:paraId="70379638" w14:textId="77777777" w:rsidR="003D1017" w:rsidRDefault="00000000">
            <w:pPr>
              <w:keepNext/>
              <w:keepLines/>
              <w:spacing w:before="20" w:after="20"/>
              <w:jc w:val="center"/>
            </w:pPr>
            <w:r>
              <w:rPr>
                <w:rFonts w:ascii="Times New Roman" w:hAnsi="Times New Roman" w:cs="Times New Roman"/>
                <w:sz w:val="15"/>
                <w:szCs w:val="15"/>
              </w:rPr>
              <w:t>TBD</w:t>
            </w:r>
          </w:p>
        </w:tc>
        <w:tc>
          <w:tcPr>
            <w:tcW w:w="1000" w:type="dxa"/>
            <w:shd w:val="clear" w:color="auto" w:fill="EEF3F8"/>
            <w:vAlign w:val="center"/>
          </w:tcPr>
          <w:p w14:paraId="1F8AC40D" w14:textId="77777777" w:rsidR="003D1017" w:rsidRDefault="00000000">
            <w:pPr>
              <w:keepNext/>
              <w:keepLines/>
              <w:spacing w:before="20" w:after="20"/>
              <w:jc w:val="center"/>
            </w:pPr>
            <w:r>
              <w:rPr>
                <w:rFonts w:ascii="Times New Roman" w:hAnsi="Times New Roman" w:cs="Times New Roman"/>
                <w:sz w:val="15"/>
                <w:szCs w:val="15"/>
              </w:rPr>
              <w:t>TBD</w:t>
            </w:r>
          </w:p>
        </w:tc>
      </w:tr>
      <w:tr w:rsidR="003D1017" w14:paraId="2D336921" w14:textId="77777777">
        <w:trPr>
          <w:cantSplit/>
        </w:trPr>
        <w:tc>
          <w:tcPr>
            <w:tcW w:w="1830" w:type="dxa"/>
            <w:shd w:val="clear" w:color="auto" w:fill="FFFFFF"/>
            <w:vAlign w:val="center"/>
          </w:tcPr>
          <w:p w14:paraId="13A36F4D" w14:textId="77777777" w:rsidR="003D1017" w:rsidRDefault="00000000">
            <w:pPr>
              <w:keepNext/>
              <w:keepLines/>
              <w:spacing w:before="20" w:after="20"/>
            </w:pPr>
            <w:r>
              <w:rPr>
                <w:rFonts w:ascii="Times New Roman" w:hAnsi="Times New Roman" w:cs="Times New Roman"/>
                <w:sz w:val="15"/>
                <w:szCs w:val="15"/>
              </w:rPr>
              <w:t>ResNet-18</w:t>
            </w:r>
          </w:p>
        </w:tc>
        <w:tc>
          <w:tcPr>
            <w:tcW w:w="1070" w:type="dxa"/>
            <w:shd w:val="clear" w:color="auto" w:fill="FFFFFF"/>
            <w:vAlign w:val="center"/>
          </w:tcPr>
          <w:p w14:paraId="7FF185CE" w14:textId="77777777" w:rsidR="003D1017" w:rsidRDefault="00000000">
            <w:pPr>
              <w:keepNext/>
              <w:keepLines/>
              <w:spacing w:before="20" w:after="20"/>
              <w:jc w:val="center"/>
            </w:pPr>
            <w:r>
              <w:rPr>
                <w:rFonts w:ascii="Times New Roman" w:hAnsi="Times New Roman" w:cs="Times New Roman"/>
                <w:sz w:val="15"/>
                <w:szCs w:val="15"/>
              </w:rPr>
              <w:t>TBD</w:t>
            </w:r>
          </w:p>
        </w:tc>
        <w:tc>
          <w:tcPr>
            <w:tcW w:w="1130" w:type="dxa"/>
            <w:shd w:val="clear" w:color="auto" w:fill="FFFFFF"/>
            <w:vAlign w:val="center"/>
          </w:tcPr>
          <w:p w14:paraId="6FA72FD0" w14:textId="77777777" w:rsidR="003D1017" w:rsidRDefault="00000000">
            <w:pPr>
              <w:keepNext/>
              <w:keepLines/>
              <w:spacing w:before="20" w:after="20"/>
              <w:jc w:val="center"/>
            </w:pPr>
            <w:r>
              <w:rPr>
                <w:rFonts w:ascii="Times New Roman" w:hAnsi="Times New Roman" w:cs="Times New Roman"/>
                <w:sz w:val="15"/>
                <w:szCs w:val="15"/>
              </w:rPr>
              <w:t>TBD</w:t>
            </w:r>
          </w:p>
        </w:tc>
        <w:tc>
          <w:tcPr>
            <w:tcW w:w="1000" w:type="dxa"/>
            <w:shd w:val="clear" w:color="auto" w:fill="FFFFFF"/>
            <w:vAlign w:val="center"/>
          </w:tcPr>
          <w:p w14:paraId="7BE221B0" w14:textId="77777777" w:rsidR="003D1017" w:rsidRDefault="00000000">
            <w:pPr>
              <w:keepNext/>
              <w:keepLines/>
              <w:spacing w:before="20" w:after="20"/>
              <w:jc w:val="center"/>
            </w:pPr>
            <w:r>
              <w:rPr>
                <w:rFonts w:ascii="Times New Roman" w:hAnsi="Times New Roman" w:cs="Times New Roman"/>
                <w:sz w:val="15"/>
                <w:szCs w:val="15"/>
              </w:rPr>
              <w:t>TBD</w:t>
            </w:r>
          </w:p>
        </w:tc>
      </w:tr>
      <w:tr w:rsidR="003D1017" w14:paraId="275247BC" w14:textId="77777777">
        <w:trPr>
          <w:cantSplit/>
        </w:trPr>
        <w:tc>
          <w:tcPr>
            <w:tcW w:w="1830" w:type="dxa"/>
            <w:shd w:val="clear" w:color="auto" w:fill="EEF3F8"/>
            <w:vAlign w:val="center"/>
          </w:tcPr>
          <w:p w14:paraId="2854EB22" w14:textId="77777777" w:rsidR="003D1017" w:rsidRDefault="00000000">
            <w:pPr>
              <w:keepNext/>
              <w:keepLines/>
              <w:spacing w:before="20" w:after="20"/>
            </w:pPr>
            <w:r>
              <w:rPr>
                <w:rFonts w:ascii="Times New Roman" w:hAnsi="Times New Roman" w:cs="Times New Roman"/>
                <w:sz w:val="15"/>
                <w:szCs w:val="15"/>
              </w:rPr>
              <w:t>DenseNet-121</w:t>
            </w:r>
          </w:p>
        </w:tc>
        <w:tc>
          <w:tcPr>
            <w:tcW w:w="1070" w:type="dxa"/>
            <w:shd w:val="clear" w:color="auto" w:fill="EEF3F8"/>
            <w:vAlign w:val="center"/>
          </w:tcPr>
          <w:p w14:paraId="5CCD5084" w14:textId="77777777" w:rsidR="003D1017" w:rsidRDefault="00000000">
            <w:pPr>
              <w:keepNext/>
              <w:keepLines/>
              <w:spacing w:before="20" w:after="20"/>
              <w:jc w:val="center"/>
            </w:pPr>
            <w:r>
              <w:rPr>
                <w:rFonts w:ascii="Times New Roman" w:hAnsi="Times New Roman" w:cs="Times New Roman"/>
                <w:sz w:val="15"/>
                <w:szCs w:val="15"/>
              </w:rPr>
              <w:t>TBD</w:t>
            </w:r>
          </w:p>
        </w:tc>
        <w:tc>
          <w:tcPr>
            <w:tcW w:w="1130" w:type="dxa"/>
            <w:shd w:val="clear" w:color="auto" w:fill="EEF3F8"/>
            <w:vAlign w:val="center"/>
          </w:tcPr>
          <w:p w14:paraId="4B96B7A3" w14:textId="77777777" w:rsidR="003D1017" w:rsidRDefault="00000000">
            <w:pPr>
              <w:keepNext/>
              <w:keepLines/>
              <w:spacing w:before="20" w:after="20"/>
              <w:jc w:val="center"/>
            </w:pPr>
            <w:r>
              <w:rPr>
                <w:rFonts w:ascii="Times New Roman" w:hAnsi="Times New Roman" w:cs="Times New Roman"/>
                <w:sz w:val="15"/>
                <w:szCs w:val="15"/>
              </w:rPr>
              <w:t>TBD</w:t>
            </w:r>
          </w:p>
        </w:tc>
        <w:tc>
          <w:tcPr>
            <w:tcW w:w="1000" w:type="dxa"/>
            <w:shd w:val="clear" w:color="auto" w:fill="EEF3F8"/>
            <w:vAlign w:val="center"/>
          </w:tcPr>
          <w:p w14:paraId="700FC054" w14:textId="77777777" w:rsidR="003D1017" w:rsidRDefault="00000000">
            <w:pPr>
              <w:keepNext/>
              <w:keepLines/>
              <w:spacing w:before="20" w:after="20"/>
              <w:jc w:val="center"/>
            </w:pPr>
            <w:r>
              <w:rPr>
                <w:rFonts w:ascii="Times New Roman" w:hAnsi="Times New Roman" w:cs="Times New Roman"/>
                <w:sz w:val="15"/>
                <w:szCs w:val="15"/>
              </w:rPr>
              <w:t>TBD</w:t>
            </w:r>
          </w:p>
        </w:tc>
      </w:tr>
      <w:tr w:rsidR="003D1017" w14:paraId="5C11EF6E" w14:textId="77777777">
        <w:trPr>
          <w:cantSplit/>
        </w:trPr>
        <w:tc>
          <w:tcPr>
            <w:tcW w:w="1830" w:type="dxa"/>
            <w:shd w:val="clear" w:color="auto" w:fill="FFFFFF"/>
            <w:vAlign w:val="center"/>
          </w:tcPr>
          <w:p w14:paraId="1A96BC75" w14:textId="77777777" w:rsidR="003D1017" w:rsidRDefault="00000000">
            <w:pPr>
              <w:keepNext/>
              <w:keepLines/>
              <w:spacing w:before="20" w:after="20"/>
            </w:pPr>
            <w:r>
              <w:rPr>
                <w:rFonts w:ascii="Times New Roman" w:hAnsi="Times New Roman" w:cs="Times New Roman"/>
                <w:sz w:val="15"/>
                <w:szCs w:val="15"/>
              </w:rPr>
              <w:t>Volumetric + LightGBM</w:t>
            </w:r>
          </w:p>
        </w:tc>
        <w:tc>
          <w:tcPr>
            <w:tcW w:w="1070" w:type="dxa"/>
            <w:shd w:val="clear" w:color="auto" w:fill="FFFFFF"/>
            <w:vAlign w:val="center"/>
          </w:tcPr>
          <w:p w14:paraId="23C8A115" w14:textId="77777777" w:rsidR="003D1017" w:rsidRDefault="00000000">
            <w:pPr>
              <w:keepNext/>
              <w:keepLines/>
              <w:spacing w:before="20" w:after="20"/>
              <w:jc w:val="center"/>
            </w:pPr>
            <w:r>
              <w:rPr>
                <w:rFonts w:ascii="Times New Roman" w:hAnsi="Times New Roman" w:cs="Times New Roman"/>
                <w:sz w:val="15"/>
                <w:szCs w:val="15"/>
              </w:rPr>
              <w:t>TBD</w:t>
            </w:r>
          </w:p>
        </w:tc>
        <w:tc>
          <w:tcPr>
            <w:tcW w:w="1130" w:type="dxa"/>
            <w:shd w:val="clear" w:color="auto" w:fill="FFFFFF"/>
            <w:vAlign w:val="center"/>
          </w:tcPr>
          <w:p w14:paraId="62D86E88" w14:textId="77777777" w:rsidR="003D1017" w:rsidRDefault="00000000">
            <w:pPr>
              <w:keepNext/>
              <w:keepLines/>
              <w:spacing w:before="20" w:after="20"/>
              <w:jc w:val="center"/>
            </w:pPr>
            <w:r>
              <w:rPr>
                <w:rFonts w:ascii="Times New Roman" w:hAnsi="Times New Roman" w:cs="Times New Roman"/>
                <w:sz w:val="15"/>
                <w:szCs w:val="15"/>
              </w:rPr>
              <w:t>TBD</w:t>
            </w:r>
          </w:p>
        </w:tc>
        <w:tc>
          <w:tcPr>
            <w:tcW w:w="1000" w:type="dxa"/>
            <w:shd w:val="clear" w:color="auto" w:fill="FFFFFF"/>
            <w:vAlign w:val="center"/>
          </w:tcPr>
          <w:p w14:paraId="24153152" w14:textId="77777777" w:rsidR="003D1017" w:rsidRDefault="00000000">
            <w:pPr>
              <w:keepNext/>
              <w:keepLines/>
              <w:spacing w:before="20" w:after="20"/>
              <w:jc w:val="center"/>
            </w:pPr>
            <w:r>
              <w:rPr>
                <w:rFonts w:ascii="Times New Roman" w:hAnsi="Times New Roman" w:cs="Times New Roman"/>
                <w:sz w:val="15"/>
                <w:szCs w:val="15"/>
              </w:rPr>
              <w:t>TBD</w:t>
            </w:r>
          </w:p>
        </w:tc>
      </w:tr>
      <w:tr w:rsidR="003D1017" w14:paraId="2EB7C78E" w14:textId="77777777">
        <w:trPr>
          <w:cantSplit/>
        </w:trPr>
        <w:tc>
          <w:tcPr>
            <w:tcW w:w="1830" w:type="dxa"/>
            <w:shd w:val="clear" w:color="auto" w:fill="EEF3F8"/>
            <w:vAlign w:val="center"/>
          </w:tcPr>
          <w:p w14:paraId="371B243B" w14:textId="77777777" w:rsidR="003D1017" w:rsidRDefault="00000000">
            <w:pPr>
              <w:keepNext/>
              <w:keepLines/>
              <w:spacing w:before="20" w:after="20"/>
            </w:pPr>
            <w:r>
              <w:rPr>
                <w:rFonts w:ascii="Times New Roman" w:hAnsi="Times New Roman" w:cs="Times New Roman"/>
                <w:sz w:val="15"/>
                <w:szCs w:val="15"/>
              </w:rPr>
              <w:t>BrainIAC, tiers 1–4</w:t>
            </w:r>
          </w:p>
        </w:tc>
        <w:tc>
          <w:tcPr>
            <w:tcW w:w="1070" w:type="dxa"/>
            <w:shd w:val="clear" w:color="auto" w:fill="EEF3F8"/>
            <w:vAlign w:val="center"/>
          </w:tcPr>
          <w:p w14:paraId="2749BA09" w14:textId="77777777" w:rsidR="003D1017" w:rsidRDefault="00000000">
            <w:pPr>
              <w:keepNext/>
              <w:keepLines/>
              <w:spacing w:before="20" w:after="20"/>
              <w:jc w:val="center"/>
            </w:pPr>
            <w:r>
              <w:rPr>
                <w:rFonts w:ascii="Times New Roman" w:hAnsi="Times New Roman" w:cs="Times New Roman"/>
                <w:sz w:val="15"/>
                <w:szCs w:val="15"/>
              </w:rPr>
              <w:t>TBD</w:t>
            </w:r>
          </w:p>
        </w:tc>
        <w:tc>
          <w:tcPr>
            <w:tcW w:w="1130" w:type="dxa"/>
            <w:shd w:val="clear" w:color="auto" w:fill="EEF3F8"/>
            <w:vAlign w:val="center"/>
          </w:tcPr>
          <w:p w14:paraId="5272B380" w14:textId="77777777" w:rsidR="003D1017" w:rsidRDefault="00000000">
            <w:pPr>
              <w:keepNext/>
              <w:keepLines/>
              <w:spacing w:before="20" w:after="20"/>
              <w:jc w:val="center"/>
            </w:pPr>
            <w:r>
              <w:rPr>
                <w:rFonts w:ascii="Times New Roman" w:hAnsi="Times New Roman" w:cs="Times New Roman"/>
                <w:sz w:val="15"/>
                <w:szCs w:val="15"/>
              </w:rPr>
              <w:t>TBD</w:t>
            </w:r>
          </w:p>
        </w:tc>
        <w:tc>
          <w:tcPr>
            <w:tcW w:w="1000" w:type="dxa"/>
            <w:shd w:val="clear" w:color="auto" w:fill="EEF3F8"/>
            <w:vAlign w:val="center"/>
          </w:tcPr>
          <w:p w14:paraId="155D133D" w14:textId="77777777" w:rsidR="003D1017" w:rsidRDefault="00000000">
            <w:pPr>
              <w:keepNext/>
              <w:keepLines/>
              <w:spacing w:before="20" w:after="20"/>
              <w:jc w:val="center"/>
            </w:pPr>
            <w:r>
              <w:rPr>
                <w:rFonts w:ascii="Times New Roman" w:hAnsi="Times New Roman" w:cs="Times New Roman"/>
                <w:sz w:val="15"/>
                <w:szCs w:val="15"/>
              </w:rPr>
              <w:t>TBD</w:t>
            </w:r>
          </w:p>
        </w:tc>
      </w:tr>
      <w:tr w:rsidR="003D1017" w14:paraId="2ACA3FC6" w14:textId="77777777">
        <w:trPr>
          <w:cantSplit/>
        </w:trPr>
        <w:tc>
          <w:tcPr>
            <w:tcW w:w="1830" w:type="dxa"/>
            <w:shd w:val="clear" w:color="auto" w:fill="FFFFFF"/>
            <w:vAlign w:val="center"/>
          </w:tcPr>
          <w:p w14:paraId="5B6F557F" w14:textId="77777777" w:rsidR="003D1017" w:rsidRDefault="00000000">
            <w:pPr>
              <w:spacing w:before="20" w:after="20"/>
            </w:pPr>
            <w:r>
              <w:rPr>
                <w:rFonts w:ascii="Times New Roman" w:hAnsi="Times New Roman" w:cs="Times New Roman"/>
                <w:sz w:val="15"/>
                <w:szCs w:val="15"/>
              </w:rPr>
              <w:t>FOMO25, tiers 1–4</w:t>
            </w:r>
          </w:p>
        </w:tc>
        <w:tc>
          <w:tcPr>
            <w:tcW w:w="1070" w:type="dxa"/>
            <w:shd w:val="clear" w:color="auto" w:fill="FFFFFF"/>
            <w:vAlign w:val="center"/>
          </w:tcPr>
          <w:p w14:paraId="592FCAD8" w14:textId="77777777" w:rsidR="003D1017" w:rsidRDefault="00000000">
            <w:pPr>
              <w:spacing w:before="20" w:after="20"/>
              <w:jc w:val="center"/>
            </w:pPr>
            <w:r>
              <w:rPr>
                <w:rFonts w:ascii="Times New Roman" w:hAnsi="Times New Roman" w:cs="Times New Roman"/>
                <w:sz w:val="15"/>
                <w:szCs w:val="15"/>
              </w:rPr>
              <w:t>TBD</w:t>
            </w:r>
          </w:p>
        </w:tc>
        <w:tc>
          <w:tcPr>
            <w:tcW w:w="1130" w:type="dxa"/>
            <w:shd w:val="clear" w:color="auto" w:fill="FFFFFF"/>
            <w:vAlign w:val="center"/>
          </w:tcPr>
          <w:p w14:paraId="198594EA" w14:textId="77777777" w:rsidR="003D1017" w:rsidRDefault="00000000">
            <w:pPr>
              <w:spacing w:before="20" w:after="20"/>
              <w:jc w:val="center"/>
            </w:pPr>
            <w:r>
              <w:rPr>
                <w:rFonts w:ascii="Times New Roman" w:hAnsi="Times New Roman" w:cs="Times New Roman"/>
                <w:sz w:val="15"/>
                <w:szCs w:val="15"/>
              </w:rPr>
              <w:t>TBD</w:t>
            </w:r>
          </w:p>
        </w:tc>
        <w:tc>
          <w:tcPr>
            <w:tcW w:w="1000" w:type="dxa"/>
            <w:shd w:val="clear" w:color="auto" w:fill="FFFFFF"/>
            <w:vAlign w:val="center"/>
          </w:tcPr>
          <w:p w14:paraId="34AEA3AF" w14:textId="77777777" w:rsidR="003D1017" w:rsidRDefault="00000000">
            <w:pPr>
              <w:spacing w:before="20" w:after="20"/>
              <w:jc w:val="center"/>
            </w:pPr>
            <w:r>
              <w:rPr>
                <w:rFonts w:ascii="Times New Roman" w:hAnsi="Times New Roman" w:cs="Times New Roman"/>
                <w:sz w:val="15"/>
                <w:szCs w:val="15"/>
              </w:rPr>
              <w:t>TBD</w:t>
            </w:r>
          </w:p>
        </w:tc>
      </w:tr>
    </w:tbl>
    <w:p w14:paraId="2BFD688C" w14:textId="77777777" w:rsidR="003D1017" w:rsidRDefault="003D1017">
      <w:pPr>
        <w:spacing w:after="60"/>
      </w:pPr>
    </w:p>
    <w:p w14:paraId="33A07FA1" w14:textId="77777777" w:rsidR="003D1017" w:rsidRDefault="00000000">
      <w:pPr>
        <w:keepNext/>
        <w:keepLines/>
        <w:spacing w:before="140" w:after="60"/>
      </w:pPr>
      <w:r>
        <w:rPr>
          <w:b/>
          <w:bCs/>
          <w:i/>
          <w:iCs/>
          <w:sz w:val="20"/>
          <w:szCs w:val="20"/>
        </w:rPr>
        <w:t>E. Difference-in-Differences</w:t>
      </w:r>
    </w:p>
    <w:p w14:paraId="2F4D02E1" w14:textId="77777777" w:rsidR="003D1017" w:rsidRDefault="00000000">
      <w:pPr>
        <w:spacing w:after="100" w:line="252" w:lineRule="auto"/>
        <w:jc w:val="both"/>
      </w:pPr>
      <w:r>
        <w:rPr>
          <w:sz w:val="20"/>
          <w:szCs w:val="20"/>
        </w:rPr>
        <w:t xml:space="preserve">Table VII holds the primary test of H1, produced by did.py. Each foundation-model arm is paired with the best-tuned baseline at the same N and the same trial budget.</w:t>
      </w:r>
    </w:p>
    <w:p w14:paraId="38743ED7" w14:textId="77777777" w:rsidR="003D1017" w:rsidRDefault="00000000">
      <w:pPr>
        <w:keepNext/>
        <w:keepLines/>
        <w:spacing w:before="120" w:after="60"/>
        <w:jc w:val="center"/>
      </w:pPr>
      <w:r>
        <w:rPr>
          <w:b/>
          <w:bCs/>
          <w:i/>
          <w:iCs/>
          <w:sz w:val="17"/>
          <w:szCs w:val="17"/>
        </w:rPr>
        <w:t>TABLE VII. DiD Estimates (Years)</w:t>
      </w:r>
    </w:p>
    <w:tbl>
      <w:tblPr>
        <w:tblW w:w="503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ayout w:type="fixed"/>
        <w:tblCellMar>
          <w:top w:w="40" w:type="dxa"/>
          <w:left w:w="70" w:type="dxa"/>
          <w:bottom w:w="40" w:type="dxa"/>
          <w:right w:w="70" w:type="dxa"/>
        </w:tblCellMar>
        <w:tblLook w:val="0000" w:firstRow="0" w:lastRow="0" w:firstColumn="0" w:lastColumn="0" w:noHBand="0" w:noVBand="0"/>
      </w:tblPr>
      <w:tblGrid>
        <w:gridCol w:w="1830"/>
        <w:gridCol w:w="700"/>
        <w:gridCol w:w="900"/>
        <w:gridCol w:w="700"/>
        <w:gridCol w:w="900"/>
      </w:tblGrid>
      <w:tr w:rsidR="003D1017" w14:paraId="24B30F71" w14:textId="77777777">
        <w:trPr>
          <w:cantSplit/>
          <w:tblHeader/>
        </w:trPr>
        <w:tc>
          <w:tcPr>
            <w:tcW w:w="1830" w:type="dxa"/>
            <w:shd w:val="clear" w:color="auto" w:fill="003087"/>
            <w:vAlign w:val="center"/>
          </w:tcPr>
          <w:p w14:paraId="5E9B946C" w14:textId="77777777" w:rsidR="003D1017" w:rsidRDefault="00000000">
            <w:pPr>
              <w:keepNext/>
              <w:keepLines/>
              <w:spacing w:before="20" w:after="20"/>
              <w:jc w:val="center"/>
            </w:pPr>
            <w:r>
              <w:rPr>
                <w:rFonts w:ascii="Times New Roman" w:hAnsi="Times New Roman" w:cs="Times New Roman"/>
                <w:b/>
                <w:bCs/>
                <w:color w:val="FFFFFF"/>
                <w:sz w:val="15"/>
                <w:szCs w:val="15"/>
              </w:rPr>
              <w:t>FM vs. baseline</w:t>
            </w:r>
          </w:p>
        </w:tc>
        <w:tc>
          <w:tcPr>
            <w:tcW w:w="700" w:type="dxa"/>
            <w:shd w:val="clear" w:color="auto" w:fill="003087"/>
            <w:vAlign w:val="center"/>
          </w:tcPr>
          <w:p w14:paraId="1199D6AB" w14:textId="77777777" w:rsidR="003D1017" w:rsidRDefault="00000000">
            <w:pPr>
              <w:keepNext/>
              <w:keepLines/>
              <w:spacing w:before="20" w:after="20"/>
              <w:jc w:val="center"/>
            </w:pPr>
            <w:r>
              <w:rPr>
                <w:rFonts w:ascii="Times New Roman" w:hAnsi="Times New Roman" w:cs="Times New Roman"/>
                <w:b/>
                <w:bCs/>
                <w:color w:val="FFFFFF"/>
                <w:sz w:val="15"/>
                <w:szCs w:val="15"/>
              </w:rPr>
              <w:t>DiD</w:t>
            </w:r>
          </w:p>
        </w:tc>
        <w:tc>
          <w:tcPr>
            <w:tcW w:w="900" w:type="dxa"/>
            <w:shd w:val="clear" w:color="auto" w:fill="003087"/>
            <w:vAlign w:val="center"/>
          </w:tcPr>
          <w:p w14:paraId="55CD1305" w14:textId="77777777" w:rsidR="003D1017" w:rsidRDefault="00000000">
            <w:pPr>
              <w:keepNext/>
              <w:keepLines/>
              <w:spacing w:before="20" w:after="20"/>
              <w:jc w:val="center"/>
            </w:pPr>
            <w:r>
              <w:rPr>
                <w:rFonts w:ascii="Times New Roman" w:hAnsi="Times New Roman" w:cs="Times New Roman"/>
                <w:b/>
                <w:bCs/>
                <w:color w:val="FFFFFF"/>
                <w:sz w:val="15"/>
                <w:szCs w:val="15"/>
              </w:rPr>
              <w:t>95% CI</w:t>
            </w:r>
          </w:p>
        </w:tc>
        <w:tc>
          <w:tcPr>
            <w:tcW w:w="700" w:type="dxa"/>
            <w:shd w:val="clear" w:color="auto" w:fill="003087"/>
            <w:vAlign w:val="center"/>
          </w:tcPr>
          <w:p w14:paraId="375F89CC" w14:textId="77777777" w:rsidR="003D1017" w:rsidRDefault="00000000">
            <w:pPr>
              <w:keepNext/>
              <w:keepLines/>
              <w:spacing w:before="20" w:after="20"/>
              <w:jc w:val="center"/>
            </w:pPr>
            <w:r>
              <w:rPr>
                <w:rFonts w:ascii="Times New Roman" w:hAnsi="Times New Roman" w:cs="Times New Roman"/>
                <w:b/>
                <w:bCs/>
                <w:color w:val="FFFFFF"/>
                <w:sz w:val="15"/>
                <w:szCs w:val="15"/>
              </w:rPr>
              <w:t>p</w:t>
            </w:r>
          </w:p>
        </w:tc>
        <w:tc>
          <w:tcPr>
            <w:tcW w:w="900" w:type="dxa"/>
            <w:shd w:val="clear" w:color="auto" w:fill="003087"/>
            <w:vAlign w:val="center"/>
          </w:tcPr>
          <w:p w14:paraId="67362EEC" w14:textId="77777777" w:rsidR="003D1017" w:rsidRDefault="00000000">
            <w:pPr>
              <w:keepNext/>
              <w:keepLines/>
              <w:spacing w:before="20" w:after="20"/>
              <w:jc w:val="center"/>
            </w:pPr>
            <w:r>
              <w:rPr>
                <w:rFonts w:ascii="Times New Roman" w:hAnsi="Times New Roman" w:cs="Times New Roman"/>
                <w:b/>
                <w:bCs/>
                <w:color w:val="FFFFFF"/>
                <w:sz w:val="15"/>
                <w:szCs w:val="15"/>
              </w:rPr>
              <w:t>Holm p</w:t>
            </w:r>
          </w:p>
        </w:tc>
      </w:tr>
      <w:tr w:rsidR="003D1017" w14:paraId="0455F16B" w14:textId="77777777">
        <w:trPr>
          <w:cantSplit/>
        </w:trPr>
        <w:tc>
          <w:tcPr>
            <w:tcW w:w="1830" w:type="dxa"/>
            <w:shd w:val="clear" w:color="auto" w:fill="EEF3F8"/>
            <w:vAlign w:val="center"/>
          </w:tcPr>
          <w:p w14:paraId="0464379F" w14:textId="77777777" w:rsidR="003D1017" w:rsidRDefault="00000000">
            <w:pPr>
              <w:keepNext/>
              <w:keepLines/>
              <w:spacing w:before="20" w:after="20"/>
            </w:pPr>
            <w:r>
              <w:rPr>
                <w:rFonts w:ascii="Times New Roman" w:hAnsi="Times New Roman" w:cs="Times New Roman"/>
                <w:sz w:val="15"/>
                <w:szCs w:val="15"/>
              </w:rPr>
              <w:t>BrainIAC vs. ResNet-18</w:t>
            </w:r>
          </w:p>
        </w:tc>
        <w:tc>
          <w:tcPr>
            <w:tcW w:w="700" w:type="dxa"/>
            <w:shd w:val="clear" w:color="auto" w:fill="EEF3F8"/>
            <w:vAlign w:val="center"/>
          </w:tcPr>
          <w:p w14:paraId="13B692E0" w14:textId="77777777" w:rsidR="003D1017" w:rsidRDefault="00000000">
            <w:pPr>
              <w:keepNext/>
              <w:keepLines/>
              <w:spacing w:before="20" w:after="20"/>
              <w:jc w:val="center"/>
            </w:pPr>
            <w:r>
              <w:rPr>
                <w:rFonts w:ascii="Times New Roman" w:hAnsi="Times New Roman" w:cs="Times New Roman"/>
                <w:sz w:val="15"/>
                <w:szCs w:val="15"/>
              </w:rPr>
              <w:t>TBD</w:t>
            </w:r>
          </w:p>
        </w:tc>
        <w:tc>
          <w:tcPr>
            <w:tcW w:w="900" w:type="dxa"/>
            <w:shd w:val="clear" w:color="auto" w:fill="EEF3F8"/>
            <w:vAlign w:val="center"/>
          </w:tcPr>
          <w:p w14:paraId="5E2D531F" w14:textId="77777777" w:rsidR="003D1017" w:rsidRDefault="00000000">
            <w:pPr>
              <w:keepNext/>
              <w:keepLines/>
              <w:spacing w:before="20" w:after="20"/>
              <w:jc w:val="center"/>
            </w:pPr>
            <w:r>
              <w:rPr>
                <w:rFonts w:ascii="Times New Roman" w:hAnsi="Times New Roman" w:cs="Times New Roman"/>
                <w:sz w:val="15"/>
                <w:szCs w:val="15"/>
              </w:rPr>
              <w:t>TBD</w:t>
            </w:r>
          </w:p>
        </w:tc>
        <w:tc>
          <w:tcPr>
            <w:tcW w:w="700" w:type="dxa"/>
            <w:shd w:val="clear" w:color="auto" w:fill="EEF3F8"/>
            <w:vAlign w:val="center"/>
          </w:tcPr>
          <w:p w14:paraId="0BDAAB80" w14:textId="77777777" w:rsidR="003D1017" w:rsidRDefault="00000000">
            <w:pPr>
              <w:keepNext/>
              <w:keepLines/>
              <w:spacing w:before="20" w:after="20"/>
              <w:jc w:val="center"/>
            </w:pPr>
            <w:r>
              <w:rPr>
                <w:rFonts w:ascii="Times New Roman" w:hAnsi="Times New Roman" w:cs="Times New Roman"/>
                <w:sz w:val="15"/>
                <w:szCs w:val="15"/>
              </w:rPr>
              <w:t>TBD</w:t>
            </w:r>
          </w:p>
        </w:tc>
        <w:tc>
          <w:tcPr>
            <w:tcW w:w="900" w:type="dxa"/>
            <w:shd w:val="clear" w:color="auto" w:fill="EEF3F8"/>
            <w:vAlign w:val="center"/>
          </w:tcPr>
          <w:p w14:paraId="5EF1FBCE" w14:textId="77777777" w:rsidR="003D1017" w:rsidRDefault="00000000">
            <w:pPr>
              <w:keepNext/>
              <w:keepLines/>
              <w:spacing w:before="20" w:after="20"/>
              <w:jc w:val="center"/>
            </w:pPr>
            <w:r>
              <w:rPr>
                <w:rFonts w:ascii="Times New Roman" w:hAnsi="Times New Roman" w:cs="Times New Roman"/>
                <w:sz w:val="15"/>
                <w:szCs w:val="15"/>
              </w:rPr>
              <w:t>TBD</w:t>
            </w:r>
          </w:p>
        </w:tc>
      </w:tr>
      <w:tr w:rsidR="003D1017" w14:paraId="212A1C6D" w14:textId="77777777">
        <w:trPr>
          <w:cantSplit/>
        </w:trPr>
        <w:tc>
          <w:tcPr>
            <w:tcW w:w="1830" w:type="dxa"/>
            <w:shd w:val="clear" w:color="auto" w:fill="FFFFFF"/>
            <w:vAlign w:val="center"/>
          </w:tcPr>
          <w:p w14:paraId="701B58B4" w14:textId="77777777" w:rsidR="003D1017" w:rsidRDefault="00000000">
            <w:pPr>
              <w:keepNext/>
              <w:keepLines/>
              <w:spacing w:before="20" w:after="20"/>
            </w:pPr>
            <w:r>
              <w:rPr>
                <w:rFonts w:ascii="Times New Roman" w:hAnsi="Times New Roman" w:cs="Times New Roman"/>
                <w:sz w:val="15"/>
                <w:szCs w:val="15"/>
              </w:rPr>
              <w:t>BrainIAC vs. DenseNet-121</w:t>
            </w:r>
          </w:p>
        </w:tc>
        <w:tc>
          <w:tcPr>
            <w:tcW w:w="700" w:type="dxa"/>
            <w:shd w:val="clear" w:color="auto" w:fill="FFFFFF"/>
            <w:vAlign w:val="center"/>
          </w:tcPr>
          <w:p w14:paraId="6426F27D" w14:textId="77777777" w:rsidR="003D1017" w:rsidRDefault="00000000">
            <w:pPr>
              <w:keepNext/>
              <w:keepLines/>
              <w:spacing w:before="20" w:after="20"/>
              <w:jc w:val="center"/>
            </w:pPr>
            <w:r>
              <w:rPr>
                <w:rFonts w:ascii="Times New Roman" w:hAnsi="Times New Roman" w:cs="Times New Roman"/>
                <w:sz w:val="15"/>
                <w:szCs w:val="15"/>
              </w:rPr>
              <w:t>TBD</w:t>
            </w:r>
          </w:p>
        </w:tc>
        <w:tc>
          <w:tcPr>
            <w:tcW w:w="900" w:type="dxa"/>
            <w:shd w:val="clear" w:color="auto" w:fill="FFFFFF"/>
            <w:vAlign w:val="center"/>
          </w:tcPr>
          <w:p w14:paraId="4531A46A" w14:textId="77777777" w:rsidR="003D1017" w:rsidRDefault="00000000">
            <w:pPr>
              <w:keepNext/>
              <w:keepLines/>
              <w:spacing w:before="20" w:after="20"/>
              <w:jc w:val="center"/>
            </w:pPr>
            <w:r>
              <w:rPr>
                <w:rFonts w:ascii="Times New Roman" w:hAnsi="Times New Roman" w:cs="Times New Roman"/>
                <w:sz w:val="15"/>
                <w:szCs w:val="15"/>
              </w:rPr>
              <w:t>TBD</w:t>
            </w:r>
          </w:p>
        </w:tc>
        <w:tc>
          <w:tcPr>
            <w:tcW w:w="700" w:type="dxa"/>
            <w:shd w:val="clear" w:color="auto" w:fill="FFFFFF"/>
            <w:vAlign w:val="center"/>
          </w:tcPr>
          <w:p w14:paraId="1C7D4BC7" w14:textId="77777777" w:rsidR="003D1017" w:rsidRDefault="00000000">
            <w:pPr>
              <w:keepNext/>
              <w:keepLines/>
              <w:spacing w:before="20" w:after="20"/>
              <w:jc w:val="center"/>
            </w:pPr>
            <w:r>
              <w:rPr>
                <w:rFonts w:ascii="Times New Roman" w:hAnsi="Times New Roman" w:cs="Times New Roman"/>
                <w:sz w:val="15"/>
                <w:szCs w:val="15"/>
              </w:rPr>
              <w:t>TBD</w:t>
            </w:r>
          </w:p>
        </w:tc>
        <w:tc>
          <w:tcPr>
            <w:tcW w:w="900" w:type="dxa"/>
            <w:shd w:val="clear" w:color="auto" w:fill="FFFFFF"/>
            <w:vAlign w:val="center"/>
          </w:tcPr>
          <w:p w14:paraId="0DD0DFE5" w14:textId="77777777" w:rsidR="003D1017" w:rsidRDefault="00000000">
            <w:pPr>
              <w:keepNext/>
              <w:keepLines/>
              <w:spacing w:before="20" w:after="20"/>
              <w:jc w:val="center"/>
            </w:pPr>
            <w:r>
              <w:rPr>
                <w:rFonts w:ascii="Times New Roman" w:hAnsi="Times New Roman" w:cs="Times New Roman"/>
                <w:sz w:val="15"/>
                <w:szCs w:val="15"/>
              </w:rPr>
              <w:t>TBD</w:t>
            </w:r>
          </w:p>
        </w:tc>
      </w:tr>
      <w:tr w:rsidR="003D1017" w14:paraId="7C73A2BA" w14:textId="77777777">
        <w:trPr>
          <w:cantSplit/>
        </w:trPr>
        <w:tc>
          <w:tcPr>
            <w:tcW w:w="1830" w:type="dxa"/>
            <w:shd w:val="clear" w:color="auto" w:fill="EEF3F8"/>
            <w:vAlign w:val="center"/>
          </w:tcPr>
          <w:p w14:paraId="679138F8" w14:textId="77777777" w:rsidR="003D1017" w:rsidRDefault="00000000">
            <w:pPr>
              <w:keepNext/>
              <w:keepLines/>
              <w:spacing w:before="20" w:after="20"/>
            </w:pPr>
            <w:r>
              <w:rPr>
                <w:rFonts w:ascii="Times New Roman" w:hAnsi="Times New Roman" w:cs="Times New Roman"/>
                <w:sz w:val="15"/>
                <w:szCs w:val="15"/>
              </w:rPr>
              <w:t>BrainIAC vs. LightGBM</w:t>
            </w:r>
          </w:p>
        </w:tc>
        <w:tc>
          <w:tcPr>
            <w:tcW w:w="700" w:type="dxa"/>
            <w:shd w:val="clear" w:color="auto" w:fill="EEF3F8"/>
            <w:vAlign w:val="center"/>
          </w:tcPr>
          <w:p w14:paraId="494364D9" w14:textId="77777777" w:rsidR="003D1017" w:rsidRDefault="00000000">
            <w:pPr>
              <w:keepNext/>
              <w:keepLines/>
              <w:spacing w:before="20" w:after="20"/>
              <w:jc w:val="center"/>
            </w:pPr>
            <w:r>
              <w:rPr>
                <w:rFonts w:ascii="Times New Roman" w:hAnsi="Times New Roman" w:cs="Times New Roman"/>
                <w:sz w:val="15"/>
                <w:szCs w:val="15"/>
              </w:rPr>
              <w:t>TBD</w:t>
            </w:r>
          </w:p>
        </w:tc>
        <w:tc>
          <w:tcPr>
            <w:tcW w:w="900" w:type="dxa"/>
            <w:shd w:val="clear" w:color="auto" w:fill="EEF3F8"/>
            <w:vAlign w:val="center"/>
          </w:tcPr>
          <w:p w14:paraId="3980C21B" w14:textId="77777777" w:rsidR="003D1017" w:rsidRDefault="00000000">
            <w:pPr>
              <w:keepNext/>
              <w:keepLines/>
              <w:spacing w:before="20" w:after="20"/>
              <w:jc w:val="center"/>
            </w:pPr>
            <w:r>
              <w:rPr>
                <w:rFonts w:ascii="Times New Roman" w:hAnsi="Times New Roman" w:cs="Times New Roman"/>
                <w:sz w:val="15"/>
                <w:szCs w:val="15"/>
              </w:rPr>
              <w:t>TBD</w:t>
            </w:r>
          </w:p>
        </w:tc>
        <w:tc>
          <w:tcPr>
            <w:tcW w:w="700" w:type="dxa"/>
            <w:shd w:val="clear" w:color="auto" w:fill="EEF3F8"/>
            <w:vAlign w:val="center"/>
          </w:tcPr>
          <w:p w14:paraId="1BA36785" w14:textId="77777777" w:rsidR="003D1017" w:rsidRDefault="00000000">
            <w:pPr>
              <w:keepNext/>
              <w:keepLines/>
              <w:spacing w:before="20" w:after="20"/>
              <w:jc w:val="center"/>
            </w:pPr>
            <w:r>
              <w:rPr>
                <w:rFonts w:ascii="Times New Roman" w:hAnsi="Times New Roman" w:cs="Times New Roman"/>
                <w:sz w:val="15"/>
                <w:szCs w:val="15"/>
              </w:rPr>
              <w:t>TBD</w:t>
            </w:r>
          </w:p>
        </w:tc>
        <w:tc>
          <w:tcPr>
            <w:tcW w:w="900" w:type="dxa"/>
            <w:shd w:val="clear" w:color="auto" w:fill="EEF3F8"/>
            <w:vAlign w:val="center"/>
          </w:tcPr>
          <w:p w14:paraId="66C70765" w14:textId="77777777" w:rsidR="003D1017" w:rsidRDefault="00000000">
            <w:pPr>
              <w:keepNext/>
              <w:keepLines/>
              <w:spacing w:before="20" w:after="20"/>
              <w:jc w:val="center"/>
            </w:pPr>
            <w:r>
              <w:rPr>
                <w:rFonts w:ascii="Times New Roman" w:hAnsi="Times New Roman" w:cs="Times New Roman"/>
                <w:sz w:val="15"/>
                <w:szCs w:val="15"/>
              </w:rPr>
              <w:t>TBD</w:t>
            </w:r>
          </w:p>
        </w:tc>
      </w:tr>
      <w:tr w:rsidR="003D1017" w14:paraId="7981CE0E" w14:textId="77777777">
        <w:trPr>
          <w:cantSplit/>
        </w:trPr>
        <w:tc>
          <w:tcPr>
            <w:tcW w:w="1830" w:type="dxa"/>
            <w:shd w:val="clear" w:color="auto" w:fill="FFFFFF"/>
            <w:vAlign w:val="center"/>
          </w:tcPr>
          <w:p w14:paraId="7B36AF21" w14:textId="77777777" w:rsidR="003D1017" w:rsidRDefault="00000000">
            <w:pPr>
              <w:keepNext/>
              <w:keepLines/>
              <w:spacing w:before="20" w:after="20"/>
            </w:pPr>
            <w:r>
              <w:rPr>
                <w:rFonts w:ascii="Times New Roman" w:hAnsi="Times New Roman" w:cs="Times New Roman"/>
                <w:sz w:val="15"/>
                <w:szCs w:val="15"/>
              </w:rPr>
              <w:t>FOMO25 vs. ResNet-18</w:t>
            </w:r>
          </w:p>
        </w:tc>
        <w:tc>
          <w:tcPr>
            <w:tcW w:w="700" w:type="dxa"/>
            <w:shd w:val="clear" w:color="auto" w:fill="FFFFFF"/>
            <w:vAlign w:val="center"/>
          </w:tcPr>
          <w:p w14:paraId="7BE9850A" w14:textId="77777777" w:rsidR="003D1017" w:rsidRDefault="00000000">
            <w:pPr>
              <w:keepNext/>
              <w:keepLines/>
              <w:spacing w:before="20" w:after="20"/>
              <w:jc w:val="center"/>
            </w:pPr>
            <w:r>
              <w:rPr>
                <w:rFonts w:ascii="Times New Roman" w:hAnsi="Times New Roman" w:cs="Times New Roman"/>
                <w:sz w:val="15"/>
                <w:szCs w:val="15"/>
              </w:rPr>
              <w:t>TBD</w:t>
            </w:r>
          </w:p>
        </w:tc>
        <w:tc>
          <w:tcPr>
            <w:tcW w:w="900" w:type="dxa"/>
            <w:shd w:val="clear" w:color="auto" w:fill="FFFFFF"/>
            <w:vAlign w:val="center"/>
          </w:tcPr>
          <w:p w14:paraId="48A1BACE" w14:textId="77777777" w:rsidR="003D1017" w:rsidRDefault="00000000">
            <w:pPr>
              <w:keepNext/>
              <w:keepLines/>
              <w:spacing w:before="20" w:after="20"/>
              <w:jc w:val="center"/>
            </w:pPr>
            <w:r>
              <w:rPr>
                <w:rFonts w:ascii="Times New Roman" w:hAnsi="Times New Roman" w:cs="Times New Roman"/>
                <w:sz w:val="15"/>
                <w:szCs w:val="15"/>
              </w:rPr>
              <w:t>TBD</w:t>
            </w:r>
          </w:p>
        </w:tc>
        <w:tc>
          <w:tcPr>
            <w:tcW w:w="700" w:type="dxa"/>
            <w:shd w:val="clear" w:color="auto" w:fill="FFFFFF"/>
            <w:vAlign w:val="center"/>
          </w:tcPr>
          <w:p w14:paraId="7F885982" w14:textId="77777777" w:rsidR="003D1017" w:rsidRDefault="00000000">
            <w:pPr>
              <w:keepNext/>
              <w:keepLines/>
              <w:spacing w:before="20" w:after="20"/>
              <w:jc w:val="center"/>
            </w:pPr>
            <w:r>
              <w:rPr>
                <w:rFonts w:ascii="Times New Roman" w:hAnsi="Times New Roman" w:cs="Times New Roman"/>
                <w:sz w:val="15"/>
                <w:szCs w:val="15"/>
              </w:rPr>
              <w:t>TBD</w:t>
            </w:r>
          </w:p>
        </w:tc>
        <w:tc>
          <w:tcPr>
            <w:tcW w:w="900" w:type="dxa"/>
            <w:shd w:val="clear" w:color="auto" w:fill="FFFFFF"/>
            <w:vAlign w:val="center"/>
          </w:tcPr>
          <w:p w14:paraId="2CDEC6EA" w14:textId="77777777" w:rsidR="003D1017" w:rsidRDefault="00000000">
            <w:pPr>
              <w:keepNext/>
              <w:keepLines/>
              <w:spacing w:before="20" w:after="20"/>
              <w:jc w:val="center"/>
            </w:pPr>
            <w:r>
              <w:rPr>
                <w:rFonts w:ascii="Times New Roman" w:hAnsi="Times New Roman" w:cs="Times New Roman"/>
                <w:sz w:val="15"/>
                <w:szCs w:val="15"/>
              </w:rPr>
              <w:t>TBD</w:t>
            </w:r>
          </w:p>
        </w:tc>
      </w:tr>
      <w:tr w:rsidR="003D1017" w14:paraId="70041DEE" w14:textId="77777777">
        <w:trPr>
          <w:cantSplit/>
        </w:trPr>
        <w:tc>
          <w:tcPr>
            <w:tcW w:w="1830" w:type="dxa"/>
            <w:shd w:val="clear" w:color="auto" w:fill="EEF3F8"/>
            <w:vAlign w:val="center"/>
          </w:tcPr>
          <w:p w14:paraId="03CAE121" w14:textId="77777777" w:rsidR="003D1017" w:rsidRDefault="00000000">
            <w:pPr>
              <w:keepNext/>
              <w:keepLines/>
              <w:spacing w:before="20" w:after="20"/>
            </w:pPr>
            <w:r>
              <w:rPr>
                <w:rFonts w:ascii="Times New Roman" w:hAnsi="Times New Roman" w:cs="Times New Roman"/>
                <w:sz w:val="15"/>
                <w:szCs w:val="15"/>
              </w:rPr>
              <w:t>FOMO25 vs. DenseNet-121</w:t>
            </w:r>
          </w:p>
        </w:tc>
        <w:tc>
          <w:tcPr>
            <w:tcW w:w="700" w:type="dxa"/>
            <w:shd w:val="clear" w:color="auto" w:fill="EEF3F8"/>
            <w:vAlign w:val="center"/>
          </w:tcPr>
          <w:p w14:paraId="192B7426" w14:textId="77777777" w:rsidR="003D1017" w:rsidRDefault="00000000">
            <w:pPr>
              <w:keepNext/>
              <w:keepLines/>
              <w:spacing w:before="20" w:after="20"/>
              <w:jc w:val="center"/>
            </w:pPr>
            <w:r>
              <w:rPr>
                <w:rFonts w:ascii="Times New Roman" w:hAnsi="Times New Roman" w:cs="Times New Roman"/>
                <w:sz w:val="15"/>
                <w:szCs w:val="15"/>
              </w:rPr>
              <w:t>TBD</w:t>
            </w:r>
          </w:p>
        </w:tc>
        <w:tc>
          <w:tcPr>
            <w:tcW w:w="900" w:type="dxa"/>
            <w:shd w:val="clear" w:color="auto" w:fill="EEF3F8"/>
            <w:vAlign w:val="center"/>
          </w:tcPr>
          <w:p w14:paraId="3313A262" w14:textId="77777777" w:rsidR="003D1017" w:rsidRDefault="00000000">
            <w:pPr>
              <w:keepNext/>
              <w:keepLines/>
              <w:spacing w:before="20" w:after="20"/>
              <w:jc w:val="center"/>
            </w:pPr>
            <w:r>
              <w:rPr>
                <w:rFonts w:ascii="Times New Roman" w:hAnsi="Times New Roman" w:cs="Times New Roman"/>
                <w:sz w:val="15"/>
                <w:szCs w:val="15"/>
              </w:rPr>
              <w:t>TBD</w:t>
            </w:r>
          </w:p>
        </w:tc>
        <w:tc>
          <w:tcPr>
            <w:tcW w:w="700" w:type="dxa"/>
            <w:shd w:val="clear" w:color="auto" w:fill="EEF3F8"/>
            <w:vAlign w:val="center"/>
          </w:tcPr>
          <w:p w14:paraId="13495582" w14:textId="77777777" w:rsidR="003D1017" w:rsidRDefault="00000000">
            <w:pPr>
              <w:keepNext/>
              <w:keepLines/>
              <w:spacing w:before="20" w:after="20"/>
              <w:jc w:val="center"/>
            </w:pPr>
            <w:r>
              <w:rPr>
                <w:rFonts w:ascii="Times New Roman" w:hAnsi="Times New Roman" w:cs="Times New Roman"/>
                <w:sz w:val="15"/>
                <w:szCs w:val="15"/>
              </w:rPr>
              <w:t>TBD</w:t>
            </w:r>
          </w:p>
        </w:tc>
        <w:tc>
          <w:tcPr>
            <w:tcW w:w="900" w:type="dxa"/>
            <w:shd w:val="clear" w:color="auto" w:fill="EEF3F8"/>
            <w:vAlign w:val="center"/>
          </w:tcPr>
          <w:p w14:paraId="7F620FC6" w14:textId="77777777" w:rsidR="003D1017" w:rsidRDefault="00000000">
            <w:pPr>
              <w:keepNext/>
              <w:keepLines/>
              <w:spacing w:before="20" w:after="20"/>
              <w:jc w:val="center"/>
            </w:pPr>
            <w:r>
              <w:rPr>
                <w:rFonts w:ascii="Times New Roman" w:hAnsi="Times New Roman" w:cs="Times New Roman"/>
                <w:sz w:val="15"/>
                <w:szCs w:val="15"/>
              </w:rPr>
              <w:t>TBD</w:t>
            </w:r>
          </w:p>
        </w:tc>
      </w:tr>
      <w:tr w:rsidR="003D1017" w14:paraId="57EACA5E" w14:textId="77777777">
        <w:trPr>
          <w:cantSplit/>
        </w:trPr>
        <w:tc>
          <w:tcPr>
            <w:tcW w:w="1830" w:type="dxa"/>
            <w:shd w:val="clear" w:color="auto" w:fill="FFFFFF"/>
            <w:vAlign w:val="center"/>
          </w:tcPr>
          <w:p w14:paraId="68FD2F2A" w14:textId="77777777" w:rsidR="003D1017" w:rsidRDefault="00000000">
            <w:pPr>
              <w:spacing w:before="20" w:after="20"/>
            </w:pPr>
            <w:r>
              <w:rPr>
                <w:rFonts w:ascii="Times New Roman" w:hAnsi="Times New Roman" w:cs="Times New Roman"/>
                <w:sz w:val="15"/>
                <w:szCs w:val="15"/>
              </w:rPr>
              <w:t>FOMO25 vs. LightGBM</w:t>
            </w:r>
          </w:p>
        </w:tc>
        <w:tc>
          <w:tcPr>
            <w:tcW w:w="700" w:type="dxa"/>
            <w:shd w:val="clear" w:color="auto" w:fill="FFFFFF"/>
            <w:vAlign w:val="center"/>
          </w:tcPr>
          <w:p w14:paraId="54075A43" w14:textId="77777777" w:rsidR="003D1017" w:rsidRDefault="00000000">
            <w:pPr>
              <w:spacing w:before="20" w:after="20"/>
              <w:jc w:val="center"/>
            </w:pPr>
            <w:r>
              <w:rPr>
                <w:rFonts w:ascii="Times New Roman" w:hAnsi="Times New Roman" w:cs="Times New Roman"/>
                <w:sz w:val="15"/>
                <w:szCs w:val="15"/>
              </w:rPr>
              <w:t>TBD</w:t>
            </w:r>
          </w:p>
        </w:tc>
        <w:tc>
          <w:tcPr>
            <w:tcW w:w="900" w:type="dxa"/>
            <w:shd w:val="clear" w:color="auto" w:fill="FFFFFF"/>
            <w:vAlign w:val="center"/>
          </w:tcPr>
          <w:p w14:paraId="391EADC8" w14:textId="77777777" w:rsidR="003D1017" w:rsidRDefault="00000000">
            <w:pPr>
              <w:spacing w:before="20" w:after="20"/>
              <w:jc w:val="center"/>
            </w:pPr>
            <w:r>
              <w:rPr>
                <w:rFonts w:ascii="Times New Roman" w:hAnsi="Times New Roman" w:cs="Times New Roman"/>
                <w:sz w:val="15"/>
                <w:szCs w:val="15"/>
              </w:rPr>
              <w:t>TBD</w:t>
            </w:r>
          </w:p>
        </w:tc>
        <w:tc>
          <w:tcPr>
            <w:tcW w:w="700" w:type="dxa"/>
            <w:shd w:val="clear" w:color="auto" w:fill="FFFFFF"/>
            <w:vAlign w:val="center"/>
          </w:tcPr>
          <w:p w14:paraId="68FDABA5" w14:textId="77777777" w:rsidR="003D1017" w:rsidRDefault="00000000">
            <w:pPr>
              <w:spacing w:before="20" w:after="20"/>
              <w:jc w:val="center"/>
            </w:pPr>
            <w:r>
              <w:rPr>
                <w:rFonts w:ascii="Times New Roman" w:hAnsi="Times New Roman" w:cs="Times New Roman"/>
                <w:sz w:val="15"/>
                <w:szCs w:val="15"/>
              </w:rPr>
              <w:t>TBD</w:t>
            </w:r>
          </w:p>
        </w:tc>
        <w:tc>
          <w:tcPr>
            <w:tcW w:w="900" w:type="dxa"/>
            <w:shd w:val="clear" w:color="auto" w:fill="FFFFFF"/>
            <w:vAlign w:val="center"/>
          </w:tcPr>
          <w:p w14:paraId="66AEB88C" w14:textId="77777777" w:rsidR="003D1017" w:rsidRDefault="00000000">
            <w:pPr>
              <w:spacing w:before="20" w:after="20"/>
              <w:jc w:val="center"/>
            </w:pPr>
            <w:r>
              <w:rPr>
                <w:rFonts w:ascii="Times New Roman" w:hAnsi="Times New Roman" w:cs="Times New Roman"/>
                <w:sz w:val="15"/>
                <w:szCs w:val="15"/>
              </w:rPr>
              <w:t>TBD</w:t>
            </w:r>
          </w:p>
        </w:tc>
      </w:tr>
    </w:tbl>
    <w:p w14:paraId="65626D7C" w14:textId="77777777" w:rsidR="003D1017" w:rsidRDefault="003D1017">
      <w:pPr>
        <w:spacing w:after="60"/>
      </w:pPr>
    </w:p>
    <w:p w14:paraId="0C0F191F" w14:textId="77777777" w:rsidR="003D1017" w:rsidRDefault="00000000">
      <w:pPr>
        <w:keepNext/>
        <w:keepLines/>
        <w:spacing w:before="140" w:after="60"/>
      </w:pPr>
      <w:r>
        <w:rPr>
          <w:b/>
          <w:bCs/>
          <w:i/>
          <w:iCs/>
          <w:sz w:val="20"/>
          <w:szCs w:val="20"/>
        </w:rPr>
        <w:t>F. Label Equivalence, Compute and Rank Stability</w:t>
      </w:r>
    </w:p>
    <w:p w14:paraId="3A438364" w14:textId="77777777" w:rsidR="003D1017" w:rsidRDefault="00000000">
      <w:pPr>
        <w:spacing w:after="100" w:line="252" w:lineRule="auto"/>
        <w:jc w:val="both"/>
      </w:pPr>
      <w:r>
        <w:rPr>
          <w:sz w:val="20"/>
          <w:szCs w:val="20"/>
        </w:rPr>
        <w:t xml:space="preserve">Table VIII gives N_eq from label_equivalence.py. A large value on the seen cohort that shrinks on the unseen cohort would mean that the label-efficiency benefit depends on pretraining exposure. The compute-matched Pareto plot from pareto.py shows MAE against total GPU-seconds for each arm. Rank stability is reported as the share of seeds in which a pair of arms swaps order.</w:t>
        <w:lastRenderedPageBreak/>
      </w:r>
    </w:p>
    <w:p w14:paraId="4B1477F5" w14:textId="77777777" w:rsidR="003D1017" w:rsidRDefault="00000000">
      <w:pPr>
        <w:keepNext/>
        <w:keepLines/>
        <w:spacing w:before="120" w:after="60"/>
        <w:jc w:val="center"/>
      </w:pPr>
      <w:r>
        <w:rPr>
          <w:b/>
          <w:bCs/>
          <w:i/>
          <w:iCs/>
          <w:sz w:val="17"/>
          <w:szCs w:val="17"/>
        </w:rPr>
        <w:t>TABLE VIII. Label Equivalence N_eq by Label Budget</w:t>
      </w:r>
    </w:p>
    <w:tbl>
      <w:tblPr>
        <w:tblW w:w="503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ayout w:type="fixed"/>
        <w:tblCellMar>
          <w:top w:w="40" w:type="dxa"/>
          <w:left w:w="70" w:type="dxa"/>
          <w:bottom w:w="40" w:type="dxa"/>
          <w:right w:w="70" w:type="dxa"/>
        </w:tblCellMar>
        <w:tblLook w:val="0000" w:firstRow="0" w:lastRow="0" w:firstColumn="0" w:lastColumn="0" w:noHBand="0" w:noVBand="0"/>
      </w:tblPr>
      <w:tblGrid>
        <w:gridCol w:w="1200"/>
        <w:gridCol w:w="1900"/>
        <w:gridCol w:w="1930"/>
      </w:tblGrid>
      <w:tr w:rsidR="003D1017" w14:paraId="2149C0D0" w14:textId="77777777">
        <w:trPr>
          <w:cantSplit/>
          <w:tblHeader/>
        </w:trPr>
        <w:tc>
          <w:tcPr>
            <w:tcW w:w="1200" w:type="dxa"/>
            <w:shd w:val="clear" w:color="auto" w:fill="003087"/>
            <w:vAlign w:val="center"/>
          </w:tcPr>
          <w:p w14:paraId="6B4AC9AB" w14:textId="77777777" w:rsidR="003D1017" w:rsidRDefault="00000000">
            <w:pPr>
              <w:keepNext/>
              <w:keepLines/>
              <w:spacing w:before="20" w:after="20"/>
              <w:jc w:val="center"/>
            </w:pPr>
            <w:r>
              <w:rPr>
                <w:rFonts w:ascii="Times New Roman" w:hAnsi="Times New Roman" w:cs="Times New Roman"/>
                <w:b/>
                <w:bCs/>
                <w:color w:val="FFFFFF"/>
                <w:sz w:val="15"/>
                <w:szCs w:val="15"/>
              </w:rPr>
              <w:t>N</w:t>
            </w:r>
          </w:p>
        </w:tc>
        <w:tc>
          <w:tcPr>
            <w:tcW w:w="1900" w:type="dxa"/>
            <w:shd w:val="clear" w:color="auto" w:fill="003087"/>
            <w:vAlign w:val="center"/>
          </w:tcPr>
          <w:p w14:paraId="2F2792E4" w14:textId="77777777" w:rsidR="003D1017" w:rsidRDefault="00000000">
            <w:pPr>
              <w:keepNext/>
              <w:keepLines/>
              <w:spacing w:before="20" w:after="20"/>
              <w:jc w:val="center"/>
            </w:pPr>
            <w:r>
              <w:rPr>
                <w:rFonts w:ascii="Times New Roman" w:hAnsi="Times New Roman" w:cs="Times New Roman"/>
                <w:b/>
                <w:bCs/>
                <w:color w:val="FFFFFF"/>
                <w:sz w:val="15"/>
                <w:szCs w:val="15"/>
              </w:rPr>
              <w:t>N_eq seen</w:t>
            </w:r>
          </w:p>
        </w:tc>
        <w:tc>
          <w:tcPr>
            <w:tcW w:w="1930" w:type="dxa"/>
            <w:shd w:val="clear" w:color="auto" w:fill="003087"/>
            <w:vAlign w:val="center"/>
          </w:tcPr>
          <w:p w14:paraId="1C3B12B7" w14:textId="77777777" w:rsidR="003D1017" w:rsidRDefault="00000000">
            <w:pPr>
              <w:keepNext/>
              <w:keepLines/>
              <w:spacing w:before="20" w:after="20"/>
              <w:jc w:val="center"/>
            </w:pPr>
            <w:r>
              <w:rPr>
                <w:rFonts w:ascii="Times New Roman" w:hAnsi="Times New Roman" w:cs="Times New Roman"/>
                <w:b/>
                <w:bCs/>
                <w:color w:val="FFFFFF"/>
                <w:sz w:val="15"/>
                <w:szCs w:val="15"/>
              </w:rPr>
              <w:t>N_eq unseen</w:t>
            </w:r>
          </w:p>
        </w:tc>
      </w:tr>
      <w:tr w:rsidR="003D1017" w14:paraId="079A3A44" w14:textId="77777777">
        <w:trPr>
          <w:cantSplit/>
        </w:trPr>
        <w:tc>
          <w:tcPr>
            <w:tcW w:w="1200" w:type="dxa"/>
            <w:shd w:val="clear" w:color="auto" w:fill="EEF3F8"/>
            <w:vAlign w:val="center"/>
          </w:tcPr>
          <w:p w14:paraId="2576A63C" w14:textId="77777777" w:rsidR="003D1017" w:rsidRDefault="00000000">
            <w:pPr>
              <w:keepNext/>
              <w:keepLines/>
              <w:spacing w:before="20" w:after="20"/>
              <w:jc w:val="center"/>
            </w:pPr>
            <w:r>
              <w:rPr>
                <w:rFonts w:ascii="Times New Roman" w:hAnsi="Times New Roman" w:cs="Times New Roman"/>
                <w:sz w:val="15"/>
                <w:szCs w:val="15"/>
              </w:rPr>
              <w:t>25</w:t>
            </w:r>
          </w:p>
        </w:tc>
        <w:tc>
          <w:tcPr>
            <w:tcW w:w="1900" w:type="dxa"/>
            <w:shd w:val="clear" w:color="auto" w:fill="EEF3F8"/>
            <w:vAlign w:val="center"/>
          </w:tcPr>
          <w:p w14:paraId="53D407E3" w14:textId="77777777" w:rsidR="003D1017" w:rsidRDefault="00000000">
            <w:pPr>
              <w:keepNext/>
              <w:keepLines/>
              <w:spacing w:before="20" w:after="20"/>
              <w:jc w:val="center"/>
            </w:pPr>
            <w:r>
              <w:rPr>
                <w:rFonts w:ascii="Times New Roman" w:hAnsi="Times New Roman" w:cs="Times New Roman"/>
                <w:sz w:val="15"/>
                <w:szCs w:val="15"/>
              </w:rPr>
              <w:t>TBD</w:t>
            </w:r>
          </w:p>
        </w:tc>
        <w:tc>
          <w:tcPr>
            <w:tcW w:w="1930" w:type="dxa"/>
            <w:shd w:val="clear" w:color="auto" w:fill="EEF3F8"/>
            <w:vAlign w:val="center"/>
          </w:tcPr>
          <w:p w14:paraId="083F833C" w14:textId="77777777" w:rsidR="003D1017" w:rsidRDefault="00000000">
            <w:pPr>
              <w:keepNext/>
              <w:keepLines/>
              <w:spacing w:before="20" w:after="20"/>
              <w:jc w:val="center"/>
            </w:pPr>
            <w:r>
              <w:rPr>
                <w:rFonts w:ascii="Times New Roman" w:hAnsi="Times New Roman" w:cs="Times New Roman"/>
                <w:sz w:val="15"/>
                <w:szCs w:val="15"/>
              </w:rPr>
              <w:t>TBD</w:t>
            </w:r>
          </w:p>
        </w:tc>
      </w:tr>
      <w:tr w:rsidR="003D1017" w14:paraId="4CA027EB" w14:textId="77777777">
        <w:trPr>
          <w:cantSplit/>
        </w:trPr>
        <w:tc>
          <w:tcPr>
            <w:tcW w:w="1200" w:type="dxa"/>
            <w:shd w:val="clear" w:color="auto" w:fill="FFFFFF"/>
            <w:vAlign w:val="center"/>
          </w:tcPr>
          <w:p w14:paraId="42B9EF49" w14:textId="77777777" w:rsidR="003D1017" w:rsidRDefault="00000000">
            <w:pPr>
              <w:keepNext/>
              <w:keepLines/>
              <w:spacing w:before="20" w:after="20"/>
              <w:jc w:val="center"/>
            </w:pPr>
            <w:r>
              <w:rPr>
                <w:rFonts w:ascii="Times New Roman" w:hAnsi="Times New Roman" w:cs="Times New Roman"/>
                <w:sz w:val="15"/>
                <w:szCs w:val="15"/>
              </w:rPr>
              <w:t>50</w:t>
            </w:r>
          </w:p>
        </w:tc>
        <w:tc>
          <w:tcPr>
            <w:tcW w:w="1900" w:type="dxa"/>
            <w:shd w:val="clear" w:color="auto" w:fill="FFFFFF"/>
            <w:vAlign w:val="center"/>
          </w:tcPr>
          <w:p w14:paraId="721DA047" w14:textId="77777777" w:rsidR="003D1017" w:rsidRDefault="00000000">
            <w:pPr>
              <w:keepNext/>
              <w:keepLines/>
              <w:spacing w:before="20" w:after="20"/>
              <w:jc w:val="center"/>
            </w:pPr>
            <w:r>
              <w:rPr>
                <w:rFonts w:ascii="Times New Roman" w:hAnsi="Times New Roman" w:cs="Times New Roman"/>
                <w:sz w:val="15"/>
                <w:szCs w:val="15"/>
              </w:rPr>
              <w:t>TBD</w:t>
            </w:r>
          </w:p>
        </w:tc>
        <w:tc>
          <w:tcPr>
            <w:tcW w:w="1930" w:type="dxa"/>
            <w:shd w:val="clear" w:color="auto" w:fill="FFFFFF"/>
            <w:vAlign w:val="center"/>
          </w:tcPr>
          <w:p w14:paraId="759ABF0C" w14:textId="77777777" w:rsidR="003D1017" w:rsidRDefault="00000000">
            <w:pPr>
              <w:keepNext/>
              <w:keepLines/>
              <w:spacing w:before="20" w:after="20"/>
              <w:jc w:val="center"/>
            </w:pPr>
            <w:r>
              <w:rPr>
                <w:rFonts w:ascii="Times New Roman" w:hAnsi="Times New Roman" w:cs="Times New Roman"/>
                <w:sz w:val="15"/>
                <w:szCs w:val="15"/>
              </w:rPr>
              <w:t>TBD</w:t>
            </w:r>
          </w:p>
        </w:tc>
      </w:tr>
      <w:tr w:rsidR="003D1017" w14:paraId="3B7493D3" w14:textId="77777777">
        <w:trPr>
          <w:cantSplit/>
        </w:trPr>
        <w:tc>
          <w:tcPr>
            <w:tcW w:w="1200" w:type="dxa"/>
            <w:shd w:val="clear" w:color="auto" w:fill="EEF3F8"/>
            <w:vAlign w:val="center"/>
          </w:tcPr>
          <w:p w14:paraId="37284640" w14:textId="77777777" w:rsidR="003D1017" w:rsidRDefault="00000000">
            <w:pPr>
              <w:keepNext/>
              <w:keepLines/>
              <w:spacing w:before="20" w:after="20"/>
              <w:jc w:val="center"/>
            </w:pPr>
            <w:r>
              <w:rPr>
                <w:rFonts w:ascii="Times New Roman" w:hAnsi="Times New Roman" w:cs="Times New Roman"/>
                <w:sz w:val="15"/>
                <w:szCs w:val="15"/>
              </w:rPr>
              <w:t>100</w:t>
            </w:r>
          </w:p>
        </w:tc>
        <w:tc>
          <w:tcPr>
            <w:tcW w:w="1900" w:type="dxa"/>
            <w:shd w:val="clear" w:color="auto" w:fill="EEF3F8"/>
            <w:vAlign w:val="center"/>
          </w:tcPr>
          <w:p w14:paraId="1F1BE3F6" w14:textId="77777777" w:rsidR="003D1017" w:rsidRDefault="00000000">
            <w:pPr>
              <w:keepNext/>
              <w:keepLines/>
              <w:spacing w:before="20" w:after="20"/>
              <w:jc w:val="center"/>
            </w:pPr>
            <w:r>
              <w:rPr>
                <w:rFonts w:ascii="Times New Roman" w:hAnsi="Times New Roman" w:cs="Times New Roman"/>
                <w:sz w:val="15"/>
                <w:szCs w:val="15"/>
              </w:rPr>
              <w:t>TBD</w:t>
            </w:r>
          </w:p>
        </w:tc>
        <w:tc>
          <w:tcPr>
            <w:tcW w:w="1930" w:type="dxa"/>
            <w:shd w:val="clear" w:color="auto" w:fill="EEF3F8"/>
            <w:vAlign w:val="center"/>
          </w:tcPr>
          <w:p w14:paraId="0C051EA0" w14:textId="77777777" w:rsidR="003D1017" w:rsidRDefault="00000000">
            <w:pPr>
              <w:keepNext/>
              <w:keepLines/>
              <w:spacing w:before="20" w:after="20"/>
              <w:jc w:val="center"/>
            </w:pPr>
            <w:r>
              <w:rPr>
                <w:rFonts w:ascii="Times New Roman" w:hAnsi="Times New Roman" w:cs="Times New Roman"/>
                <w:sz w:val="15"/>
                <w:szCs w:val="15"/>
              </w:rPr>
              <w:t>TBD</w:t>
            </w:r>
          </w:p>
        </w:tc>
      </w:tr>
      <w:tr w:rsidR="003D1017" w14:paraId="56066287" w14:textId="77777777">
        <w:trPr>
          <w:cantSplit/>
        </w:trPr>
        <w:tc>
          <w:tcPr>
            <w:tcW w:w="1200" w:type="dxa"/>
            <w:shd w:val="clear" w:color="auto" w:fill="FFFFFF"/>
            <w:vAlign w:val="center"/>
          </w:tcPr>
          <w:p w14:paraId="0257EC3C" w14:textId="77777777" w:rsidR="003D1017" w:rsidRDefault="00000000">
            <w:pPr>
              <w:keepNext/>
              <w:keepLines/>
              <w:spacing w:before="20" w:after="20"/>
              <w:jc w:val="center"/>
            </w:pPr>
            <w:r>
              <w:rPr>
                <w:rFonts w:ascii="Times New Roman" w:hAnsi="Times New Roman" w:cs="Times New Roman"/>
                <w:sz w:val="15"/>
                <w:szCs w:val="15"/>
              </w:rPr>
              <w:t>250</w:t>
            </w:r>
          </w:p>
        </w:tc>
        <w:tc>
          <w:tcPr>
            <w:tcW w:w="1900" w:type="dxa"/>
            <w:shd w:val="clear" w:color="auto" w:fill="FFFFFF"/>
            <w:vAlign w:val="center"/>
          </w:tcPr>
          <w:p w14:paraId="020E6077" w14:textId="77777777" w:rsidR="003D1017" w:rsidRDefault="00000000">
            <w:pPr>
              <w:keepNext/>
              <w:keepLines/>
              <w:spacing w:before="20" w:after="20"/>
              <w:jc w:val="center"/>
            </w:pPr>
            <w:r>
              <w:rPr>
                <w:rFonts w:ascii="Times New Roman" w:hAnsi="Times New Roman" w:cs="Times New Roman"/>
                <w:sz w:val="15"/>
                <w:szCs w:val="15"/>
              </w:rPr>
              <w:t>TBD</w:t>
            </w:r>
          </w:p>
        </w:tc>
        <w:tc>
          <w:tcPr>
            <w:tcW w:w="1930" w:type="dxa"/>
            <w:shd w:val="clear" w:color="auto" w:fill="FFFFFF"/>
            <w:vAlign w:val="center"/>
          </w:tcPr>
          <w:p w14:paraId="7C975E37" w14:textId="77777777" w:rsidR="003D1017" w:rsidRDefault="00000000">
            <w:pPr>
              <w:keepNext/>
              <w:keepLines/>
              <w:spacing w:before="20" w:after="20"/>
              <w:jc w:val="center"/>
            </w:pPr>
            <w:r>
              <w:rPr>
                <w:rFonts w:ascii="Times New Roman" w:hAnsi="Times New Roman" w:cs="Times New Roman"/>
                <w:sz w:val="15"/>
                <w:szCs w:val="15"/>
              </w:rPr>
              <w:t>TBD</w:t>
            </w:r>
          </w:p>
        </w:tc>
      </w:tr>
      <w:tr w:rsidR="003D1017" w14:paraId="7BAC73A7" w14:textId="77777777">
        <w:trPr>
          <w:cantSplit/>
        </w:trPr>
        <w:tc>
          <w:tcPr>
            <w:tcW w:w="1200" w:type="dxa"/>
            <w:shd w:val="clear" w:color="auto" w:fill="EEF3F8"/>
            <w:vAlign w:val="center"/>
          </w:tcPr>
          <w:p w14:paraId="4DFEC5A9" w14:textId="77777777" w:rsidR="003D1017" w:rsidRDefault="00000000">
            <w:pPr>
              <w:spacing w:before="20" w:after="20"/>
              <w:jc w:val="center"/>
            </w:pPr>
            <w:r>
              <w:rPr>
                <w:rFonts w:ascii="Times New Roman" w:hAnsi="Times New Roman" w:cs="Times New Roman"/>
                <w:sz w:val="15"/>
                <w:szCs w:val="15"/>
              </w:rPr>
              <w:t>500</w:t>
            </w:r>
          </w:p>
        </w:tc>
        <w:tc>
          <w:tcPr>
            <w:tcW w:w="1900" w:type="dxa"/>
            <w:shd w:val="clear" w:color="auto" w:fill="EEF3F8"/>
            <w:vAlign w:val="center"/>
          </w:tcPr>
          <w:p w14:paraId="41F1BE75" w14:textId="77777777" w:rsidR="003D1017" w:rsidRDefault="00000000">
            <w:pPr>
              <w:spacing w:before="20" w:after="20"/>
              <w:jc w:val="center"/>
            </w:pPr>
            <w:r>
              <w:rPr>
                <w:rFonts w:ascii="Times New Roman" w:hAnsi="Times New Roman" w:cs="Times New Roman"/>
                <w:sz w:val="15"/>
                <w:szCs w:val="15"/>
              </w:rPr>
              <w:t>TBD</w:t>
            </w:r>
          </w:p>
        </w:tc>
        <w:tc>
          <w:tcPr>
            <w:tcW w:w="1930" w:type="dxa"/>
            <w:shd w:val="clear" w:color="auto" w:fill="EEF3F8"/>
            <w:vAlign w:val="center"/>
          </w:tcPr>
          <w:p w14:paraId="72247514" w14:textId="77777777" w:rsidR="003D1017" w:rsidRDefault="00000000">
            <w:pPr>
              <w:spacing w:before="20" w:after="20"/>
              <w:jc w:val="center"/>
            </w:pPr>
            <w:r>
              <w:rPr>
                <w:rFonts w:ascii="Times New Roman" w:hAnsi="Times New Roman" w:cs="Times New Roman"/>
                <w:sz w:val="15"/>
                <w:szCs w:val="15"/>
              </w:rPr>
              <w:t>TBD</w:t>
            </w:r>
          </w:p>
        </w:tc>
      </w:tr>
    </w:tbl>
    <w:p w14:paraId="21DDC362" w14:textId="77777777" w:rsidR="003D1017" w:rsidRDefault="003D1017">
      <w:pPr>
        <w:spacing w:after="60"/>
      </w:pPr>
    </w:p>
    <w:p w14:paraId="539D47DD" w14:textId="77777777" w:rsidR="003D1017" w:rsidRDefault="00000000">
      <w:pPr>
        <w:keepNext/>
        <w:keepLines/>
        <w:spacing w:before="140" w:after="60"/>
      </w:pPr>
      <w:r>
        <w:rPr>
          <w:b/>
          <w:bCs/>
          <w:i/>
          <w:iCs/>
          <w:sz w:val="20"/>
          <w:szCs w:val="20"/>
        </w:rPr>
        <w:t>G. Ablation and Sensitivity Analyses</w:t>
      </w:r>
    </w:p>
    <w:p w14:paraId="53DACB24" w14:textId="77777777" w:rsidR="003D1017" w:rsidRDefault="00000000">
      <w:pPr>
        <w:spacing w:after="100" w:line="252" w:lineRule="auto"/>
        <w:jc w:val="both"/>
      </w:pPr>
      <w:r>
        <w:rPr>
          <w:sz w:val="20"/>
          <w:szCs w:val="20"/>
        </w:rPr>
        <w:t xml:space="preserve">Five analyses test how robust the main contrast is. Table IX lists them along with the question each one answers.</w:t>
      </w:r>
    </w:p>
    <w:p w14:paraId="0BB00676" w14:textId="77777777" w:rsidR="003D1017" w:rsidRDefault="00000000">
      <w:pPr>
        <w:keepNext/>
        <w:keepLines/>
        <w:spacing w:before="120" w:after="60"/>
        <w:jc w:val="center"/>
      </w:pPr>
      <w:r>
        <w:rPr>
          <w:b/>
          <w:bCs/>
          <w:i/>
          <w:iCs/>
          <w:sz w:val="17"/>
          <w:szCs w:val="17"/>
        </w:rPr>
        <w:t>TABLE IX. Planned Ablation and Sensitivity Analyses</w:t>
      </w:r>
    </w:p>
    <w:tbl>
      <w:tblPr>
        <w:tblW w:w="503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ayout w:type="fixed"/>
        <w:tblCellMar>
          <w:top w:w="40" w:type="dxa"/>
          <w:left w:w="70" w:type="dxa"/>
          <w:bottom w:w="40" w:type="dxa"/>
          <w:right w:w="70" w:type="dxa"/>
        </w:tblCellMar>
        <w:tblLook w:val="0000" w:firstRow="0" w:lastRow="0" w:firstColumn="0" w:lastColumn="0" w:noHBand="0" w:noVBand="0"/>
      </w:tblPr>
      <w:tblGrid>
        <w:gridCol w:w="1250"/>
        <w:gridCol w:w="1100"/>
        <w:gridCol w:w="2680"/>
      </w:tblGrid>
      <w:tr w:rsidR="003D1017" w14:paraId="28AEF07E" w14:textId="77777777">
        <w:trPr>
          <w:cantSplit/>
          <w:tblHeader/>
        </w:trPr>
        <w:tc>
          <w:tcPr>
            <w:tcW w:w="1250" w:type="dxa"/>
            <w:shd w:val="clear" w:color="auto" w:fill="003087"/>
            <w:vAlign w:val="center"/>
          </w:tcPr>
          <w:p w14:paraId="7AF4A34C" w14:textId="77777777" w:rsidR="003D1017" w:rsidRDefault="00000000">
            <w:pPr>
              <w:keepNext/>
              <w:keepLines/>
              <w:spacing w:before="20" w:after="20"/>
              <w:jc w:val="center"/>
            </w:pPr>
            <w:r>
              <w:rPr>
                <w:rFonts w:ascii="Times New Roman" w:hAnsi="Times New Roman" w:cs="Times New Roman"/>
                <w:b/>
                <w:bCs/>
                <w:color w:val="FFFFFF"/>
                <w:sz w:val="15"/>
                <w:szCs w:val="15"/>
              </w:rPr>
              <w:t>Factor varied</w:t>
            </w:r>
          </w:p>
        </w:tc>
        <w:tc>
          <w:tcPr>
            <w:tcW w:w="1100" w:type="dxa"/>
            <w:shd w:val="clear" w:color="auto" w:fill="003087"/>
            <w:vAlign w:val="center"/>
          </w:tcPr>
          <w:p w14:paraId="162990ED" w14:textId="77777777" w:rsidR="003D1017" w:rsidRDefault="00000000">
            <w:pPr>
              <w:keepNext/>
              <w:keepLines/>
              <w:spacing w:before="20" w:after="20"/>
              <w:jc w:val="center"/>
            </w:pPr>
            <w:r>
              <w:rPr>
                <w:rFonts w:ascii="Times New Roman" w:hAnsi="Times New Roman" w:cs="Times New Roman"/>
                <w:b/>
                <w:bCs/>
                <w:color w:val="FFFFFF"/>
                <w:sz w:val="15"/>
                <w:szCs w:val="15"/>
              </w:rPr>
              <w:t>Levels</w:t>
            </w:r>
          </w:p>
        </w:tc>
        <w:tc>
          <w:tcPr>
            <w:tcW w:w="2680" w:type="dxa"/>
            <w:shd w:val="clear" w:color="auto" w:fill="003087"/>
            <w:vAlign w:val="center"/>
          </w:tcPr>
          <w:p w14:paraId="53A98061" w14:textId="77777777" w:rsidR="003D1017" w:rsidRDefault="00000000">
            <w:pPr>
              <w:keepNext/>
              <w:keepLines/>
              <w:spacing w:before="20" w:after="20"/>
              <w:jc w:val="center"/>
            </w:pPr>
            <w:r>
              <w:rPr>
                <w:rFonts w:ascii="Times New Roman" w:hAnsi="Times New Roman" w:cs="Times New Roman"/>
                <w:b/>
                <w:bCs/>
                <w:color w:val="FFFFFF"/>
                <w:sz w:val="15"/>
                <w:szCs w:val="15"/>
              </w:rPr>
              <w:t>Question</w:t>
            </w:r>
          </w:p>
        </w:tc>
      </w:tr>
      <w:tr w:rsidR="003D1017" w14:paraId="236F5514" w14:textId="77777777">
        <w:trPr>
          <w:cantSplit/>
        </w:trPr>
        <w:tc>
          <w:tcPr>
            <w:tcW w:w="1250" w:type="dxa"/>
            <w:shd w:val="clear" w:color="auto" w:fill="EEF3F8"/>
            <w:vAlign w:val="center"/>
          </w:tcPr>
          <w:p w14:paraId="5A4CD0C9" w14:textId="77777777" w:rsidR="003D1017" w:rsidRDefault="00000000">
            <w:pPr>
              <w:keepNext/>
              <w:keepLines/>
              <w:spacing w:before="20" w:after="20"/>
            </w:pPr>
            <w:r>
              <w:rPr>
                <w:rFonts w:ascii="Times New Roman" w:hAnsi="Times New Roman" w:cs="Times New Roman"/>
                <w:sz w:val="15"/>
                <w:szCs w:val="15"/>
              </w:rPr>
              <w:t>Adaptation tier</w:t>
            </w:r>
          </w:p>
        </w:tc>
        <w:tc>
          <w:tcPr>
            <w:tcW w:w="1100" w:type="dxa"/>
            <w:shd w:val="clear" w:color="auto" w:fill="EEF3F8"/>
            <w:vAlign w:val="center"/>
          </w:tcPr>
          <w:p w14:paraId="4FF2A601" w14:textId="77777777" w:rsidR="003D1017" w:rsidRDefault="00000000">
            <w:pPr>
              <w:keepNext/>
              <w:keepLines/>
              <w:spacing w:before="20" w:after="20"/>
            </w:pPr>
            <w:r>
              <w:rPr>
                <w:rFonts w:ascii="Times New Roman" w:hAnsi="Times New Roman" w:cs="Times New Roman"/>
                <w:sz w:val="15"/>
                <w:szCs w:val="15"/>
              </w:rPr>
              <w:t>1 to 4</w:t>
            </w:r>
          </w:p>
        </w:tc>
        <w:tc>
          <w:tcPr>
            <w:tcW w:w="2680" w:type="dxa"/>
            <w:shd w:val="clear" w:color="auto" w:fill="EEF3F8"/>
            <w:vAlign w:val="center"/>
          </w:tcPr>
          <w:p w14:paraId="2AD75F4A" w14:textId="77777777" w:rsidR="003D1017" w:rsidRDefault="00000000">
            <w:pPr>
              <w:keepNext/>
              <w:keepLines/>
              <w:spacing w:before="20" w:after="20"/>
            </w:pPr>
            <w:r>
              <w:rPr>
                <w:rFonts w:ascii="Times New Roman" w:hAnsi="Times New Roman" w:cs="Times New Roman"/>
                <w:sz w:val="15"/>
                <w:szCs w:val="15"/>
              </w:rPr>
              <w:t>Does the exposure penalty grow with trainable capacity?</w:t>
            </w:r>
          </w:p>
        </w:tc>
      </w:tr>
      <w:tr w:rsidR="003D1017" w14:paraId="7A892D46" w14:textId="77777777">
        <w:trPr>
          <w:cantSplit/>
        </w:trPr>
        <w:tc>
          <w:tcPr>
            <w:tcW w:w="1250" w:type="dxa"/>
            <w:shd w:val="clear" w:color="auto" w:fill="FFFFFF"/>
            <w:vAlign w:val="center"/>
          </w:tcPr>
          <w:p w14:paraId="011FA6C7" w14:textId="77777777" w:rsidR="003D1017" w:rsidRDefault="00000000">
            <w:pPr>
              <w:keepNext/>
              <w:keepLines/>
              <w:spacing w:before="20" w:after="20"/>
            </w:pPr>
            <w:r>
              <w:rPr>
                <w:rFonts w:ascii="Times New Roman" w:hAnsi="Times New Roman" w:cs="Times New Roman"/>
                <w:sz w:val="15"/>
                <w:szCs w:val="15"/>
              </w:rPr>
              <w:t>Tuning budget</w:t>
            </w:r>
          </w:p>
        </w:tc>
        <w:tc>
          <w:tcPr>
            <w:tcW w:w="1100" w:type="dxa"/>
            <w:shd w:val="clear" w:color="auto" w:fill="FFFFFF"/>
            <w:vAlign w:val="center"/>
          </w:tcPr>
          <w:p w14:paraId="364DD0D9" w14:textId="77777777" w:rsidR="003D1017" w:rsidRDefault="00000000">
            <w:pPr>
              <w:keepNext/>
              <w:keepLines/>
              <w:spacing w:before="20" w:after="20"/>
            </w:pPr>
            <w:r>
              <w:rPr>
                <w:rFonts w:ascii="Times New Roman" w:hAnsi="Times New Roman" w:cs="Times New Roman"/>
                <w:sz w:val="15"/>
                <w:szCs w:val="15"/>
              </w:rPr>
              <w:t>5, 20, 50 trials</w:t>
            </w:r>
          </w:p>
        </w:tc>
        <w:tc>
          <w:tcPr>
            <w:tcW w:w="2680" w:type="dxa"/>
            <w:shd w:val="clear" w:color="auto" w:fill="FFFFFF"/>
            <w:vAlign w:val="center"/>
          </w:tcPr>
          <w:p w14:paraId="6251E348" w14:textId="77777777" w:rsidR="003D1017" w:rsidRDefault="00000000">
            <w:pPr>
              <w:keepNext/>
              <w:keepLines/>
              <w:spacing w:before="20" w:after="20"/>
            </w:pPr>
            <w:r>
              <w:rPr>
                <w:rFonts w:ascii="Times New Roman" w:hAnsi="Times New Roman" w:cs="Times New Roman"/>
                <w:sz w:val="15"/>
                <w:szCs w:val="15"/>
              </w:rPr>
              <w:t>Does more tuning close the baseline gap?</w:t>
            </w:r>
          </w:p>
        </w:tc>
      </w:tr>
      <w:tr w:rsidR="003D1017" w14:paraId="495CEBA5" w14:textId="77777777">
        <w:trPr>
          <w:cantSplit/>
        </w:trPr>
        <w:tc>
          <w:tcPr>
            <w:tcW w:w="1250" w:type="dxa"/>
            <w:shd w:val="clear" w:color="auto" w:fill="EEF3F8"/>
            <w:vAlign w:val="center"/>
          </w:tcPr>
          <w:p w14:paraId="7B9ADAC0" w14:textId="77777777" w:rsidR="003D1017" w:rsidRDefault="00000000">
            <w:pPr>
              <w:keepNext/>
              <w:keepLines/>
              <w:spacing w:before="20" w:after="20"/>
            </w:pPr>
            <w:r>
              <w:rPr>
                <w:rFonts w:ascii="Times New Roman" w:hAnsi="Times New Roman" w:cs="Times New Roman"/>
                <w:sz w:val="15"/>
                <w:szCs w:val="15"/>
              </w:rPr>
              <w:t>Label budget N</w:t>
            </w:r>
          </w:p>
        </w:tc>
        <w:tc>
          <w:tcPr>
            <w:tcW w:w="1100" w:type="dxa"/>
            <w:shd w:val="clear" w:color="auto" w:fill="EEF3F8"/>
            <w:vAlign w:val="center"/>
          </w:tcPr>
          <w:p w14:paraId="7EC6EF8F" w14:textId="77777777" w:rsidR="003D1017" w:rsidRDefault="00000000">
            <w:pPr>
              <w:keepNext/>
              <w:keepLines/>
              <w:spacing w:before="20" w:after="20"/>
            </w:pPr>
            <w:r>
              <w:rPr>
                <w:rFonts w:ascii="Times New Roman" w:hAnsi="Times New Roman" w:cs="Times New Roman"/>
                <w:sz w:val="15"/>
                <w:szCs w:val="15"/>
              </w:rPr>
              <w:t>25 to all</w:t>
            </w:r>
          </w:p>
        </w:tc>
        <w:tc>
          <w:tcPr>
            <w:tcW w:w="2680" w:type="dxa"/>
            <w:shd w:val="clear" w:color="auto" w:fill="EEF3F8"/>
            <w:vAlign w:val="center"/>
          </w:tcPr>
          <w:p w14:paraId="30E12BE0" w14:textId="77777777" w:rsidR="003D1017" w:rsidRDefault="00000000">
            <w:pPr>
              <w:keepNext/>
              <w:keepLines/>
              <w:spacing w:before="20" w:after="20"/>
            </w:pPr>
            <w:r>
              <w:rPr>
                <w:rFonts w:ascii="Times New Roman" w:hAnsi="Times New Roman" w:cs="Times New Roman"/>
                <w:sz w:val="15"/>
                <w:szCs w:val="15"/>
              </w:rPr>
              <w:t>Is the penalty concentrated at low N?</w:t>
            </w:r>
          </w:p>
        </w:tc>
      </w:tr>
      <w:tr w:rsidR="003D1017" w14:paraId="6E6E880C" w14:textId="77777777">
        <w:trPr>
          <w:cantSplit/>
        </w:trPr>
        <w:tc>
          <w:tcPr>
            <w:tcW w:w="1250" w:type="dxa"/>
            <w:shd w:val="clear" w:color="auto" w:fill="FFFFFF"/>
            <w:vAlign w:val="center"/>
          </w:tcPr>
          <w:p w14:paraId="0CC8E66C" w14:textId="77777777" w:rsidR="003D1017" w:rsidRDefault="00000000">
            <w:pPr>
              <w:keepNext/>
              <w:keepLines/>
              <w:spacing w:before="20" w:after="20"/>
            </w:pPr>
            <w:r>
              <w:rPr>
                <w:rFonts w:ascii="Times New Roman" w:hAnsi="Times New Roman" w:cs="Times New Roman"/>
                <w:sz w:val="15"/>
                <w:szCs w:val="15"/>
              </w:rPr>
              <w:t>Unseen cohort</w:t>
            </w:r>
          </w:p>
        </w:tc>
        <w:tc>
          <w:tcPr>
            <w:tcW w:w="1100" w:type="dxa"/>
            <w:shd w:val="clear" w:color="auto" w:fill="FFFFFF"/>
            <w:vAlign w:val="center"/>
          </w:tcPr>
          <w:p w14:paraId="123C69AC" w14:textId="77777777" w:rsidR="003D1017" w:rsidRDefault="00000000">
            <w:pPr>
              <w:keepNext/>
              <w:keepLines/>
              <w:spacing w:before="20" w:after="20"/>
            </w:pPr>
            <w:r>
              <w:rPr>
                <w:rFonts w:ascii="Times New Roman" w:hAnsi="Times New Roman" w:cs="Times New Roman"/>
                <w:sz w:val="15"/>
                <w:szCs w:val="15"/>
              </w:rPr>
              <w:t>PIOP1, PIOP2</w:t>
            </w:r>
          </w:p>
        </w:tc>
        <w:tc>
          <w:tcPr>
            <w:tcW w:w="2680" w:type="dxa"/>
            <w:shd w:val="clear" w:color="auto" w:fill="FFFFFF"/>
            <w:vAlign w:val="center"/>
          </w:tcPr>
          <w:p w14:paraId="32AE93F2" w14:textId="77777777" w:rsidR="003D1017" w:rsidRDefault="00000000">
            <w:pPr>
              <w:keepNext/>
              <w:keepLines/>
              <w:spacing w:before="20" w:after="20"/>
            </w:pPr>
            <w:r>
              <w:rPr>
                <w:rFonts w:ascii="Times New Roman" w:hAnsi="Times New Roman" w:cs="Times New Roman"/>
                <w:sz w:val="15"/>
                <w:szCs w:val="15"/>
              </w:rPr>
              <w:t>Is the unseen estimate stable across the two cohorts?</w:t>
            </w:r>
          </w:p>
        </w:tc>
      </w:tr>
      <w:tr w:rsidR="003D1017" w14:paraId="50CA2F48" w14:textId="77777777">
        <w:trPr>
          <w:cantSplit/>
        </w:trPr>
        <w:tc>
          <w:tcPr>
            <w:tcW w:w="1250" w:type="dxa"/>
            <w:shd w:val="clear" w:color="auto" w:fill="EEF3F8"/>
            <w:vAlign w:val="center"/>
          </w:tcPr>
          <w:p w14:paraId="21662C19" w14:textId="77777777" w:rsidR="003D1017" w:rsidRDefault="00000000">
            <w:pPr>
              <w:spacing w:before="20" w:after="20"/>
            </w:pPr>
            <w:r>
              <w:rPr>
                <w:rFonts w:ascii="Times New Roman" w:hAnsi="Times New Roman" w:cs="Times New Roman"/>
                <w:sz w:val="15"/>
                <w:szCs w:val="15"/>
              </w:rPr>
              <w:t>Seed</w:t>
            </w:r>
          </w:p>
        </w:tc>
        <w:tc>
          <w:tcPr>
            <w:tcW w:w="1100" w:type="dxa"/>
            <w:shd w:val="clear" w:color="auto" w:fill="EEF3F8"/>
            <w:vAlign w:val="center"/>
          </w:tcPr>
          <w:p w14:paraId="67B678BF" w14:textId="77777777" w:rsidR="003D1017" w:rsidRDefault="00000000">
            <w:pPr>
              <w:spacing w:before="20" w:after="20"/>
            </w:pPr>
            <w:r>
              <w:rPr>
                <w:rFonts w:ascii="Times New Roman" w:hAnsi="Times New Roman" w:cs="Times New Roman"/>
                <w:sz w:val="15"/>
                <w:szCs w:val="15"/>
              </w:rPr>
              <w:t>Five seeds</w:t>
            </w:r>
          </w:p>
        </w:tc>
        <w:tc>
          <w:tcPr>
            <w:tcW w:w="2680" w:type="dxa"/>
            <w:shd w:val="clear" w:color="auto" w:fill="EEF3F8"/>
            <w:vAlign w:val="center"/>
          </w:tcPr>
          <w:p w14:paraId="5E432408" w14:textId="77777777" w:rsidR="003D1017" w:rsidRDefault="00000000">
            <w:pPr>
              <w:spacing w:before="20" w:after="20"/>
            </w:pPr>
            <w:r>
              <w:rPr>
                <w:rFonts w:ascii="Times New Roman" w:hAnsi="Times New Roman" w:cs="Times New Roman"/>
                <w:sz w:val="15"/>
                <w:szCs w:val="15"/>
              </w:rPr>
              <w:t>Are rankings stable?</w:t>
            </w:r>
          </w:p>
        </w:tc>
      </w:tr>
    </w:tbl>
    <w:p w14:paraId="7784B7F7" w14:textId="77777777" w:rsidR="003D1017" w:rsidRDefault="003D1017">
      <w:pPr>
        <w:spacing w:after="60"/>
      </w:pPr>
    </w:p>
    <w:p w14:paraId="399284A1" w14:textId="77777777" w:rsidR="003D1017" w:rsidRDefault="00000000">
      <w:pPr>
        <w:keepNext/>
        <w:keepLines/>
        <w:spacing w:before="140" w:after="60"/>
      </w:pPr>
      <w:r>
        <w:rPr>
          <w:b/>
          <w:bCs/>
          <w:i/>
          <w:iCs/>
          <w:sz w:val="20"/>
          <w:szCs w:val="20"/>
        </w:rPr>
        <w:t>H. Pre-Specified Interpretation of Outcomes</w:t>
      </w:r>
    </w:p>
    <w:p w14:paraId="44F6DEBE" w14:textId="77777777" w:rsidR="003D1017" w:rsidRDefault="00000000">
      <w:pPr>
        <w:spacing w:after="100" w:line="252" w:lineRule="auto"/>
        <w:jc w:val="both"/>
      </w:pPr>
      <w:r>
        <w:rPr>
          <w:sz w:val="20"/>
          <w:szCs w:val="20"/>
        </w:rPr>
        <w:t xml:space="preserve">The reading of each possible outcome is fixed in advance, so the interpretation does not shift with what the data show (Table X).</w:t>
      </w:r>
    </w:p>
    <w:p w14:paraId="4DCBF916" w14:textId="77777777" w:rsidR="003D1017" w:rsidRDefault="00000000">
      <w:pPr>
        <w:keepNext/>
        <w:keepLines/>
        <w:spacing w:before="120" w:after="60"/>
        <w:jc w:val="center"/>
      </w:pPr>
      <w:r>
        <w:rPr>
          <w:b/>
          <w:bCs/>
          <w:i/>
          <w:iCs/>
          <w:sz w:val="17"/>
          <w:szCs w:val="17"/>
        </w:rPr>
        <w:t>TABLE X. Pre-Specified Interpretation of Outcomes</w:t>
      </w:r>
    </w:p>
    <w:tbl>
      <w:tblPr>
        <w:tblW w:w="503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ayout w:type="fixed"/>
        <w:tblCellMar>
          <w:top w:w="40" w:type="dxa"/>
          <w:left w:w="70" w:type="dxa"/>
          <w:bottom w:w="40" w:type="dxa"/>
          <w:right w:w="70" w:type="dxa"/>
        </w:tblCellMar>
        <w:tblLook w:val="0000" w:firstRow="0" w:lastRow="0" w:firstColumn="0" w:lastColumn="0" w:noHBand="0" w:noVBand="0"/>
      </w:tblPr>
      <w:tblGrid>
        <w:gridCol w:w="1500"/>
        <w:gridCol w:w="3530"/>
      </w:tblGrid>
      <w:tr w:rsidR="003D1017" w14:paraId="39A1B087" w14:textId="77777777">
        <w:trPr>
          <w:cantSplit/>
          <w:tblHeader/>
        </w:trPr>
        <w:tc>
          <w:tcPr>
            <w:tcW w:w="1500" w:type="dxa"/>
            <w:shd w:val="clear" w:color="auto" w:fill="003087"/>
            <w:vAlign w:val="center"/>
          </w:tcPr>
          <w:p w14:paraId="251FA792" w14:textId="77777777" w:rsidR="003D1017" w:rsidRDefault="00000000">
            <w:pPr>
              <w:keepNext/>
              <w:keepLines/>
              <w:spacing w:before="20" w:after="20"/>
              <w:jc w:val="center"/>
            </w:pPr>
            <w:r>
              <w:rPr>
                <w:rFonts w:ascii="Times New Roman" w:hAnsi="Times New Roman" w:cs="Times New Roman"/>
                <w:b/>
                <w:bCs/>
                <w:color w:val="FFFFFF"/>
                <w:sz w:val="15"/>
                <w:szCs w:val="15"/>
              </w:rPr>
              <w:t>Outcome</w:t>
            </w:r>
          </w:p>
        </w:tc>
        <w:tc>
          <w:tcPr>
            <w:tcW w:w="3530" w:type="dxa"/>
            <w:shd w:val="clear" w:color="auto" w:fill="003087"/>
            <w:vAlign w:val="center"/>
          </w:tcPr>
          <w:p w14:paraId="4A6C5911" w14:textId="77777777" w:rsidR="003D1017" w:rsidRDefault="00000000">
            <w:pPr>
              <w:keepNext/>
              <w:keepLines/>
              <w:spacing w:before="20" w:after="20"/>
              <w:jc w:val="center"/>
            </w:pPr>
            <w:r>
              <w:rPr>
                <w:rFonts w:ascii="Times New Roman" w:hAnsi="Times New Roman" w:cs="Times New Roman"/>
                <w:b/>
                <w:bCs/>
                <w:color w:val="FFFFFF"/>
                <w:sz w:val="15"/>
                <w:szCs w:val="15"/>
              </w:rPr>
              <w:t>Interpretation</w:t>
            </w:r>
          </w:p>
        </w:tc>
      </w:tr>
      <w:tr w:rsidR="003D1017" w14:paraId="5701264A" w14:textId="77777777">
        <w:trPr>
          <w:cantSplit/>
        </w:trPr>
        <w:tc>
          <w:tcPr>
            <w:tcW w:w="1500" w:type="dxa"/>
            <w:shd w:val="clear" w:color="auto" w:fill="EEF3F8"/>
            <w:vAlign w:val="center"/>
          </w:tcPr>
          <w:p w14:paraId="0AFDEC3C" w14:textId="77777777" w:rsidR="003D1017" w:rsidRDefault="00000000">
            <w:pPr>
              <w:keepNext/>
              <w:keepLines/>
              <w:spacing w:before="20" w:after="20"/>
            </w:pPr>
            <w:r>
              <w:rPr>
                <w:rFonts w:ascii="Times New Roman" w:hAnsi="Times New Roman" w:cs="Times New Roman"/>
                <w:sz w:val="15"/>
                <w:szCs w:val="15"/>
              </w:rPr>
              <w:t>DiD &gt; 0, Holm p &lt; 0.05</w:t>
            </w:r>
          </w:p>
        </w:tc>
        <w:tc>
          <w:tcPr>
            <w:tcW w:w="3530" w:type="dxa"/>
            <w:shd w:val="clear" w:color="auto" w:fill="EEF3F8"/>
            <w:vAlign w:val="center"/>
          </w:tcPr>
          <w:p w14:paraId="4A5C6E52" w14:textId="77777777" w:rsidR="003D1017" w:rsidRDefault="00000000">
            <w:pPr>
              <w:keepNext/>
              <w:keepLines/>
              <w:spacing w:before="20" w:after="20"/>
            </w:pPr>
            <w:r>
              <w:rPr>
                <w:rFonts w:ascii="Times New Roman" w:hAnsi="Times New Roman" w:cs="Times New Roman"/>
                <w:sz w:val="15"/>
                <w:szCs w:val="15"/>
              </w:rPr>
              <w:t>H1 supported: part of the foundation-model advantage is attributable to pretraining exposure</w:t>
            </w:r>
          </w:p>
        </w:tc>
      </w:tr>
      <w:tr w:rsidR="003D1017" w14:paraId="3E4C7603" w14:textId="77777777">
        <w:trPr>
          <w:cantSplit/>
        </w:trPr>
        <w:tc>
          <w:tcPr>
            <w:tcW w:w="1500" w:type="dxa"/>
            <w:shd w:val="clear" w:color="auto" w:fill="FFFFFF"/>
            <w:vAlign w:val="center"/>
          </w:tcPr>
          <w:p w14:paraId="6226D14D" w14:textId="77777777" w:rsidR="003D1017" w:rsidRDefault="00000000">
            <w:pPr>
              <w:keepNext/>
              <w:keepLines/>
              <w:spacing w:before="20" w:after="20"/>
            </w:pPr>
            <w:r>
              <w:rPr>
                <w:rFonts w:ascii="Times New Roman" w:hAnsi="Times New Roman" w:cs="Times New Roman"/>
                <w:sz w:val="15"/>
                <w:szCs w:val="15"/>
              </w:rPr>
              <w:t>DiD near 0, narrow CI</w:t>
            </w:r>
          </w:p>
        </w:tc>
        <w:tc>
          <w:tcPr>
            <w:tcW w:w="3530" w:type="dxa"/>
            <w:shd w:val="clear" w:color="auto" w:fill="FFFFFF"/>
            <w:vAlign w:val="center"/>
          </w:tcPr>
          <w:p w14:paraId="063870CF" w14:textId="77777777" w:rsidR="003D1017" w:rsidRDefault="00000000">
            <w:pPr>
              <w:keepNext/>
              <w:keepLines/>
              <w:spacing w:before="20" w:after="20"/>
            </w:pPr>
            <w:r>
              <w:rPr>
                <w:rFonts w:ascii="Times New Roman" w:hAnsi="Times New Roman" w:cs="Times New Roman"/>
                <w:sz w:val="15"/>
                <w:szCs w:val="15"/>
              </w:rPr>
              <w:t>H0 not rejected: transfer consistent with no dependence on exposure</w:t>
            </w:r>
          </w:p>
        </w:tc>
      </w:tr>
      <w:tr w:rsidR="003D1017" w14:paraId="6D193312" w14:textId="77777777">
        <w:trPr>
          <w:cantSplit/>
        </w:trPr>
        <w:tc>
          <w:tcPr>
            <w:tcW w:w="1500" w:type="dxa"/>
            <w:shd w:val="clear" w:color="auto" w:fill="EEF3F8"/>
            <w:vAlign w:val="center"/>
          </w:tcPr>
          <w:p w14:paraId="16582F81" w14:textId="77777777" w:rsidR="003D1017" w:rsidRDefault="00000000">
            <w:pPr>
              <w:keepNext/>
              <w:keepLines/>
              <w:spacing w:before="20" w:after="20"/>
            </w:pPr>
            <w:r>
              <w:rPr>
                <w:rFonts w:ascii="Times New Roman" w:hAnsi="Times New Roman" w:cs="Times New Roman"/>
                <w:sz w:val="15"/>
                <w:szCs w:val="15"/>
              </w:rPr>
              <w:t>DiD near 0, wide CI</w:t>
            </w:r>
          </w:p>
        </w:tc>
        <w:tc>
          <w:tcPr>
            <w:tcW w:w="3530" w:type="dxa"/>
            <w:shd w:val="clear" w:color="auto" w:fill="EEF3F8"/>
            <w:vAlign w:val="center"/>
          </w:tcPr>
          <w:p w14:paraId="5023163E" w14:textId="77777777" w:rsidR="003D1017" w:rsidRDefault="00000000">
            <w:pPr>
              <w:keepNext/>
              <w:keepLines/>
              <w:spacing w:before="20" w:after="20"/>
            </w:pPr>
            <w:r>
              <w:rPr>
                <w:rFonts w:ascii="Times New Roman" w:hAnsi="Times New Roman" w:cs="Times New Roman"/>
                <w:sz w:val="15"/>
                <w:szCs w:val="15"/>
              </w:rPr>
              <w:t>Inconclusive: the design lacks power to separate the two readings</w:t>
            </w:r>
          </w:p>
        </w:tc>
      </w:tr>
      <w:tr w:rsidR="003D1017" w14:paraId="28A74C95" w14:textId="77777777">
        <w:trPr>
          <w:cantSplit/>
        </w:trPr>
        <w:tc>
          <w:tcPr>
            <w:tcW w:w="1500" w:type="dxa"/>
            <w:shd w:val="clear" w:color="auto" w:fill="FFFFFF"/>
            <w:vAlign w:val="center"/>
          </w:tcPr>
          <w:p w14:paraId="7AC91E9D" w14:textId="77777777" w:rsidR="003D1017" w:rsidRDefault="00000000">
            <w:pPr>
              <w:keepNext/>
              <w:keepLines/>
              <w:spacing w:before="20" w:after="20"/>
            </w:pPr>
            <w:r>
              <w:rPr>
                <w:rFonts w:ascii="Times New Roman" w:hAnsi="Times New Roman" w:cs="Times New Roman"/>
                <w:sz w:val="15"/>
                <w:szCs w:val="15"/>
              </w:rPr>
              <w:t>DiD &lt; 0</w:t>
            </w:r>
          </w:p>
        </w:tc>
        <w:tc>
          <w:tcPr>
            <w:tcW w:w="3530" w:type="dxa"/>
            <w:shd w:val="clear" w:color="auto" w:fill="FFFFFF"/>
            <w:vAlign w:val="center"/>
          </w:tcPr>
          <w:p w14:paraId="10A86E97" w14:textId="77777777" w:rsidR="003D1017" w:rsidRDefault="00000000">
            <w:pPr>
              <w:keepNext/>
              <w:keepLines/>
              <w:spacing w:before="20" w:after="20"/>
            </w:pPr>
            <w:r>
              <w:rPr>
                <w:rFonts w:ascii="Times New Roman" w:hAnsi="Times New Roman" w:cs="Times New Roman"/>
                <w:sz w:val="15"/>
                <w:szCs w:val="15"/>
              </w:rPr>
              <w:t>The foundation model degrades less than the baseline on unseen subjects</w:t>
            </w:r>
          </w:p>
        </w:tc>
      </w:tr>
      <w:tr w:rsidR="003D1017" w14:paraId="76847D57" w14:textId="77777777">
        <w:trPr>
          <w:cantSplit/>
        </w:trPr>
        <w:tc>
          <w:tcPr>
            <w:tcW w:w="1500" w:type="dxa"/>
            <w:shd w:val="clear" w:color="auto" w:fill="EEF3F8"/>
            <w:vAlign w:val="center"/>
          </w:tcPr>
          <w:p w14:paraId="3531ACAC" w14:textId="77777777" w:rsidR="003D1017" w:rsidRDefault="00000000">
            <w:pPr>
              <w:keepNext/>
              <w:keepLines/>
              <w:spacing w:before="20" w:after="20"/>
            </w:pPr>
            <w:r>
              <w:rPr>
                <w:rFonts w:ascii="Times New Roman" w:hAnsi="Times New Roman" w:cs="Times New Roman"/>
                <w:sz w:val="15"/>
                <w:szCs w:val="15"/>
              </w:rPr>
              <w:t>N_eq large on seen, small on unseen</w:t>
            </w:r>
          </w:p>
        </w:tc>
        <w:tc>
          <w:tcPr>
            <w:tcW w:w="3530" w:type="dxa"/>
            <w:shd w:val="clear" w:color="auto" w:fill="EEF3F8"/>
            <w:vAlign w:val="center"/>
          </w:tcPr>
          <w:p w14:paraId="4DBA1355" w14:textId="77777777" w:rsidR="003D1017" w:rsidRDefault="00000000">
            <w:pPr>
              <w:keepNext/>
              <w:keepLines/>
              <w:spacing w:before="20" w:after="20"/>
            </w:pPr>
            <w:r>
              <w:rPr>
                <w:rFonts w:ascii="Times New Roman" w:hAnsi="Times New Roman" w:cs="Times New Roman"/>
                <w:sz w:val="15"/>
                <w:szCs w:val="15"/>
              </w:rPr>
              <w:t>Label-efficiency claim holds only on exposed data</w:t>
            </w:r>
          </w:p>
        </w:tc>
      </w:tr>
      <w:tr w:rsidR="003D1017" w14:paraId="5728BF0D" w14:textId="77777777">
        <w:trPr>
          <w:cantSplit/>
        </w:trPr>
        <w:tc>
          <w:tcPr>
            <w:tcW w:w="1500" w:type="dxa"/>
            <w:shd w:val="clear" w:color="auto" w:fill="FFFFFF"/>
            <w:vAlign w:val="center"/>
          </w:tcPr>
          <w:p w14:paraId="53C96E29" w14:textId="77777777" w:rsidR="003D1017" w:rsidRDefault="00000000">
            <w:pPr>
              <w:spacing w:before="20" w:after="20"/>
            </w:pPr>
            <w:r>
              <w:rPr>
                <w:rFonts w:ascii="Times New Roman" w:hAnsi="Times New Roman" w:cs="Times New Roman"/>
                <w:sz w:val="15"/>
                <w:szCs w:val="15"/>
              </w:rPr>
              <w:t>Frequent rank flips</w:t>
            </w:r>
          </w:p>
        </w:tc>
        <w:tc>
          <w:tcPr>
            <w:tcW w:w="3530" w:type="dxa"/>
            <w:shd w:val="clear" w:color="auto" w:fill="FFFFFF"/>
            <w:vAlign w:val="center"/>
          </w:tcPr>
          <w:p w14:paraId="719408F6" w14:textId="77777777" w:rsidR="003D1017" w:rsidRDefault="00000000">
            <w:pPr>
              <w:spacing w:before="20" w:after="20"/>
            </w:pPr>
            <w:r>
              <w:rPr>
                <w:rFonts w:ascii="Times New Roman" w:hAnsi="Times New Roman" w:cs="Times New Roman"/>
                <w:sz w:val="15"/>
                <w:szCs w:val="15"/>
              </w:rPr>
              <w:t>Ranking of those arms at that N is not reliable</w:t>
            </w:r>
          </w:p>
        </w:tc>
      </w:tr>
    </w:tbl>
    <w:p w14:paraId="51362EF6" w14:textId="77777777" w:rsidR="003D1017" w:rsidRDefault="003D1017">
      <w:pPr>
        <w:spacing w:after="60"/>
      </w:pPr>
    </w:p>
    <w:p w14:paraId="26B47A05" w14:textId="77777777" w:rsidR="003D1017" w:rsidRDefault="00000000">
      <w:pPr>
        <w:keepNext/>
        <w:keepLines/>
        <w:spacing w:before="140" w:after="60"/>
      </w:pPr>
      <w:r>
        <w:rPr>
          <w:b/>
          <w:bCs/>
          <w:i/>
          <w:iCs/>
          <w:sz w:val="20"/>
          <w:szCs w:val="20"/>
        </w:rPr>
        <w:t>I. Discussion</w:t>
      </w:r>
    </w:p>
    <w:p w14:paraId="74B9E5CF" w14:textId="77777777" w:rsidR="003D1017" w:rsidRDefault="00000000">
      <w:pPr>
        <w:spacing w:after="100" w:line="252" w:lineRule="auto"/>
        <w:jc w:val="both"/>
      </w:pPr>
      <w:r>
        <w:rPr>
          <w:sz w:val="20"/>
          <w:szCs w:val="20"/>
        </w:rPr>
        <w:t xml:space="preserve">The design is built so that either outcome tells us something. A positive DiD means part of a foundation model's reported advantage comes from having already met the evaluation subjects. It would also put benchmark results on OASIS, IXI and ID1000 in doubt for any model whose pretraining data include them. A DiD near zero with a narrow interval would be evidence that the learned representation transfers to unseen subjects from the same scanner and population, which is exactly the claim these models are built to support.</w:t>
      </w:r>
    </w:p>
    <w:p w14:paraId="1AB227CB" w14:textId="77777777" w:rsidR="003D1017" w:rsidRDefault="00000000">
      <w:pPr>
        <w:spacing w:after="100" w:line="252" w:lineRule="auto"/>
        <w:jc w:val="both"/>
      </w:pPr>
      <w:r>
        <w:rPr>
          <w:sz w:val="20"/>
          <w:szCs w:val="20"/>
        </w:rPr>
        <w:t xml:space="preserve">The secondary metrics ask whether the practical case for foundation models holds up under the same test. Label equivalence puts a number on the annotation savings, and the Pareto plot shows what those savings cost in GPU-seconds, tuning included. Suppose a model wins on seen data at low N but not on unseen data, or wins only at a compute cost far above a tuned ResNet-18 or a LightGBM model on regional volumes. Its case is then weaker than the headline numbers suggest.</w:t>
      </w:r>
    </w:p>
    <w:p w14:paraId="3FAD584F" w14:textId="77777777" w:rsidR="003D1017" w:rsidRDefault="00000000">
      <w:pPr>
        <w:spacing w:after="100" w:line="252" w:lineRule="auto"/>
        <w:jc w:val="both"/>
      </w:pPr>
      <w:r>
        <w:rPr>
          <w:sz w:val="20"/>
          <w:szCs w:val="20"/>
        </w:rPr>
        <w:t xml:space="preserve">The literature points the same way. Leakage inflates results when nobody looks for it [7], site and scanner effects can pass for model differences [8], and performance can drop on populations that were underrepresented in training [6]. Membership-inference work [9] adds that trained networks retain information about individual scans, so exposure to a test subject is not a harmless detail. For evaluators, the practical advice is to audit overlap with the pretraining manifest before picking a benchmark, report results separately for seen and unseen cohorts, give baselines the same preprocessing and tuning budget as the foundation model, and report compute next to accuracy.</w:t>
      </w:r>
    </w:p>
    <w:p w14:paraId="7821A610" w14:textId="77777777" w:rsidR="003D1017" w:rsidRDefault="00000000">
      <w:pPr>
        <w:keepNext/>
        <w:keepLines/>
        <w:spacing w:before="140" w:after="60"/>
      </w:pPr>
      <w:r>
        <w:rPr>
          <w:b/>
          <w:bCs/>
          <w:i/>
          <w:iCs/>
          <w:sz w:val="20"/>
          <w:szCs w:val="20"/>
        </w:rPr>
        <w:t>J. Limitations</w:t>
      </w:r>
    </w:p>
    <w:p w14:paraId="3DECAC13" w14:textId="77777777" w:rsidR="003D1017" w:rsidRDefault="00000000">
      <w:pPr>
        <w:spacing w:after="100" w:line="252" w:lineRule="auto"/>
        <w:jc w:val="both"/>
      </w:pPr>
      <w:r>
        <w:rPr>
          <w:sz w:val="20"/>
          <w:szCs w:val="20"/>
        </w:rPr>
        <w:t xml:space="preserve">Several limitations need to be acknowledged. The pre-registration states that ID1000, PIOP1 and PIOP2 share scanner and protocol, but that claim should be checked against the AOMIC acquisition documentation, since cohorts collected in different periods can differ in more than the scanner. The DiD estimator also assumes that the baseline's seen-to-unseen gap is what the foundation model would show without exposure. An architecture that reacts differently to small cohort differences would bias the estimate, which is why we use several baselines and four adaptation tiers.</w:t>
      </w:r>
    </w:p>
    <w:p w14:paraId="3B921CE9" w14:textId="77777777" w:rsidR="003D1017" w:rsidRDefault="00000000">
      <w:pPr>
        <w:spacing w:after="100" w:line="252" w:lineRule="auto"/>
        <w:jc w:val="both"/>
      </w:pPr>
      <w:r>
        <w:rPr>
          <w:sz w:val="20"/>
          <w:szCs w:val="20"/>
        </w:rPr>
        <w:t xml:space="preserve">Contamination is model-specific. The audit uses the FOMO manifests, which describe the FOMO checkpoints, so BrainIAC's membership has to be established from its own documented pretraining data. The FOMO corpus has also come out at several sizes, for example FOMO50K and FOMO60K, which is why the audit must record the manifest version it used. We cannot retrain an encoder without ID1000 in this study, so a pretraining ablation is left to future work. Identifier matching can also miss overlap when the same person appears under a different identifier. Reported overlap is therefore a lower bound.</w:t>
      </w:r>
    </w:p>
    <w:p w14:paraId="6F6BDF79" w14:textId="77777777" w:rsidR="003D1017" w:rsidRDefault="00000000">
      <w:pPr>
        <w:spacing w:after="100" w:line="252" w:lineRule="auto"/>
        <w:jc w:val="both"/>
      </w:pPr>
      <w:r>
        <w:rPr>
          <w:sz w:val="20"/>
          <w:szCs w:val="20"/>
        </w:rPr>
        <w:t xml:space="preserve">PIOP1 and PIOP2 together hold 442 participants before the age restriction and QC. That is below the largest fixed budget of N = 500, and the held-out test split shrinks the training pool even more, so the affected budgets and the meaning of “all” on each cohort need explicit handling in the task configuration. Restricting to 19 to 26 years lowers the variance of the target, which makes MAE differences small against the mean-predictor floor. Finally, brain-age regression is the only task with the same-scanner contrast. T2 and T3 broaden the audit, but they do not share that control.</w:t>
      </w:r>
    </w:p>
    <w:p w14:paraId="18691414" w14:textId="77777777" w:rsidR="003D1017" w:rsidRDefault="00000000">
      <w:pPr>
        <w:keepNext/>
        <w:keepLines/>
        <w:tabs>
          <w:tab w:val="left" w:pos="400"/>
        </w:tabs>
        <w:spacing w:before="200" w:after="100"/>
        <w:ind w:left="400" w:hanging="400"/>
      </w:pPr>
      <w:r>
        <w:rPr>
          <w:rFonts w:ascii="Trebuchet MS" w:hAnsi="Trebuchet MS" w:cs="Trebuchet MS"/>
          <w:b/>
          <w:bCs/>
          <w:w w:val="125"/>
          <w:sz w:val="18"/>
          <w:szCs w:val="18"/>
        </w:rPr>
        <w:t>V.</w:t>
        <w:tab/>
        <w:t>CONCLUSION AND FUTURE WORK</w:t>
      </w:r>
    </w:p>
    <w:p w14:paraId="12340521" w14:textId="77777777" w:rsidR="003D1017" w:rsidRDefault="00000000">
      <w:pPr>
        <w:spacing w:after="100" w:line="252" w:lineRule="auto"/>
        <w:jc w:val="both"/>
      </w:pPr>
      <w:r>
        <w:rPr>
          <w:sz w:val="20"/>
          <w:szCs w:val="20"/>
        </w:rPr>
        <w:t xml:space="preserve">This paper presented a contamination-audited, label-budget-matched evaluation of 3D brain-MRI foundation models. The evaluation brings together a subject-level overlap audit, a pre-registered difference-in-differences contrast on the Amsterdam Open MRI Collection, tuned supervised baselines under matched budgets, and a ledger-based analysis of label equivalence, compute and rank stability. Because hypotheses, controls and decision rules are fixed before training, the result can be read as evidence and not as a hunt for a favourable benchmark.</w:t>
        <w:lastRenderedPageBreak/>
      </w:r>
    </w:p>
    <w:p w14:paraId="70B58FDD" w14:textId="77777777" w:rsidR="003D1017" w:rsidRDefault="00000000">
      <w:pPr>
        <w:spacing w:after="100" w:line="252" w:lineRule="auto"/>
        <w:jc w:val="both"/>
      </w:pPr>
      <w:r>
        <w:rPr>
          <w:sz w:val="20"/>
          <w:szCs w:val="20"/>
        </w:rPr>
        <w:t xml:space="preserve">Several directions look worth pursuing next. Pretraining ablations that remove the seen cohort would turn the natural experiment into a controlled one. Scan-level overlap checks would complement identifier matching and tighten the lower bound on contamination. Unseen cohorts from other scanners would show whether the penalty depends on the scanner, and membership-inference tests [9] could give an independent signal of exposure. The most direct route to evidence that matters for deployment is to extend the same-scanner contrast beyond brain-age regression to the clinical tasks used in the foundation-model papers [1], [2].</w:t>
      </w:r>
    </w:p>
    <w:p w14:paraId="005CF911" w14:textId="77777777" w:rsidR="003D1017" w:rsidRDefault="00000000">
      <w:pPr>
        <w:keepNext/>
        <w:keepLines/>
        <w:tabs>
          <w:tab w:val="left" w:pos="400"/>
        </w:tabs>
        <w:spacing w:before="200" w:after="100"/>
        <w:ind w:left="400" w:hanging="400"/>
      </w:pPr>
      <w:r>
        <w:rPr>
          <w:rFonts w:ascii="Trebuchet MS" w:hAnsi="Trebuchet MS" w:cs="Trebuchet MS"/>
          <w:b/>
          <w:bCs/>
          <w:w w:val="125"/>
          <w:sz w:val="18"/>
          <w:szCs w:val="18"/>
        </w:rPr>
        <w:t>VI.</w:t>
        <w:tab/>
        <w:t>DATASET</w:t>
      </w:r>
    </w:p>
    <w:p w14:paraId="09CBA452" w14:textId="77777777" w:rsidR="003D1017" w:rsidRDefault="00000000">
      <w:pPr>
        <w:spacing w:after="100" w:line="252" w:lineRule="auto"/>
      </w:pPr>
      <w:r>
        <w:rPr>
          <w:sz w:val="20"/>
          <w:szCs w:val="20"/>
        </w:rPr>
        <w:t xml:space="preserve">The evaluation cohorts are publicly available. The AOMIC collection [11] is hosted on OpenNeuro: ID1000 </w:t>
      </w:r>
      <w:hyperlink r:id="rId26" w:history="1">
        <w:r>
          <w:rPr>
            <w:color w:val="0563C1"/>
            <w:sz w:val="20"/>
            <w:szCs w:val="20"/>
            <w:u w:val="single"/>
          </w:rPr>
          <w:t>https://openneuro.org/datasets/ds003097</w:t>
        </w:r>
      </w:hyperlink>
      <w:r>
        <w:rPr>
          <w:sz w:val="20"/>
          <w:szCs w:val="20"/>
        </w:rPr>
        <w:t xml:space="preserve">, PIOP1 </w:t>
      </w:r>
      <w:hyperlink r:id="rId27" w:history="1">
        <w:r>
          <w:rPr>
            <w:color w:val="0563C1"/>
            <w:sz w:val="20"/>
            <w:szCs w:val="20"/>
            <w:u w:val="single"/>
          </w:rPr>
          <w:t>https://openneuro.org/datasets/ds002785</w:t>
        </w:r>
      </w:hyperlink>
      <w:r>
        <w:rPr>
          <w:sz w:val="20"/>
          <w:szCs w:val="20"/>
        </w:rPr>
        <w:t xml:space="preserve"> and PIOP2 </w:t>
      </w:r>
      <w:hyperlink r:id="rId28" w:history="1">
        <w:r>
          <w:rPr>
            <w:color w:val="0563C1"/>
            <w:sz w:val="20"/>
            <w:szCs w:val="20"/>
            <w:u w:val="single"/>
          </w:rPr>
          <w:t>https://openneuro.org/datasets/ds002790</w:t>
        </w:r>
      </w:hyperlink>
      <w:r>
        <w:rPr>
          <w:sz w:val="20"/>
          <w:szCs w:val="20"/>
        </w:rPr>
        <w:t>.</w:t>
      </w:r>
    </w:p>
    <w:p w14:paraId="646B9888" w14:textId="77777777" w:rsidR="003D1017" w:rsidRDefault="00000000">
      <w:pPr>
        <w:spacing w:after="100" w:line="252" w:lineRule="auto"/>
      </w:pPr>
      <w:r>
        <w:rPr>
          <w:sz w:val="20"/>
          <w:szCs w:val="20"/>
        </w:rPr>
        <w:t xml:space="preserve">The pretraining manifests come from the FOMO60K release [3] </w:t>
      </w:r>
      <w:hyperlink r:id="rId29" w:history="1">
        <w:r>
          <w:rPr>
            <w:color w:val="0563C1"/>
            <w:sz w:val="20"/>
            <w:szCs w:val="20"/>
            <w:u w:val="single"/>
          </w:rPr>
          <w:t>https://arxiv.org/abs/2506.14432</w:t>
        </w:r>
      </w:hyperlink>
      <w:r>
        <w:rPr>
          <w:sz w:val="20"/>
          <w:szCs w:val="20"/>
        </w:rPr>
        <w:t xml:space="preserve">. The audit also uses IXI [21] </w:t>
      </w:r>
      <w:hyperlink r:id="rId30" w:history="1">
        <w:r>
          <w:rPr>
            <w:color w:val="0563C1"/>
            <w:sz w:val="20"/>
            <w:szCs w:val="20"/>
            <w:u w:val="single"/>
          </w:rPr>
          <w:t>https://brain-development.org/ixi-dataset/</w:t>
        </w:r>
      </w:hyperlink>
      <w:r>
        <w:rPr>
          <w:sz w:val="20"/>
          <w:szCs w:val="20"/>
        </w:rPr>
        <w:t xml:space="preserve"> and OASIS [19], [20] </w:t>
      </w:r>
      <w:hyperlink r:id="rId31" w:history="1">
        <w:r>
          <w:rPr>
            <w:color w:val="0563C1"/>
            <w:sz w:val="20"/>
            <w:szCs w:val="20"/>
            <w:u w:val="single"/>
          </w:rPr>
          <w:t>https://www.oasis-brains.org/</w:t>
        </w:r>
      </w:hyperlink>
      <w:r>
        <w:rPr>
          <w:sz w:val="20"/>
          <w:szCs w:val="20"/>
        </w:rPr>
        <w:t>. Each AOMIC participant record includes age, biological sex and acquisition information, and these fields support the stratified splitting and the QC logging described in Module 2.</w:t>
      </w:r>
    </w:p>
    <w:p w14:paraId="0EC79136" w14:textId="77777777" w:rsidR="003D1017" w:rsidRDefault="00000000">
      <w:pPr>
        <w:keepNext/>
        <w:keepLines/>
        <w:tabs>
          <w:tab w:val="left" w:pos="400"/>
        </w:tabs>
        <w:spacing w:before="200" w:after="100"/>
        <w:ind w:left="400" w:hanging="400"/>
      </w:pPr>
      <w:r>
        <w:rPr>
          <w:rFonts w:ascii="Trebuchet MS" w:hAnsi="Trebuchet MS" w:cs="Trebuchet MS"/>
          <w:b/>
          <w:bCs/>
          <w:w w:val="125"/>
          <w:sz w:val="18"/>
          <w:szCs w:val="18"/>
        </w:rPr>
        <w:tab/>
        <w:t>REFERENCES</w:t>
      </w:r>
    </w:p>
    <w:p w14:paraId="191A79D2" w14:textId="77777777" w:rsidR="003D1017" w:rsidRDefault="00000000">
      <w:pPr>
        <w:tabs>
          <w:tab w:val="left" w:pos="500"/>
        </w:tabs>
        <w:spacing w:after="70"/>
        <w:ind w:left="500" w:hanging="500"/>
      </w:pPr>
      <w:r>
        <w:rPr>
          <w:b/>
          <w:bCs/>
          <w:sz w:val="18"/>
          <w:szCs w:val="18"/>
        </w:rPr>
        <w:t>[1]</w:t>
      </w:r>
      <w:r>
        <w:rPr>
          <w:sz w:val="18"/>
          <w:szCs w:val="18"/>
        </w:rPr>
        <w:tab/>
        <w:t xml:space="preserve">D. Tak </w:t>
      </w:r>
      <w:r>
        <w:rPr>
          <w:i/>
          <w:iCs/>
          <w:sz w:val="18"/>
          <w:szCs w:val="18"/>
        </w:rPr>
        <w:t>et al.</w:t>
      </w:r>
      <w:r>
        <w:rPr>
          <w:sz w:val="18"/>
          <w:szCs w:val="18"/>
        </w:rPr>
        <w:t xml:space="preserve">, “A foundation model for generalized brain MRI analysis,” </w:t>
      </w:r>
      <w:r>
        <w:rPr>
          <w:i/>
          <w:iCs/>
          <w:sz w:val="18"/>
          <w:szCs w:val="18"/>
        </w:rPr>
        <w:t>Nature Neuroscience</w:t>
      </w:r>
      <w:r>
        <w:rPr>
          <w:sz w:val="18"/>
          <w:szCs w:val="18"/>
        </w:rPr>
        <w:t>, 2026. DOI: 10.1038/s41593-026-02202-6</w:t>
      </w:r>
    </w:p>
    <w:p w14:paraId="27C01F6B" w14:textId="77777777" w:rsidR="003D1017" w:rsidRDefault="00000000">
      <w:pPr>
        <w:tabs>
          <w:tab w:val="left" w:pos="500"/>
        </w:tabs>
        <w:spacing w:after="70"/>
        <w:ind w:left="500" w:hanging="500"/>
      </w:pPr>
      <w:r>
        <w:rPr>
          <w:b/>
          <w:bCs/>
          <w:sz w:val="18"/>
          <w:szCs w:val="18"/>
        </w:rPr>
        <w:t>[2]</w:t>
      </w:r>
      <w:r>
        <w:rPr>
          <w:sz w:val="18"/>
          <w:szCs w:val="18"/>
        </w:rPr>
        <w:tab/>
        <w:t xml:space="preserve">A. Munk </w:t>
      </w:r>
      <w:r>
        <w:rPr>
          <w:i/>
          <w:iCs/>
          <w:sz w:val="18"/>
          <w:szCs w:val="18"/>
        </w:rPr>
        <w:t>et al.</w:t>
      </w:r>
      <w:r>
        <w:rPr>
          <w:sz w:val="18"/>
          <w:szCs w:val="18"/>
        </w:rPr>
        <w:t>, “Towards brain MRI foundation models for the clinic: Findings from the FOMO25 challenge,” arXiv:2604.11679, 2026.</w:t>
      </w:r>
    </w:p>
    <w:p w14:paraId="10821335" w14:textId="77777777" w:rsidR="003D1017" w:rsidRDefault="00000000">
      <w:pPr>
        <w:tabs>
          <w:tab w:val="left" w:pos="500"/>
        </w:tabs>
        <w:spacing w:after="70"/>
        <w:ind w:left="500" w:hanging="500"/>
      </w:pPr>
      <w:r>
        <w:rPr>
          <w:b/>
          <w:bCs/>
          <w:sz w:val="18"/>
          <w:szCs w:val="18"/>
        </w:rPr>
        <w:t>[3]</w:t>
      </w:r>
      <w:r>
        <w:rPr>
          <w:sz w:val="18"/>
          <w:szCs w:val="18"/>
        </w:rPr>
        <w:tab/>
        <w:t xml:space="preserve">A. Munk </w:t>
      </w:r>
      <w:r>
        <w:rPr>
          <w:i/>
          <w:iCs/>
          <w:sz w:val="18"/>
          <w:szCs w:val="18"/>
        </w:rPr>
        <w:t>et al.</w:t>
      </w:r>
      <w:r>
        <w:rPr>
          <w:sz w:val="18"/>
          <w:szCs w:val="18"/>
        </w:rPr>
        <w:t>, “A large-scale heterogeneous 3D magnetic resonance brain imaging dataset for self-supervised learning,” arXiv:2506.14432, 2025.</w:t>
      </w:r>
    </w:p>
    <w:p w14:paraId="692788BB" w14:textId="77777777" w:rsidR="003D1017" w:rsidRDefault="00000000">
      <w:pPr>
        <w:tabs>
          <w:tab w:val="left" w:pos="500"/>
        </w:tabs>
        <w:spacing w:after="70"/>
        <w:ind w:left="500" w:hanging="500"/>
      </w:pPr>
      <w:r>
        <w:rPr>
          <w:b/>
          <w:bCs/>
          <w:sz w:val="18"/>
          <w:szCs w:val="18"/>
        </w:rPr>
        <w:t>[4]</w:t>
      </w:r>
      <w:r>
        <w:rPr>
          <w:sz w:val="18"/>
          <w:szCs w:val="18"/>
        </w:rPr>
        <w:tab/>
        <w:t xml:space="preserve">J. Cox </w:t>
      </w:r>
      <w:r>
        <w:rPr>
          <w:i/>
          <w:iCs/>
          <w:sz w:val="18"/>
          <w:szCs w:val="18"/>
        </w:rPr>
        <w:t>et al.</w:t>
      </w:r>
      <w:r>
        <w:rPr>
          <w:sz w:val="18"/>
          <w:szCs w:val="18"/>
        </w:rPr>
        <w:t xml:space="preserve">, “BrainSegFounder: Towards 3D foundation models for neuroimage segmentation,” </w:t>
      </w:r>
      <w:r>
        <w:rPr>
          <w:i/>
          <w:iCs/>
          <w:sz w:val="18"/>
          <w:szCs w:val="18"/>
        </w:rPr>
        <w:t>Medical Image Analysis</w:t>
      </w:r>
      <w:r>
        <w:rPr>
          <w:sz w:val="18"/>
          <w:szCs w:val="18"/>
        </w:rPr>
        <w:t>, Art. no. 103301, 2024. DOI: 10.1016/j.media.2024.103301</w:t>
      </w:r>
    </w:p>
    <w:p w14:paraId="2CB55BC8" w14:textId="77777777" w:rsidR="003D1017" w:rsidRDefault="00000000">
      <w:pPr>
        <w:tabs>
          <w:tab w:val="left" w:pos="500"/>
        </w:tabs>
        <w:spacing w:after="70"/>
        <w:ind w:left="500" w:hanging="500"/>
      </w:pPr>
      <w:r>
        <w:rPr>
          <w:b/>
          <w:bCs/>
          <w:sz w:val="18"/>
          <w:szCs w:val="18"/>
        </w:rPr>
        <w:t>[5]</w:t>
      </w:r>
      <w:r>
        <w:rPr>
          <w:sz w:val="18"/>
          <w:szCs w:val="18"/>
        </w:rPr>
        <w:tab/>
        <w:t>M. Mazher, G. J. M. Parker, and D. C. Alexander, “Towards generalisable foundation models for 3D brain MRI,” arXiv:2510.23415, 2025.</w:t>
      </w:r>
    </w:p>
    <w:p w14:paraId="448EC612" w14:textId="77777777" w:rsidR="003D1017" w:rsidRDefault="00000000">
      <w:pPr>
        <w:tabs>
          <w:tab w:val="left" w:pos="500"/>
        </w:tabs>
        <w:spacing w:after="70"/>
        <w:ind w:left="500" w:hanging="500"/>
      </w:pPr>
      <w:r>
        <w:rPr>
          <w:b/>
          <w:bCs/>
          <w:sz w:val="18"/>
          <w:szCs w:val="18"/>
        </w:rPr>
        <w:t>[6]</w:t>
      </w:r>
      <w:r>
        <w:rPr>
          <w:sz w:val="18"/>
          <w:szCs w:val="18"/>
        </w:rPr>
        <w:tab/>
        <w:t>O. I. Akinmuleya, O. S. Akano, S. D. Ankapong, O. Lawal, and T. Musah, “Evaluating the generalization of neuroimaging foundation models on African brain MRI,” arXiv:2609.23983, 2026.</w:t>
      </w:r>
    </w:p>
    <w:p w14:paraId="34518625" w14:textId="77777777" w:rsidR="003D1017" w:rsidRDefault="00000000">
      <w:pPr>
        <w:tabs>
          <w:tab w:val="left" w:pos="500"/>
        </w:tabs>
        <w:spacing w:after="70"/>
        <w:ind w:left="500" w:hanging="500"/>
      </w:pPr>
      <w:r>
        <w:rPr>
          <w:b/>
          <w:bCs/>
          <w:sz w:val="18"/>
          <w:szCs w:val="18"/>
        </w:rPr>
        <w:t>[7]</w:t>
      </w:r>
      <w:r>
        <w:rPr>
          <w:sz w:val="18"/>
          <w:szCs w:val="18"/>
        </w:rPr>
        <w:tab/>
        <w:t xml:space="preserve">M. Rosenblatt, L. Tejavibulya, R. Jiang, S. Noble, and D. Scheinost, “Data leakage inflates prediction performance in connectome-based machine learning models,” </w:t>
      </w:r>
      <w:r>
        <w:rPr>
          <w:i/>
          <w:iCs/>
          <w:sz w:val="18"/>
          <w:szCs w:val="18"/>
        </w:rPr>
        <w:t>Nature Communications</w:t>
      </w:r>
      <w:r>
        <w:rPr>
          <w:sz w:val="18"/>
          <w:szCs w:val="18"/>
        </w:rPr>
        <w:t>, vol. 15, 2024. DOI: 10.1038/s41467-024-46150-w</w:t>
      </w:r>
    </w:p>
    <w:p w14:paraId="3693F89B" w14:textId="77777777" w:rsidR="003D1017" w:rsidRDefault="00000000">
      <w:pPr>
        <w:tabs>
          <w:tab w:val="left" w:pos="500"/>
        </w:tabs>
        <w:spacing w:after="70"/>
        <w:ind w:left="500" w:hanging="500"/>
      </w:pPr>
      <w:r>
        <w:rPr>
          <w:b/>
          <w:bCs/>
          <w:sz w:val="18"/>
          <w:szCs w:val="18"/>
        </w:rPr>
        <w:t>[8]</w:t>
      </w:r>
      <w:r>
        <w:rPr>
          <w:sz w:val="18"/>
          <w:szCs w:val="18"/>
        </w:rPr>
        <w:tab/>
        <w:t xml:space="preserve">A. Solanes </w:t>
      </w:r>
      <w:r>
        <w:rPr>
          <w:i/>
          <w:iCs/>
          <w:sz w:val="18"/>
          <w:szCs w:val="18"/>
        </w:rPr>
        <w:t>et al.</w:t>
      </w:r>
      <w:r>
        <w:rPr>
          <w:sz w:val="18"/>
          <w:szCs w:val="18"/>
        </w:rPr>
        <w:t xml:space="preserve">, “Removing the effects of the site in brain imaging machine-learning – Measurement and extendable benchmark,” </w:t>
      </w:r>
      <w:r>
        <w:rPr>
          <w:i/>
          <w:iCs/>
          <w:sz w:val="18"/>
          <w:szCs w:val="18"/>
        </w:rPr>
        <w:t>NeuroImage</w:t>
      </w:r>
      <w:r>
        <w:rPr>
          <w:sz w:val="18"/>
          <w:szCs w:val="18"/>
        </w:rPr>
        <w:t>, 2023.</w:t>
      </w:r>
    </w:p>
    <w:p w14:paraId="65B530DE" w14:textId="77777777" w:rsidR="003D1017" w:rsidRDefault="00000000">
      <w:pPr>
        <w:tabs>
          <w:tab w:val="left" w:pos="500"/>
        </w:tabs>
        <w:spacing w:after="70"/>
        <w:ind w:left="500" w:hanging="500"/>
      </w:pPr>
      <w:r>
        <w:rPr>
          <w:b/>
          <w:bCs/>
          <w:sz w:val="18"/>
          <w:szCs w:val="18"/>
        </w:rPr>
        <w:t>[9]</w:t>
      </w:r>
      <w:r>
        <w:rPr>
          <w:sz w:val="18"/>
          <w:szCs w:val="18"/>
        </w:rPr>
        <w:tab/>
        <w:t xml:space="preserve">U. Gupta, D. Stripelis, P. K. Lam, P. M. Thompson, J. L. Ambite, and G. Ver Steeg, “Membership inference attacks on deep regression models for neuroimaging,” in </w:t>
      </w:r>
      <w:r>
        <w:rPr>
          <w:i/>
          <w:iCs/>
          <w:sz w:val="18"/>
          <w:szCs w:val="18"/>
        </w:rPr>
        <w:t>Proc. Medical Imaging with Deep Learning (MIDL)</w:t>
      </w:r>
      <w:r>
        <w:rPr>
          <w:sz w:val="18"/>
          <w:szCs w:val="18"/>
        </w:rPr>
        <w:t>, PMLR vol. 143, 2021.</w:t>
      </w:r>
    </w:p>
    <w:p w14:paraId="73209754" w14:textId="77777777" w:rsidR="003D1017" w:rsidRDefault="00000000">
      <w:pPr>
        <w:tabs>
          <w:tab w:val="left" w:pos="500"/>
        </w:tabs>
        <w:spacing w:after="70"/>
        <w:ind w:left="500" w:hanging="500"/>
      </w:pPr>
      <w:r>
        <w:rPr>
          <w:b/>
          <w:bCs/>
          <w:sz w:val="18"/>
          <w:szCs w:val="18"/>
        </w:rPr>
        <w:t>[10]</w:t>
      </w:r>
      <w:r>
        <w:rPr>
          <w:sz w:val="18"/>
          <w:szCs w:val="18"/>
        </w:rPr>
        <w:tab/>
        <w:t xml:space="preserve">W. Li </w:t>
      </w:r>
      <w:r>
        <w:rPr>
          <w:i/>
          <w:iCs/>
          <w:sz w:val="18"/>
          <w:szCs w:val="18"/>
        </w:rPr>
        <w:t>et al.</w:t>
      </w:r>
      <w:r>
        <w:rPr>
          <w:sz w:val="18"/>
          <w:szCs w:val="18"/>
        </w:rPr>
        <w:t xml:space="preserve">, “Privacy-preserving federated brain tumour segmentation,” in </w:t>
      </w:r>
      <w:r>
        <w:rPr>
          <w:i/>
          <w:iCs/>
          <w:sz w:val="18"/>
          <w:szCs w:val="18"/>
        </w:rPr>
        <w:t>Proc. Machine Learning in Medical Imaging (MLMI)</w:t>
      </w:r>
      <w:r>
        <w:rPr>
          <w:sz w:val="18"/>
          <w:szCs w:val="18"/>
        </w:rPr>
        <w:t>, 2019. arXiv:1910.00962</w:t>
      </w:r>
    </w:p>
    <w:p w14:paraId="445A53D2" w14:textId="77777777" w:rsidR="003D1017" w:rsidRDefault="00000000">
      <w:pPr>
        <w:tabs>
          <w:tab w:val="left" w:pos="500"/>
        </w:tabs>
        <w:spacing w:after="70"/>
        <w:ind w:left="500" w:hanging="500"/>
      </w:pPr>
      <w:r>
        <w:rPr>
          <w:b/>
          <w:bCs/>
          <w:sz w:val="18"/>
          <w:szCs w:val="18"/>
        </w:rPr>
        <w:t>[11]</w:t>
      </w:r>
      <w:r>
        <w:rPr>
          <w:sz w:val="18"/>
          <w:szCs w:val="18"/>
        </w:rPr>
        <w:tab/>
        <w:t xml:space="preserve">L. Snoek, M. M. van der Miesen, T. Beemsterboer, A. van der Leij, A. Eigenhuis, and H. S. Scholte, “The Amsterdam Open MRI Collection, a set of multimodal MRI datasets for individual difference analyses,” </w:t>
      </w:r>
      <w:r>
        <w:rPr>
          <w:i/>
          <w:iCs/>
          <w:sz w:val="18"/>
          <w:szCs w:val="18"/>
        </w:rPr>
        <w:t>Scientific Data</w:t>
      </w:r>
      <w:r>
        <w:rPr>
          <w:sz w:val="18"/>
          <w:szCs w:val="18"/>
        </w:rPr>
        <w:t>, vol. 8, Art. no. 85, 2021.</w:t>
      </w:r>
    </w:p>
    <w:p w14:paraId="584E851E" w14:textId="77777777" w:rsidR="003D1017" w:rsidRDefault="00000000">
      <w:pPr>
        <w:tabs>
          <w:tab w:val="left" w:pos="500"/>
        </w:tabs>
        <w:spacing w:after="70"/>
        <w:ind w:left="500" w:hanging="500"/>
      </w:pPr>
      <w:r>
        <w:rPr>
          <w:b/>
          <w:bCs/>
          <w:sz w:val="18"/>
          <w:szCs w:val="18"/>
        </w:rPr>
        <w:t>[12]</w:t>
      </w:r>
      <w:r>
        <w:rPr>
          <w:sz w:val="18"/>
          <w:szCs w:val="18"/>
        </w:rPr>
        <w:tab/>
        <w:t xml:space="preserve">M. J. Cardoso </w:t>
      </w:r>
      <w:r>
        <w:rPr>
          <w:i/>
          <w:iCs/>
          <w:sz w:val="18"/>
          <w:szCs w:val="18"/>
        </w:rPr>
        <w:t>et al.</w:t>
      </w:r>
      <w:r>
        <w:rPr>
          <w:sz w:val="18"/>
          <w:szCs w:val="18"/>
        </w:rPr>
        <w:t>, “MONAI: An open-source framework for deep learning in healthcare,” arXiv:2211.02701, 2022.</w:t>
      </w:r>
    </w:p>
    <w:p w14:paraId="5755A3F8" w14:textId="77777777" w:rsidR="003D1017" w:rsidRDefault="00000000">
      <w:pPr>
        <w:tabs>
          <w:tab w:val="left" w:pos="500"/>
        </w:tabs>
        <w:spacing w:after="70"/>
        <w:ind w:left="500" w:hanging="500"/>
      </w:pPr>
      <w:r>
        <w:rPr>
          <w:b/>
          <w:bCs/>
          <w:sz w:val="18"/>
          <w:szCs w:val="18"/>
        </w:rPr>
        <w:t>[13]</w:t>
      </w:r>
      <w:r>
        <w:rPr>
          <w:sz w:val="18"/>
          <w:szCs w:val="18"/>
        </w:rPr>
        <w:tab/>
        <w:t xml:space="preserve">K. He, X. Zhang, S. Ren, and J. Sun, “Deep residual learning for image recognition,” in </w:t>
      </w:r>
      <w:r>
        <w:rPr>
          <w:i/>
          <w:iCs/>
          <w:sz w:val="18"/>
          <w:szCs w:val="18"/>
        </w:rPr>
        <w:t>Proc. IEEE Conf. Computer Vision and Pattern Recognition (CVPR)</w:t>
      </w:r>
      <w:r>
        <w:rPr>
          <w:sz w:val="18"/>
          <w:szCs w:val="18"/>
        </w:rPr>
        <w:t>, 2016, pp. 770–778.</w:t>
      </w:r>
    </w:p>
    <w:p w14:paraId="0B80334B" w14:textId="77777777" w:rsidR="003D1017" w:rsidRDefault="00000000">
      <w:pPr>
        <w:tabs>
          <w:tab w:val="left" w:pos="500"/>
        </w:tabs>
        <w:spacing w:after="70"/>
        <w:ind w:left="500" w:hanging="500"/>
      </w:pPr>
      <w:r>
        <w:rPr>
          <w:b/>
          <w:bCs/>
          <w:sz w:val="18"/>
          <w:szCs w:val="18"/>
        </w:rPr>
        <w:t>[14]</w:t>
      </w:r>
      <w:r>
        <w:rPr>
          <w:sz w:val="18"/>
          <w:szCs w:val="18"/>
        </w:rPr>
        <w:tab/>
        <w:t xml:space="preserve">G. Huang, Z. Liu, L. van der Maaten, and K. Q. Weinberger, “Densely connected convolutional networks,” in </w:t>
      </w:r>
      <w:r>
        <w:rPr>
          <w:i/>
          <w:iCs/>
          <w:sz w:val="18"/>
          <w:szCs w:val="18"/>
        </w:rPr>
        <w:t>Proc. IEEE Conf. Computer Vision and Pattern Recognition (CVPR)</w:t>
      </w:r>
      <w:r>
        <w:rPr>
          <w:sz w:val="18"/>
          <w:szCs w:val="18"/>
        </w:rPr>
        <w:t>, 2017, pp. 4700–4708.</w:t>
      </w:r>
    </w:p>
    <w:p w14:paraId="503C81B0" w14:textId="77777777" w:rsidR="003D1017" w:rsidRDefault="00000000">
      <w:pPr>
        <w:tabs>
          <w:tab w:val="left" w:pos="500"/>
        </w:tabs>
        <w:spacing w:after="70"/>
        <w:ind w:left="500" w:hanging="500"/>
      </w:pPr>
      <w:r>
        <w:rPr>
          <w:b/>
          <w:bCs/>
          <w:sz w:val="18"/>
          <w:szCs w:val="18"/>
        </w:rPr>
        <w:t>[15]</w:t>
      </w:r>
      <w:r>
        <w:rPr>
          <w:sz w:val="18"/>
          <w:szCs w:val="18"/>
        </w:rPr>
        <w:tab/>
        <w:t xml:space="preserve">G. Ke </w:t>
      </w:r>
      <w:r>
        <w:rPr>
          <w:i/>
          <w:iCs/>
          <w:sz w:val="18"/>
          <w:szCs w:val="18"/>
        </w:rPr>
        <w:t>et al.</w:t>
      </w:r>
      <w:r>
        <w:rPr>
          <w:sz w:val="18"/>
          <w:szCs w:val="18"/>
        </w:rPr>
        <w:t xml:space="preserve">, “LightGBM: A highly efficient gradient boosting decision tree,” in </w:t>
      </w:r>
      <w:r>
        <w:rPr>
          <w:i/>
          <w:iCs/>
          <w:sz w:val="18"/>
          <w:szCs w:val="18"/>
        </w:rPr>
        <w:t>Proc. Advances in Neural Information Processing Systems (NeurIPS)</w:t>
      </w:r>
      <w:r>
        <w:rPr>
          <w:sz w:val="18"/>
          <w:szCs w:val="18"/>
        </w:rPr>
        <w:t>, vol. 30, 2017, pp. 3146–3154.</w:t>
      </w:r>
    </w:p>
    <w:p w14:paraId="3C4814AE" w14:textId="77777777" w:rsidR="003D1017" w:rsidRDefault="00000000">
      <w:pPr>
        <w:tabs>
          <w:tab w:val="left" w:pos="500"/>
        </w:tabs>
        <w:spacing w:after="70"/>
        <w:ind w:left="500" w:hanging="500"/>
      </w:pPr>
      <w:r>
        <w:rPr>
          <w:b/>
          <w:bCs/>
          <w:sz w:val="18"/>
          <w:szCs w:val="18"/>
        </w:rPr>
        <w:t>[16]</w:t>
      </w:r>
      <w:r>
        <w:rPr>
          <w:sz w:val="18"/>
          <w:szCs w:val="18"/>
        </w:rPr>
        <w:tab/>
        <w:t xml:space="preserve">T. Akiba, S. Sano, T. Yanase, T. Ohta, and M. Koyama, “Optuna: A next-generation hyperparameter optimization framework,” in </w:t>
      </w:r>
      <w:r>
        <w:rPr>
          <w:i/>
          <w:iCs/>
          <w:sz w:val="18"/>
          <w:szCs w:val="18"/>
        </w:rPr>
        <w:t>Proc. 25th ACM SIGKDD Int. Conf. Knowledge Discovery and Data Mining</w:t>
      </w:r>
      <w:r>
        <w:rPr>
          <w:sz w:val="18"/>
          <w:szCs w:val="18"/>
        </w:rPr>
        <w:t>, 2019, pp. 2623–2631.</w:t>
      </w:r>
    </w:p>
    <w:p w14:paraId="344E2596" w14:textId="77777777" w:rsidR="003D1017" w:rsidRDefault="00000000">
      <w:pPr>
        <w:tabs>
          <w:tab w:val="left" w:pos="500"/>
        </w:tabs>
        <w:spacing w:after="70"/>
        <w:ind w:left="500" w:hanging="500"/>
      </w:pPr>
      <w:r>
        <w:rPr>
          <w:b/>
          <w:bCs/>
          <w:sz w:val="18"/>
          <w:szCs w:val="18"/>
        </w:rPr>
        <w:t>[17]</w:t>
      </w:r>
      <w:r>
        <w:rPr>
          <w:sz w:val="18"/>
          <w:szCs w:val="18"/>
        </w:rPr>
        <w:tab/>
        <w:t xml:space="preserve">D. Card and A. B. Krueger, “Minimum wages and employment: A case study of the fast-food industry in New Jersey and Pennsylvania,” </w:t>
      </w:r>
      <w:r>
        <w:rPr>
          <w:i/>
          <w:iCs/>
          <w:sz w:val="18"/>
          <w:szCs w:val="18"/>
        </w:rPr>
        <w:t>American Economic Review</w:t>
      </w:r>
      <w:r>
        <w:rPr>
          <w:sz w:val="18"/>
          <w:szCs w:val="18"/>
        </w:rPr>
        <w:t>, vol. 84, no. 4, pp. 772–793, 1994.</w:t>
      </w:r>
    </w:p>
    <w:p w14:paraId="3504C52F" w14:textId="77777777" w:rsidR="003D1017" w:rsidRDefault="00000000">
      <w:pPr>
        <w:tabs>
          <w:tab w:val="left" w:pos="500"/>
        </w:tabs>
        <w:spacing w:after="70"/>
        <w:ind w:left="500" w:hanging="500"/>
      </w:pPr>
      <w:r>
        <w:rPr>
          <w:b/>
          <w:bCs/>
          <w:sz w:val="18"/>
          <w:szCs w:val="18"/>
        </w:rPr>
        <w:t>[18]</w:t>
      </w:r>
      <w:r>
        <w:rPr>
          <w:sz w:val="18"/>
          <w:szCs w:val="18"/>
        </w:rPr>
        <w:tab/>
        <w:t xml:space="preserve">S. Holm, “A simple sequentially rejective multiple test procedure,” </w:t>
      </w:r>
      <w:r>
        <w:rPr>
          <w:i/>
          <w:iCs/>
          <w:sz w:val="18"/>
          <w:szCs w:val="18"/>
        </w:rPr>
        <w:t>Scandinavian Journal of Statistics</w:t>
      </w:r>
      <w:r>
        <w:rPr>
          <w:sz w:val="18"/>
          <w:szCs w:val="18"/>
        </w:rPr>
        <w:t>, vol. 6, no. 2, pp. 65–70, 1979.</w:t>
      </w:r>
    </w:p>
    <w:p w14:paraId="130D5FD0" w14:textId="77777777" w:rsidR="003D1017" w:rsidRDefault="00000000">
      <w:pPr>
        <w:tabs>
          <w:tab w:val="left" w:pos="500"/>
        </w:tabs>
        <w:spacing w:after="70"/>
        <w:ind w:left="500" w:hanging="500"/>
      </w:pPr>
      <w:r>
        <w:rPr>
          <w:b/>
          <w:bCs/>
          <w:sz w:val="18"/>
          <w:szCs w:val="18"/>
        </w:rPr>
        <w:t>[19]</w:t>
      </w:r>
      <w:r>
        <w:rPr>
          <w:sz w:val="18"/>
          <w:szCs w:val="18"/>
        </w:rPr>
        <w:tab/>
        <w:t xml:space="preserve">D. S. Marcus, T. H. Wang, J. Parker, J. G. Csernansky, J. C. Morris, and R. L. Buckner, “Open Access Series of Imaging Studies (OASIS): Cross-sectional MRI data in young, middle aged, nondemented, and demented older adults,” </w:t>
      </w:r>
      <w:r>
        <w:rPr>
          <w:i/>
          <w:iCs/>
          <w:sz w:val="18"/>
          <w:szCs w:val="18"/>
        </w:rPr>
        <w:t>Journal of Cognitive Neuroscience</w:t>
      </w:r>
      <w:r>
        <w:rPr>
          <w:sz w:val="18"/>
          <w:szCs w:val="18"/>
        </w:rPr>
        <w:t>, vol. 19, no. 9, pp. 1498–1507, 2007.</w:t>
      </w:r>
    </w:p>
    <w:p w14:paraId="032169D6" w14:textId="77777777" w:rsidR="003D1017" w:rsidRDefault="00000000">
      <w:pPr>
        <w:tabs>
          <w:tab w:val="left" w:pos="500"/>
        </w:tabs>
        <w:spacing w:after="70"/>
        <w:ind w:left="500" w:hanging="500"/>
      </w:pPr>
      <w:r>
        <w:rPr>
          <w:b/>
          <w:bCs/>
          <w:sz w:val="18"/>
          <w:szCs w:val="18"/>
        </w:rPr>
        <w:t>[20]</w:t>
      </w:r>
      <w:r>
        <w:rPr>
          <w:sz w:val="18"/>
          <w:szCs w:val="18"/>
        </w:rPr>
        <w:tab/>
        <w:t xml:space="preserve">D. S. Marcus, A. F. Fotenos, J. G. Csernansky, J. C. Morris, and R. L. Buckner, “Open Access Series of Imaging Studies: Longitudinal MRI data in nondemented and demented older adults,” </w:t>
      </w:r>
      <w:r>
        <w:rPr>
          <w:i/>
          <w:iCs/>
          <w:sz w:val="18"/>
          <w:szCs w:val="18"/>
        </w:rPr>
        <w:t>Journal of Cognitive Neuroscience</w:t>
      </w:r>
      <w:r>
        <w:rPr>
          <w:sz w:val="18"/>
          <w:szCs w:val="18"/>
        </w:rPr>
        <w:t>, vol. 22, no. 12, pp. 2677–2684, 2010.</w:t>
      </w:r>
    </w:p>
    <w:p w14:paraId="33E5DDDB" w14:textId="77777777" w:rsidR="003D1017" w:rsidRDefault="00000000">
      <w:pPr>
        <w:tabs>
          <w:tab w:val="left" w:pos="500"/>
        </w:tabs>
        <w:spacing w:after="70"/>
        <w:ind w:left="500" w:hanging="500"/>
      </w:pPr>
      <w:r>
        <w:rPr>
          <w:b/>
          <w:bCs/>
          <w:sz w:val="18"/>
          <w:szCs w:val="18"/>
        </w:rPr>
        <w:t>[21]</w:t>
      </w:r>
      <w:r>
        <w:rPr>
          <w:sz w:val="18"/>
          <w:szCs w:val="18"/>
        </w:rPr>
        <w:tab/>
        <w:t xml:space="preserve">“IXI dataset,” Biomedical Image Analysis Group, Imperial College London. [Online]. Available: </w:t>
      </w:r>
      <w:hyperlink r:id="rId32" w:history="1">
        <w:r>
          <w:rPr>
            <w:color w:val="0563C1"/>
            <w:sz w:val="18"/>
            <w:szCs w:val="18"/>
            <w:u w:val="single"/>
          </w:rPr>
          <w:t>https://brain-development.org/ixi-dataset/</w:t>
        </w:r>
      </w:hyperlink>
    </w:p>
    <w:p w14:paraId="147CED5C" w14:textId="77777777" w:rsidR="003D1017" w:rsidRDefault="00000000">
      <w:pPr>
        <w:spacing w:before="140"/>
      </w:pPr>
      <w:r>
        <w:rPr>
          <w:b/>
          <w:bCs/>
          <w:sz w:val="20"/>
          <w:szCs w:val="20"/>
        </w:rPr>
        <w:t>GITHUB LINK:</w:t>
      </w:r>
      <w:r>
        <w:rPr>
          <w:sz w:val="20"/>
          <w:szCs w:val="20"/>
        </w:rPr>
        <w:t xml:space="preserve"> </w:t>
      </w:r>
      <w:hyperlink r:id="rId33" w:history="1">
        <w:r>
          <w:rPr>
            <w:color w:val="0563C1"/>
            <w:sz w:val="20"/>
            <w:szCs w:val="20"/>
            <w:u w:val="single"/>
          </w:rPr>
          <w:t>https://github.com/Pranav-PN/brain-MRI-contamination-audit</w:t>
        </w:r>
      </w:hyperlink>
    </w:p>
    <w:sectPr w:rsidR="003D1017">
      <w:headerReference w:type="default" r:id="rId34"/>
      <w:type w:val="continuous"/>
      <w:pgSz w:w="11520" w:h="15660"/>
      <w:pgMar w:top="540" w:right="566" w:bottom="566" w:left="566" w:header="140" w:footer="0" w:gutter="0"/>
      <w:cols w:num="2" w:space="720" w:equalWidth="0">
        <w:col w:w="5035" w:space="185"/>
        <w:col w:w="5168"/>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E7CAA0" w14:textId="77777777" w:rsidR="00945304" w:rsidRDefault="00945304">
      <w:r>
        <w:separator/>
      </w:r>
    </w:p>
  </w:endnote>
  <w:endnote w:type="continuationSeparator" w:id="0">
    <w:p w14:paraId="4DF86B69" w14:textId="77777777" w:rsidR="00945304" w:rsidRDefault="009453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rebuchet MS">
    <w:panose1 w:val="020B0603020202020204"/>
    <w:charset w:val="00"/>
    <w:family w:val="swiss"/>
    <w:pitch w:val="variable"/>
    <w:sig w:usb0="000006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C0752E" w14:textId="77777777" w:rsidR="00945304" w:rsidRDefault="00945304">
      <w:r>
        <w:separator/>
      </w:r>
    </w:p>
  </w:footnote>
  <w:footnote w:type="continuationSeparator" w:id="0">
    <w:p w14:paraId="2DD9CE99" w14:textId="77777777" w:rsidR="00945304" w:rsidRDefault="0094530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0EEC80" w14:textId="77777777" w:rsidR="000F138B" w:rsidRDefault="000F138B">
    <w:pPr>
      <w:pStyle w:val="BodyText"/>
      <w:spacing w:line="14" w:lineRule="aut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629A07" w14:textId="77777777" w:rsidR="000F138B" w:rsidRDefault="000F138B">
    <w:pPr>
      <w:pStyle w:val="BodyText"/>
      <w:spacing w:line="14" w:lineRule="auto"/>
      <w:rPr>
        <w:sz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DBF419" w14:textId="77777777" w:rsidR="000F138B" w:rsidRDefault="000F138B">
    <w:pPr>
      <w:pStyle w:val="BodyText"/>
      <w:spacing w:line="14"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02D4B"/>
    <w:multiLevelType w:val="hybridMultilevel"/>
    <w:tmpl w:val="A3CA1DF4"/>
    <w:lvl w:ilvl="0" w:tplc="80CA3290">
      <w:numFmt w:val="bullet"/>
      <w:lvlText w:val="□"/>
      <w:lvlJc w:val="left"/>
      <w:pPr>
        <w:ind w:left="600" w:hanging="360"/>
      </w:pPr>
      <w:rPr>
        <w:rFonts w:ascii="Trebuchet MS" w:eastAsia="Trebuchet MS" w:hAnsi="Trebuchet MS" w:cs="Trebuchet MS" w:hint="default"/>
        <w:b/>
        <w:bCs/>
        <w:i w:val="0"/>
        <w:iCs w:val="0"/>
        <w:spacing w:val="0"/>
        <w:w w:val="99"/>
        <w:sz w:val="18"/>
        <w:szCs w:val="18"/>
        <w:lang w:val="en-US" w:eastAsia="en-US" w:bidi="ar-SA"/>
      </w:rPr>
    </w:lvl>
    <w:lvl w:ilvl="1" w:tplc="03C63298">
      <w:numFmt w:val="bullet"/>
      <w:lvlText w:val="•"/>
      <w:lvlJc w:val="left"/>
      <w:pPr>
        <w:ind w:left="1056" w:hanging="360"/>
      </w:pPr>
      <w:rPr>
        <w:rFonts w:hint="default"/>
        <w:lang w:val="en-US" w:eastAsia="en-US" w:bidi="ar-SA"/>
      </w:rPr>
    </w:lvl>
    <w:lvl w:ilvl="2" w:tplc="44F24606">
      <w:numFmt w:val="bullet"/>
      <w:lvlText w:val="•"/>
      <w:lvlJc w:val="left"/>
      <w:pPr>
        <w:ind w:left="1513" w:hanging="360"/>
      </w:pPr>
      <w:rPr>
        <w:rFonts w:hint="default"/>
        <w:lang w:val="en-US" w:eastAsia="en-US" w:bidi="ar-SA"/>
      </w:rPr>
    </w:lvl>
    <w:lvl w:ilvl="3" w:tplc="A252A3CC">
      <w:numFmt w:val="bullet"/>
      <w:lvlText w:val="•"/>
      <w:lvlJc w:val="left"/>
      <w:pPr>
        <w:ind w:left="1970" w:hanging="360"/>
      </w:pPr>
      <w:rPr>
        <w:rFonts w:hint="default"/>
        <w:lang w:val="en-US" w:eastAsia="en-US" w:bidi="ar-SA"/>
      </w:rPr>
    </w:lvl>
    <w:lvl w:ilvl="4" w:tplc="50BC97DA">
      <w:numFmt w:val="bullet"/>
      <w:lvlText w:val="•"/>
      <w:lvlJc w:val="left"/>
      <w:pPr>
        <w:ind w:left="2427" w:hanging="360"/>
      </w:pPr>
      <w:rPr>
        <w:rFonts w:hint="default"/>
        <w:lang w:val="en-US" w:eastAsia="en-US" w:bidi="ar-SA"/>
      </w:rPr>
    </w:lvl>
    <w:lvl w:ilvl="5" w:tplc="F68855E2">
      <w:numFmt w:val="bullet"/>
      <w:lvlText w:val="•"/>
      <w:lvlJc w:val="left"/>
      <w:pPr>
        <w:ind w:left="2884" w:hanging="360"/>
      </w:pPr>
      <w:rPr>
        <w:rFonts w:hint="default"/>
        <w:lang w:val="en-US" w:eastAsia="en-US" w:bidi="ar-SA"/>
      </w:rPr>
    </w:lvl>
    <w:lvl w:ilvl="6" w:tplc="12080340">
      <w:numFmt w:val="bullet"/>
      <w:lvlText w:val="•"/>
      <w:lvlJc w:val="left"/>
      <w:pPr>
        <w:ind w:left="3340" w:hanging="360"/>
      </w:pPr>
      <w:rPr>
        <w:rFonts w:hint="default"/>
        <w:lang w:val="en-US" w:eastAsia="en-US" w:bidi="ar-SA"/>
      </w:rPr>
    </w:lvl>
    <w:lvl w:ilvl="7" w:tplc="FD42695C">
      <w:numFmt w:val="bullet"/>
      <w:lvlText w:val="•"/>
      <w:lvlJc w:val="left"/>
      <w:pPr>
        <w:ind w:left="3797" w:hanging="360"/>
      </w:pPr>
      <w:rPr>
        <w:rFonts w:hint="default"/>
        <w:lang w:val="en-US" w:eastAsia="en-US" w:bidi="ar-SA"/>
      </w:rPr>
    </w:lvl>
    <w:lvl w:ilvl="8" w:tplc="51B2B26C">
      <w:numFmt w:val="bullet"/>
      <w:lvlText w:val="•"/>
      <w:lvlJc w:val="left"/>
      <w:pPr>
        <w:ind w:left="4254" w:hanging="360"/>
      </w:pPr>
      <w:rPr>
        <w:rFonts w:hint="default"/>
        <w:lang w:val="en-US" w:eastAsia="en-US" w:bidi="ar-SA"/>
      </w:rPr>
    </w:lvl>
  </w:abstractNum>
  <w:abstractNum w:abstractNumId="1" w15:restartNumberingAfterBreak="0">
    <w:nsid w:val="166016A0"/>
    <w:multiLevelType w:val="hybridMultilevel"/>
    <w:tmpl w:val="6E54EE02"/>
    <w:lvl w:ilvl="0" w:tplc="65862158">
      <w:start w:val="1"/>
      <w:numFmt w:val="decimal"/>
      <w:lvlText w:val="%1."/>
      <w:lvlJc w:val="left"/>
      <w:pPr>
        <w:ind w:left="877" w:hanging="284"/>
        <w:jc w:val="right"/>
      </w:pPr>
      <w:rPr>
        <w:rFonts w:ascii="Cambria" w:eastAsia="Cambria" w:hAnsi="Cambria" w:cs="Cambria" w:hint="default"/>
        <w:b w:val="0"/>
        <w:bCs w:val="0"/>
        <w:i w:val="0"/>
        <w:iCs w:val="0"/>
        <w:spacing w:val="0"/>
        <w:w w:val="125"/>
        <w:sz w:val="20"/>
        <w:szCs w:val="20"/>
        <w:lang w:val="en-US" w:eastAsia="en-US" w:bidi="ar-SA"/>
      </w:rPr>
    </w:lvl>
    <w:lvl w:ilvl="1" w:tplc="B908F1E6">
      <w:numFmt w:val="bullet"/>
      <w:lvlText w:val="□"/>
      <w:lvlJc w:val="left"/>
      <w:pPr>
        <w:ind w:left="898" w:hanging="360"/>
      </w:pPr>
      <w:rPr>
        <w:rFonts w:ascii="Segoe UI Symbol" w:eastAsia="Segoe UI Symbol" w:hAnsi="Segoe UI Symbol" w:cs="Segoe UI Symbol" w:hint="default"/>
        <w:b w:val="0"/>
        <w:bCs w:val="0"/>
        <w:i w:val="0"/>
        <w:iCs w:val="0"/>
        <w:spacing w:val="0"/>
        <w:w w:val="69"/>
        <w:sz w:val="20"/>
        <w:szCs w:val="20"/>
        <w:lang w:val="en-US" w:eastAsia="en-US" w:bidi="ar-SA"/>
      </w:rPr>
    </w:lvl>
    <w:lvl w:ilvl="2" w:tplc="98907674">
      <w:numFmt w:val="bullet"/>
      <w:lvlText w:val="•"/>
      <w:lvlJc w:val="left"/>
      <w:pPr>
        <w:ind w:left="779" w:hanging="360"/>
      </w:pPr>
      <w:rPr>
        <w:rFonts w:hint="default"/>
        <w:lang w:val="en-US" w:eastAsia="en-US" w:bidi="ar-SA"/>
      </w:rPr>
    </w:lvl>
    <w:lvl w:ilvl="3" w:tplc="BC56CB30">
      <w:numFmt w:val="bullet"/>
      <w:lvlText w:val="•"/>
      <w:lvlJc w:val="left"/>
      <w:pPr>
        <w:ind w:left="659" w:hanging="360"/>
      </w:pPr>
      <w:rPr>
        <w:rFonts w:hint="default"/>
        <w:lang w:val="en-US" w:eastAsia="en-US" w:bidi="ar-SA"/>
      </w:rPr>
    </w:lvl>
    <w:lvl w:ilvl="4" w:tplc="6532CF00">
      <w:numFmt w:val="bullet"/>
      <w:lvlText w:val="•"/>
      <w:lvlJc w:val="left"/>
      <w:pPr>
        <w:ind w:left="539" w:hanging="360"/>
      </w:pPr>
      <w:rPr>
        <w:rFonts w:hint="default"/>
        <w:lang w:val="en-US" w:eastAsia="en-US" w:bidi="ar-SA"/>
      </w:rPr>
    </w:lvl>
    <w:lvl w:ilvl="5" w:tplc="E5E6398C">
      <w:numFmt w:val="bullet"/>
      <w:lvlText w:val="•"/>
      <w:lvlJc w:val="left"/>
      <w:pPr>
        <w:ind w:left="419" w:hanging="360"/>
      </w:pPr>
      <w:rPr>
        <w:rFonts w:hint="default"/>
        <w:lang w:val="en-US" w:eastAsia="en-US" w:bidi="ar-SA"/>
      </w:rPr>
    </w:lvl>
    <w:lvl w:ilvl="6" w:tplc="3DB84AE4">
      <w:numFmt w:val="bullet"/>
      <w:lvlText w:val="•"/>
      <w:lvlJc w:val="left"/>
      <w:pPr>
        <w:ind w:left="299" w:hanging="360"/>
      </w:pPr>
      <w:rPr>
        <w:rFonts w:hint="default"/>
        <w:lang w:val="en-US" w:eastAsia="en-US" w:bidi="ar-SA"/>
      </w:rPr>
    </w:lvl>
    <w:lvl w:ilvl="7" w:tplc="7CF8A3DA">
      <w:numFmt w:val="bullet"/>
      <w:lvlText w:val="•"/>
      <w:lvlJc w:val="left"/>
      <w:pPr>
        <w:ind w:left="179" w:hanging="360"/>
      </w:pPr>
      <w:rPr>
        <w:rFonts w:hint="default"/>
        <w:lang w:val="en-US" w:eastAsia="en-US" w:bidi="ar-SA"/>
      </w:rPr>
    </w:lvl>
    <w:lvl w:ilvl="8" w:tplc="6088A73E">
      <w:numFmt w:val="bullet"/>
      <w:lvlText w:val="•"/>
      <w:lvlJc w:val="left"/>
      <w:pPr>
        <w:ind w:left="59" w:hanging="360"/>
      </w:pPr>
      <w:rPr>
        <w:rFonts w:hint="default"/>
        <w:lang w:val="en-US" w:eastAsia="en-US" w:bidi="ar-SA"/>
      </w:rPr>
    </w:lvl>
  </w:abstractNum>
  <w:abstractNum w:abstractNumId="2" w15:restartNumberingAfterBreak="0">
    <w:nsid w:val="21242885"/>
    <w:multiLevelType w:val="hybridMultilevel"/>
    <w:tmpl w:val="625E4BEC"/>
    <w:lvl w:ilvl="0" w:tplc="3056BBB2">
      <w:numFmt w:val="bullet"/>
      <w:lvlText w:val="□"/>
      <w:lvlJc w:val="left"/>
      <w:pPr>
        <w:ind w:left="458" w:hanging="284"/>
      </w:pPr>
      <w:rPr>
        <w:rFonts w:ascii="Segoe UI Symbol" w:eastAsia="Segoe UI Symbol" w:hAnsi="Segoe UI Symbol" w:cs="Segoe UI Symbol" w:hint="default"/>
        <w:b w:val="0"/>
        <w:bCs w:val="0"/>
        <w:i w:val="0"/>
        <w:iCs w:val="0"/>
        <w:spacing w:val="0"/>
        <w:w w:val="69"/>
        <w:sz w:val="20"/>
        <w:szCs w:val="20"/>
        <w:lang w:val="en-US" w:eastAsia="en-US" w:bidi="ar-SA"/>
      </w:rPr>
    </w:lvl>
    <w:lvl w:ilvl="1" w:tplc="4FD299F4">
      <w:numFmt w:val="bullet"/>
      <w:lvlText w:val="•"/>
      <w:lvlJc w:val="left"/>
      <w:pPr>
        <w:ind w:left="917" w:hanging="284"/>
      </w:pPr>
      <w:rPr>
        <w:rFonts w:hint="default"/>
        <w:lang w:val="en-US" w:eastAsia="en-US" w:bidi="ar-SA"/>
      </w:rPr>
    </w:lvl>
    <w:lvl w:ilvl="2" w:tplc="AAD426CE">
      <w:numFmt w:val="bullet"/>
      <w:lvlText w:val="•"/>
      <w:lvlJc w:val="left"/>
      <w:pPr>
        <w:ind w:left="1374" w:hanging="284"/>
      </w:pPr>
      <w:rPr>
        <w:rFonts w:hint="default"/>
        <w:lang w:val="en-US" w:eastAsia="en-US" w:bidi="ar-SA"/>
      </w:rPr>
    </w:lvl>
    <w:lvl w:ilvl="3" w:tplc="FE883BAC">
      <w:numFmt w:val="bullet"/>
      <w:lvlText w:val="•"/>
      <w:lvlJc w:val="left"/>
      <w:pPr>
        <w:ind w:left="1832" w:hanging="284"/>
      </w:pPr>
      <w:rPr>
        <w:rFonts w:hint="default"/>
        <w:lang w:val="en-US" w:eastAsia="en-US" w:bidi="ar-SA"/>
      </w:rPr>
    </w:lvl>
    <w:lvl w:ilvl="4" w:tplc="8A960BB0">
      <w:numFmt w:val="bullet"/>
      <w:lvlText w:val="•"/>
      <w:lvlJc w:val="left"/>
      <w:pPr>
        <w:ind w:left="2289" w:hanging="284"/>
      </w:pPr>
      <w:rPr>
        <w:rFonts w:hint="default"/>
        <w:lang w:val="en-US" w:eastAsia="en-US" w:bidi="ar-SA"/>
      </w:rPr>
    </w:lvl>
    <w:lvl w:ilvl="5" w:tplc="AE48772C">
      <w:numFmt w:val="bullet"/>
      <w:lvlText w:val="•"/>
      <w:lvlJc w:val="left"/>
      <w:pPr>
        <w:ind w:left="2747" w:hanging="284"/>
      </w:pPr>
      <w:rPr>
        <w:rFonts w:hint="default"/>
        <w:lang w:val="en-US" w:eastAsia="en-US" w:bidi="ar-SA"/>
      </w:rPr>
    </w:lvl>
    <w:lvl w:ilvl="6" w:tplc="52DC341A">
      <w:numFmt w:val="bullet"/>
      <w:lvlText w:val="•"/>
      <w:lvlJc w:val="left"/>
      <w:pPr>
        <w:ind w:left="3204" w:hanging="284"/>
      </w:pPr>
      <w:rPr>
        <w:rFonts w:hint="default"/>
        <w:lang w:val="en-US" w:eastAsia="en-US" w:bidi="ar-SA"/>
      </w:rPr>
    </w:lvl>
    <w:lvl w:ilvl="7" w:tplc="477846CC">
      <w:numFmt w:val="bullet"/>
      <w:lvlText w:val="•"/>
      <w:lvlJc w:val="left"/>
      <w:pPr>
        <w:ind w:left="3662" w:hanging="284"/>
      </w:pPr>
      <w:rPr>
        <w:rFonts w:hint="default"/>
        <w:lang w:val="en-US" w:eastAsia="en-US" w:bidi="ar-SA"/>
      </w:rPr>
    </w:lvl>
    <w:lvl w:ilvl="8" w:tplc="576E6DAA">
      <w:numFmt w:val="bullet"/>
      <w:lvlText w:val="•"/>
      <w:lvlJc w:val="left"/>
      <w:pPr>
        <w:ind w:left="4119" w:hanging="284"/>
      </w:pPr>
      <w:rPr>
        <w:rFonts w:hint="default"/>
        <w:lang w:val="en-US" w:eastAsia="en-US" w:bidi="ar-SA"/>
      </w:rPr>
    </w:lvl>
  </w:abstractNum>
  <w:abstractNum w:abstractNumId="3" w15:restartNumberingAfterBreak="0">
    <w:nsid w:val="2BAB0081"/>
    <w:multiLevelType w:val="hybridMultilevel"/>
    <w:tmpl w:val="E8ACD242"/>
    <w:lvl w:ilvl="0" w:tplc="CB9249A6">
      <w:start w:val="1"/>
      <w:numFmt w:val="upperRoman"/>
      <w:lvlText w:val="%1."/>
      <w:lvlJc w:val="left"/>
      <w:pPr>
        <w:ind w:left="372" w:hanging="199"/>
        <w:jc w:val="right"/>
      </w:pPr>
      <w:rPr>
        <w:rFonts w:ascii="Trebuchet MS" w:eastAsia="Trebuchet MS" w:hAnsi="Trebuchet MS" w:cs="Trebuchet MS" w:hint="default"/>
        <w:b/>
        <w:bCs/>
        <w:i w:val="0"/>
        <w:iCs w:val="0"/>
        <w:spacing w:val="0"/>
        <w:w w:val="116"/>
        <w:sz w:val="18"/>
        <w:szCs w:val="18"/>
        <w:lang w:val="en-US" w:eastAsia="en-US" w:bidi="ar-SA"/>
      </w:rPr>
    </w:lvl>
    <w:lvl w:ilvl="1" w:tplc="E8767310">
      <w:start w:val="1"/>
      <w:numFmt w:val="upperLetter"/>
      <w:lvlText w:val="%2."/>
      <w:lvlJc w:val="left"/>
      <w:pPr>
        <w:ind w:left="599" w:hanging="360"/>
      </w:pPr>
      <w:rPr>
        <w:rFonts w:hint="default"/>
        <w:spacing w:val="-1"/>
        <w:w w:val="127"/>
        <w:lang w:val="en-US" w:eastAsia="en-US" w:bidi="ar-SA"/>
      </w:rPr>
    </w:lvl>
    <w:lvl w:ilvl="2" w:tplc="8CAABF32">
      <w:start w:val="1"/>
      <w:numFmt w:val="decimal"/>
      <w:lvlText w:val="%3."/>
      <w:lvlJc w:val="left"/>
      <w:pPr>
        <w:ind w:left="458" w:hanging="285"/>
        <w:jc w:val="right"/>
      </w:pPr>
      <w:rPr>
        <w:rFonts w:ascii="Cambria" w:eastAsia="Cambria" w:hAnsi="Cambria" w:cs="Cambria" w:hint="default"/>
        <w:b w:val="0"/>
        <w:bCs w:val="0"/>
        <w:i w:val="0"/>
        <w:iCs w:val="0"/>
        <w:spacing w:val="0"/>
        <w:w w:val="125"/>
        <w:sz w:val="20"/>
        <w:szCs w:val="20"/>
        <w:lang w:val="en-US" w:eastAsia="en-US" w:bidi="ar-SA"/>
      </w:rPr>
    </w:lvl>
    <w:lvl w:ilvl="3" w:tplc="7650645C">
      <w:numFmt w:val="bullet"/>
      <w:lvlText w:val="•"/>
      <w:lvlJc w:val="left"/>
      <w:pPr>
        <w:ind w:left="501" w:hanging="285"/>
      </w:pPr>
      <w:rPr>
        <w:rFonts w:hint="default"/>
        <w:lang w:val="en-US" w:eastAsia="en-US" w:bidi="ar-SA"/>
      </w:rPr>
    </w:lvl>
    <w:lvl w:ilvl="4" w:tplc="7C5A2DAA">
      <w:numFmt w:val="bullet"/>
      <w:lvlText w:val="•"/>
      <w:lvlJc w:val="left"/>
      <w:pPr>
        <w:ind w:left="403" w:hanging="285"/>
      </w:pPr>
      <w:rPr>
        <w:rFonts w:hint="default"/>
        <w:lang w:val="en-US" w:eastAsia="en-US" w:bidi="ar-SA"/>
      </w:rPr>
    </w:lvl>
    <w:lvl w:ilvl="5" w:tplc="5ABC5180">
      <w:numFmt w:val="bullet"/>
      <w:lvlText w:val="•"/>
      <w:lvlJc w:val="left"/>
      <w:pPr>
        <w:ind w:left="305" w:hanging="285"/>
      </w:pPr>
      <w:rPr>
        <w:rFonts w:hint="default"/>
        <w:lang w:val="en-US" w:eastAsia="en-US" w:bidi="ar-SA"/>
      </w:rPr>
    </w:lvl>
    <w:lvl w:ilvl="6" w:tplc="FC5CD982">
      <w:numFmt w:val="bullet"/>
      <w:lvlText w:val="•"/>
      <w:lvlJc w:val="left"/>
      <w:pPr>
        <w:ind w:left="207" w:hanging="285"/>
      </w:pPr>
      <w:rPr>
        <w:rFonts w:hint="default"/>
        <w:lang w:val="en-US" w:eastAsia="en-US" w:bidi="ar-SA"/>
      </w:rPr>
    </w:lvl>
    <w:lvl w:ilvl="7" w:tplc="D1FAF23E">
      <w:numFmt w:val="bullet"/>
      <w:lvlText w:val="•"/>
      <w:lvlJc w:val="left"/>
      <w:pPr>
        <w:ind w:left="109" w:hanging="285"/>
      </w:pPr>
      <w:rPr>
        <w:rFonts w:hint="default"/>
        <w:lang w:val="en-US" w:eastAsia="en-US" w:bidi="ar-SA"/>
      </w:rPr>
    </w:lvl>
    <w:lvl w:ilvl="8" w:tplc="F5C0780E">
      <w:numFmt w:val="bullet"/>
      <w:lvlText w:val="•"/>
      <w:lvlJc w:val="left"/>
      <w:pPr>
        <w:ind w:left="10" w:hanging="285"/>
      </w:pPr>
      <w:rPr>
        <w:rFonts w:hint="default"/>
        <w:lang w:val="en-US" w:eastAsia="en-US" w:bidi="ar-SA"/>
      </w:rPr>
    </w:lvl>
  </w:abstractNum>
  <w:abstractNum w:abstractNumId="4" w15:restartNumberingAfterBreak="0">
    <w:nsid w:val="2BEC3537"/>
    <w:multiLevelType w:val="hybridMultilevel"/>
    <w:tmpl w:val="689E0440"/>
    <w:lvl w:ilvl="0" w:tplc="5BE26332">
      <w:start w:val="1"/>
      <w:numFmt w:val="decimal"/>
      <w:lvlText w:val="[%1]"/>
      <w:lvlJc w:val="left"/>
      <w:pPr>
        <w:ind w:left="534" w:hanging="361"/>
        <w:jc w:val="right"/>
      </w:pPr>
      <w:rPr>
        <w:rFonts w:ascii="Cambria" w:eastAsia="Cambria" w:hAnsi="Cambria" w:cs="Cambria" w:hint="default"/>
        <w:b w:val="0"/>
        <w:bCs w:val="0"/>
        <w:i w:val="0"/>
        <w:iCs w:val="0"/>
        <w:spacing w:val="-1"/>
        <w:w w:val="101"/>
        <w:sz w:val="16"/>
        <w:szCs w:val="16"/>
        <w:lang w:val="en-US" w:eastAsia="en-US" w:bidi="ar-SA"/>
      </w:rPr>
    </w:lvl>
    <w:lvl w:ilvl="1" w:tplc="F39E8FF2">
      <w:numFmt w:val="bullet"/>
      <w:lvlText w:val="•"/>
      <w:lvlJc w:val="left"/>
      <w:pPr>
        <w:ind w:left="1010" w:hanging="361"/>
      </w:pPr>
      <w:rPr>
        <w:rFonts w:hint="default"/>
        <w:lang w:val="en-US" w:eastAsia="en-US" w:bidi="ar-SA"/>
      </w:rPr>
    </w:lvl>
    <w:lvl w:ilvl="2" w:tplc="E116C1BA">
      <w:numFmt w:val="bullet"/>
      <w:lvlText w:val="•"/>
      <w:lvlJc w:val="left"/>
      <w:pPr>
        <w:ind w:left="1480" w:hanging="361"/>
      </w:pPr>
      <w:rPr>
        <w:rFonts w:hint="default"/>
        <w:lang w:val="en-US" w:eastAsia="en-US" w:bidi="ar-SA"/>
      </w:rPr>
    </w:lvl>
    <w:lvl w:ilvl="3" w:tplc="70F26132">
      <w:numFmt w:val="bullet"/>
      <w:lvlText w:val="•"/>
      <w:lvlJc w:val="left"/>
      <w:pPr>
        <w:ind w:left="1951" w:hanging="361"/>
      </w:pPr>
      <w:rPr>
        <w:rFonts w:hint="default"/>
        <w:lang w:val="en-US" w:eastAsia="en-US" w:bidi="ar-SA"/>
      </w:rPr>
    </w:lvl>
    <w:lvl w:ilvl="4" w:tplc="14C65E5A">
      <w:numFmt w:val="bullet"/>
      <w:lvlText w:val="•"/>
      <w:lvlJc w:val="left"/>
      <w:pPr>
        <w:ind w:left="2421" w:hanging="361"/>
      </w:pPr>
      <w:rPr>
        <w:rFonts w:hint="default"/>
        <w:lang w:val="en-US" w:eastAsia="en-US" w:bidi="ar-SA"/>
      </w:rPr>
    </w:lvl>
    <w:lvl w:ilvl="5" w:tplc="FB18721E">
      <w:numFmt w:val="bullet"/>
      <w:lvlText w:val="•"/>
      <w:lvlJc w:val="left"/>
      <w:pPr>
        <w:ind w:left="2892" w:hanging="361"/>
      </w:pPr>
      <w:rPr>
        <w:rFonts w:hint="default"/>
        <w:lang w:val="en-US" w:eastAsia="en-US" w:bidi="ar-SA"/>
      </w:rPr>
    </w:lvl>
    <w:lvl w:ilvl="6" w:tplc="88A6DA1E">
      <w:numFmt w:val="bullet"/>
      <w:lvlText w:val="•"/>
      <w:lvlJc w:val="left"/>
      <w:pPr>
        <w:ind w:left="3362" w:hanging="361"/>
      </w:pPr>
      <w:rPr>
        <w:rFonts w:hint="default"/>
        <w:lang w:val="en-US" w:eastAsia="en-US" w:bidi="ar-SA"/>
      </w:rPr>
    </w:lvl>
    <w:lvl w:ilvl="7" w:tplc="2D34694C">
      <w:numFmt w:val="bullet"/>
      <w:lvlText w:val="•"/>
      <w:lvlJc w:val="left"/>
      <w:pPr>
        <w:ind w:left="3832" w:hanging="361"/>
      </w:pPr>
      <w:rPr>
        <w:rFonts w:hint="default"/>
        <w:lang w:val="en-US" w:eastAsia="en-US" w:bidi="ar-SA"/>
      </w:rPr>
    </w:lvl>
    <w:lvl w:ilvl="8" w:tplc="1CAE9D84">
      <w:numFmt w:val="bullet"/>
      <w:lvlText w:val="•"/>
      <w:lvlJc w:val="left"/>
      <w:pPr>
        <w:ind w:left="4303" w:hanging="361"/>
      </w:pPr>
      <w:rPr>
        <w:rFonts w:hint="default"/>
        <w:lang w:val="en-US" w:eastAsia="en-US" w:bidi="ar-SA"/>
      </w:rPr>
    </w:lvl>
  </w:abstractNum>
  <w:abstractNum w:abstractNumId="5" w15:restartNumberingAfterBreak="0">
    <w:nsid w:val="2DAB331C"/>
    <w:multiLevelType w:val="hybridMultilevel"/>
    <w:tmpl w:val="1116F24A"/>
    <w:lvl w:ilvl="0" w:tplc="967CB6C0">
      <w:start w:val="1"/>
      <w:numFmt w:val="decimal"/>
      <w:lvlText w:val="%1."/>
      <w:lvlJc w:val="left"/>
      <w:pPr>
        <w:ind w:left="1002" w:hanging="361"/>
      </w:pPr>
      <w:rPr>
        <w:rFonts w:ascii="Cambria" w:eastAsia="Cambria" w:hAnsi="Cambria" w:cs="Cambria" w:hint="default"/>
        <w:b w:val="0"/>
        <w:bCs w:val="0"/>
        <w:i w:val="0"/>
        <w:iCs w:val="0"/>
        <w:spacing w:val="0"/>
        <w:w w:val="125"/>
        <w:sz w:val="20"/>
        <w:szCs w:val="20"/>
        <w:lang w:val="en-US" w:eastAsia="en-US" w:bidi="ar-SA"/>
      </w:rPr>
    </w:lvl>
    <w:lvl w:ilvl="1" w:tplc="8982CBB0">
      <w:numFmt w:val="bullet"/>
      <w:lvlText w:val="•"/>
      <w:lvlJc w:val="left"/>
      <w:pPr>
        <w:ind w:left="1402" w:hanging="361"/>
      </w:pPr>
      <w:rPr>
        <w:rFonts w:hint="default"/>
        <w:lang w:val="en-US" w:eastAsia="en-US" w:bidi="ar-SA"/>
      </w:rPr>
    </w:lvl>
    <w:lvl w:ilvl="2" w:tplc="BFDC1620">
      <w:numFmt w:val="bullet"/>
      <w:lvlText w:val="•"/>
      <w:lvlJc w:val="left"/>
      <w:pPr>
        <w:ind w:left="1804" w:hanging="361"/>
      </w:pPr>
      <w:rPr>
        <w:rFonts w:hint="default"/>
        <w:lang w:val="en-US" w:eastAsia="en-US" w:bidi="ar-SA"/>
      </w:rPr>
    </w:lvl>
    <w:lvl w:ilvl="3" w:tplc="22FEC996">
      <w:numFmt w:val="bullet"/>
      <w:lvlText w:val="•"/>
      <w:lvlJc w:val="left"/>
      <w:pPr>
        <w:ind w:left="2207" w:hanging="361"/>
      </w:pPr>
      <w:rPr>
        <w:rFonts w:hint="default"/>
        <w:lang w:val="en-US" w:eastAsia="en-US" w:bidi="ar-SA"/>
      </w:rPr>
    </w:lvl>
    <w:lvl w:ilvl="4" w:tplc="358C8D82">
      <w:numFmt w:val="bullet"/>
      <w:lvlText w:val="•"/>
      <w:lvlJc w:val="left"/>
      <w:pPr>
        <w:ind w:left="2609" w:hanging="361"/>
      </w:pPr>
      <w:rPr>
        <w:rFonts w:hint="default"/>
        <w:lang w:val="en-US" w:eastAsia="en-US" w:bidi="ar-SA"/>
      </w:rPr>
    </w:lvl>
    <w:lvl w:ilvl="5" w:tplc="5EB0132C">
      <w:numFmt w:val="bullet"/>
      <w:lvlText w:val="•"/>
      <w:lvlJc w:val="left"/>
      <w:pPr>
        <w:ind w:left="3012" w:hanging="361"/>
      </w:pPr>
      <w:rPr>
        <w:rFonts w:hint="default"/>
        <w:lang w:val="en-US" w:eastAsia="en-US" w:bidi="ar-SA"/>
      </w:rPr>
    </w:lvl>
    <w:lvl w:ilvl="6" w:tplc="CC5EA6A4">
      <w:numFmt w:val="bullet"/>
      <w:lvlText w:val="•"/>
      <w:lvlJc w:val="left"/>
      <w:pPr>
        <w:ind w:left="3414" w:hanging="361"/>
      </w:pPr>
      <w:rPr>
        <w:rFonts w:hint="default"/>
        <w:lang w:val="en-US" w:eastAsia="en-US" w:bidi="ar-SA"/>
      </w:rPr>
    </w:lvl>
    <w:lvl w:ilvl="7" w:tplc="6D76E82E">
      <w:numFmt w:val="bullet"/>
      <w:lvlText w:val="•"/>
      <w:lvlJc w:val="left"/>
      <w:pPr>
        <w:ind w:left="3816" w:hanging="361"/>
      </w:pPr>
      <w:rPr>
        <w:rFonts w:hint="default"/>
        <w:lang w:val="en-US" w:eastAsia="en-US" w:bidi="ar-SA"/>
      </w:rPr>
    </w:lvl>
    <w:lvl w:ilvl="8" w:tplc="A962B3B8">
      <w:numFmt w:val="bullet"/>
      <w:lvlText w:val="•"/>
      <w:lvlJc w:val="left"/>
      <w:pPr>
        <w:ind w:left="4219" w:hanging="361"/>
      </w:pPr>
      <w:rPr>
        <w:rFonts w:hint="default"/>
        <w:lang w:val="en-US" w:eastAsia="en-US" w:bidi="ar-SA"/>
      </w:rPr>
    </w:lvl>
  </w:abstractNum>
  <w:abstractNum w:abstractNumId="6" w15:restartNumberingAfterBreak="0">
    <w:nsid w:val="320E001D"/>
    <w:multiLevelType w:val="hybridMultilevel"/>
    <w:tmpl w:val="181EB44E"/>
    <w:lvl w:ilvl="0" w:tplc="8F564C62">
      <w:start w:val="1"/>
      <w:numFmt w:val="decimal"/>
      <w:lvlText w:val="%1."/>
      <w:lvlJc w:val="left"/>
      <w:pPr>
        <w:ind w:left="894" w:hanging="361"/>
        <w:jc w:val="right"/>
      </w:pPr>
      <w:rPr>
        <w:rFonts w:ascii="Cambria" w:eastAsia="Cambria" w:hAnsi="Cambria" w:cs="Cambria" w:hint="default"/>
        <w:b w:val="0"/>
        <w:bCs w:val="0"/>
        <w:i w:val="0"/>
        <w:iCs w:val="0"/>
        <w:spacing w:val="0"/>
        <w:w w:val="125"/>
        <w:sz w:val="20"/>
        <w:szCs w:val="20"/>
        <w:lang w:val="en-US" w:eastAsia="en-US" w:bidi="ar-SA"/>
      </w:rPr>
    </w:lvl>
    <w:lvl w:ilvl="1" w:tplc="E25C92B8">
      <w:numFmt w:val="bullet"/>
      <w:lvlText w:val="•"/>
      <w:lvlJc w:val="left"/>
      <w:pPr>
        <w:ind w:left="1316" w:hanging="361"/>
      </w:pPr>
      <w:rPr>
        <w:rFonts w:hint="default"/>
        <w:lang w:val="en-US" w:eastAsia="en-US" w:bidi="ar-SA"/>
      </w:rPr>
    </w:lvl>
    <w:lvl w:ilvl="2" w:tplc="290E426A">
      <w:numFmt w:val="bullet"/>
      <w:lvlText w:val="•"/>
      <w:lvlJc w:val="left"/>
      <w:pPr>
        <w:ind w:left="1732" w:hanging="361"/>
      </w:pPr>
      <w:rPr>
        <w:rFonts w:hint="default"/>
        <w:lang w:val="en-US" w:eastAsia="en-US" w:bidi="ar-SA"/>
      </w:rPr>
    </w:lvl>
    <w:lvl w:ilvl="3" w:tplc="2F2E5898">
      <w:numFmt w:val="bullet"/>
      <w:lvlText w:val="•"/>
      <w:lvlJc w:val="left"/>
      <w:pPr>
        <w:ind w:left="2148" w:hanging="361"/>
      </w:pPr>
      <w:rPr>
        <w:rFonts w:hint="default"/>
        <w:lang w:val="en-US" w:eastAsia="en-US" w:bidi="ar-SA"/>
      </w:rPr>
    </w:lvl>
    <w:lvl w:ilvl="4" w:tplc="16BC9502">
      <w:numFmt w:val="bullet"/>
      <w:lvlText w:val="•"/>
      <w:lvlJc w:val="left"/>
      <w:pPr>
        <w:ind w:left="2564" w:hanging="361"/>
      </w:pPr>
      <w:rPr>
        <w:rFonts w:hint="default"/>
        <w:lang w:val="en-US" w:eastAsia="en-US" w:bidi="ar-SA"/>
      </w:rPr>
    </w:lvl>
    <w:lvl w:ilvl="5" w:tplc="E4D43C4A">
      <w:numFmt w:val="bullet"/>
      <w:lvlText w:val="•"/>
      <w:lvlJc w:val="left"/>
      <w:pPr>
        <w:ind w:left="2980" w:hanging="361"/>
      </w:pPr>
      <w:rPr>
        <w:rFonts w:hint="default"/>
        <w:lang w:val="en-US" w:eastAsia="en-US" w:bidi="ar-SA"/>
      </w:rPr>
    </w:lvl>
    <w:lvl w:ilvl="6" w:tplc="6F5C77D2">
      <w:numFmt w:val="bullet"/>
      <w:lvlText w:val="•"/>
      <w:lvlJc w:val="left"/>
      <w:pPr>
        <w:ind w:left="3396" w:hanging="361"/>
      </w:pPr>
      <w:rPr>
        <w:rFonts w:hint="default"/>
        <w:lang w:val="en-US" w:eastAsia="en-US" w:bidi="ar-SA"/>
      </w:rPr>
    </w:lvl>
    <w:lvl w:ilvl="7" w:tplc="431E2460">
      <w:numFmt w:val="bullet"/>
      <w:lvlText w:val="•"/>
      <w:lvlJc w:val="left"/>
      <w:pPr>
        <w:ind w:left="3812" w:hanging="361"/>
      </w:pPr>
      <w:rPr>
        <w:rFonts w:hint="default"/>
        <w:lang w:val="en-US" w:eastAsia="en-US" w:bidi="ar-SA"/>
      </w:rPr>
    </w:lvl>
    <w:lvl w:ilvl="8" w:tplc="E724FEEC">
      <w:numFmt w:val="bullet"/>
      <w:lvlText w:val="•"/>
      <w:lvlJc w:val="left"/>
      <w:pPr>
        <w:ind w:left="4228" w:hanging="361"/>
      </w:pPr>
      <w:rPr>
        <w:rFonts w:hint="default"/>
        <w:lang w:val="en-US" w:eastAsia="en-US" w:bidi="ar-SA"/>
      </w:rPr>
    </w:lvl>
  </w:abstractNum>
  <w:abstractNum w:abstractNumId="7" w15:restartNumberingAfterBreak="0">
    <w:nsid w:val="34AE360F"/>
    <w:multiLevelType w:val="hybridMultilevel"/>
    <w:tmpl w:val="2A8EE9A6"/>
    <w:lvl w:ilvl="0" w:tplc="129653F8">
      <w:numFmt w:val="bullet"/>
      <w:lvlText w:val="□"/>
      <w:lvlJc w:val="left"/>
      <w:pPr>
        <w:ind w:left="600" w:hanging="360"/>
      </w:pPr>
      <w:rPr>
        <w:rFonts w:ascii="Segoe UI Symbol" w:eastAsia="Segoe UI Symbol" w:hAnsi="Segoe UI Symbol" w:cs="Segoe UI Symbol" w:hint="default"/>
        <w:b w:val="0"/>
        <w:bCs w:val="0"/>
        <w:i w:val="0"/>
        <w:iCs w:val="0"/>
        <w:spacing w:val="0"/>
        <w:w w:val="69"/>
        <w:sz w:val="20"/>
        <w:szCs w:val="20"/>
        <w:lang w:val="en-US" w:eastAsia="en-US" w:bidi="ar-SA"/>
      </w:rPr>
    </w:lvl>
    <w:lvl w:ilvl="1" w:tplc="E9D42EE6">
      <w:numFmt w:val="bullet"/>
      <w:lvlText w:val="•"/>
      <w:lvlJc w:val="left"/>
      <w:pPr>
        <w:ind w:left="1043" w:hanging="360"/>
      </w:pPr>
      <w:rPr>
        <w:rFonts w:hint="default"/>
        <w:lang w:val="en-US" w:eastAsia="en-US" w:bidi="ar-SA"/>
      </w:rPr>
    </w:lvl>
    <w:lvl w:ilvl="2" w:tplc="A3B60A0A">
      <w:numFmt w:val="bullet"/>
      <w:lvlText w:val="•"/>
      <w:lvlJc w:val="left"/>
      <w:pPr>
        <w:ind w:left="1487" w:hanging="360"/>
      </w:pPr>
      <w:rPr>
        <w:rFonts w:hint="default"/>
        <w:lang w:val="en-US" w:eastAsia="en-US" w:bidi="ar-SA"/>
      </w:rPr>
    </w:lvl>
    <w:lvl w:ilvl="3" w:tplc="A276244C">
      <w:numFmt w:val="bullet"/>
      <w:lvlText w:val="•"/>
      <w:lvlJc w:val="left"/>
      <w:pPr>
        <w:ind w:left="1930" w:hanging="360"/>
      </w:pPr>
      <w:rPr>
        <w:rFonts w:hint="default"/>
        <w:lang w:val="en-US" w:eastAsia="en-US" w:bidi="ar-SA"/>
      </w:rPr>
    </w:lvl>
    <w:lvl w:ilvl="4" w:tplc="E280E950">
      <w:numFmt w:val="bullet"/>
      <w:lvlText w:val="•"/>
      <w:lvlJc w:val="left"/>
      <w:pPr>
        <w:ind w:left="2374" w:hanging="360"/>
      </w:pPr>
      <w:rPr>
        <w:rFonts w:hint="default"/>
        <w:lang w:val="en-US" w:eastAsia="en-US" w:bidi="ar-SA"/>
      </w:rPr>
    </w:lvl>
    <w:lvl w:ilvl="5" w:tplc="1E201176">
      <w:numFmt w:val="bullet"/>
      <w:lvlText w:val="•"/>
      <w:lvlJc w:val="left"/>
      <w:pPr>
        <w:ind w:left="2817" w:hanging="360"/>
      </w:pPr>
      <w:rPr>
        <w:rFonts w:hint="default"/>
        <w:lang w:val="en-US" w:eastAsia="en-US" w:bidi="ar-SA"/>
      </w:rPr>
    </w:lvl>
    <w:lvl w:ilvl="6" w:tplc="2F986ACC">
      <w:numFmt w:val="bullet"/>
      <w:lvlText w:val="•"/>
      <w:lvlJc w:val="left"/>
      <w:pPr>
        <w:ind w:left="3261" w:hanging="360"/>
      </w:pPr>
      <w:rPr>
        <w:rFonts w:hint="default"/>
        <w:lang w:val="en-US" w:eastAsia="en-US" w:bidi="ar-SA"/>
      </w:rPr>
    </w:lvl>
    <w:lvl w:ilvl="7" w:tplc="8214B0E6">
      <w:numFmt w:val="bullet"/>
      <w:lvlText w:val="•"/>
      <w:lvlJc w:val="left"/>
      <w:pPr>
        <w:ind w:left="3704" w:hanging="360"/>
      </w:pPr>
      <w:rPr>
        <w:rFonts w:hint="default"/>
        <w:lang w:val="en-US" w:eastAsia="en-US" w:bidi="ar-SA"/>
      </w:rPr>
    </w:lvl>
    <w:lvl w:ilvl="8" w:tplc="0AAE1290">
      <w:numFmt w:val="bullet"/>
      <w:lvlText w:val="•"/>
      <w:lvlJc w:val="left"/>
      <w:pPr>
        <w:ind w:left="4148" w:hanging="360"/>
      </w:pPr>
      <w:rPr>
        <w:rFonts w:hint="default"/>
        <w:lang w:val="en-US" w:eastAsia="en-US" w:bidi="ar-SA"/>
      </w:rPr>
    </w:lvl>
  </w:abstractNum>
  <w:abstractNum w:abstractNumId="8" w15:restartNumberingAfterBreak="0">
    <w:nsid w:val="35D748FC"/>
    <w:multiLevelType w:val="hybridMultilevel"/>
    <w:tmpl w:val="5D145AD2"/>
    <w:lvl w:ilvl="0" w:tplc="8EE08E76">
      <w:start w:val="1"/>
      <w:numFmt w:val="decimal"/>
      <w:lvlText w:val="%1."/>
      <w:lvlJc w:val="left"/>
      <w:pPr>
        <w:ind w:left="1187" w:hanging="361"/>
      </w:pPr>
      <w:rPr>
        <w:rFonts w:ascii="Cambria" w:eastAsia="Cambria" w:hAnsi="Cambria" w:cs="Cambria" w:hint="default"/>
        <w:b w:val="0"/>
        <w:bCs w:val="0"/>
        <w:i w:val="0"/>
        <w:iCs w:val="0"/>
        <w:spacing w:val="0"/>
        <w:w w:val="125"/>
        <w:sz w:val="20"/>
        <w:szCs w:val="20"/>
        <w:lang w:val="en-US" w:eastAsia="en-US" w:bidi="ar-SA"/>
      </w:rPr>
    </w:lvl>
    <w:lvl w:ilvl="1" w:tplc="C4E63E6A">
      <w:numFmt w:val="bullet"/>
      <w:lvlText w:val="•"/>
      <w:lvlJc w:val="left"/>
      <w:pPr>
        <w:ind w:left="1597" w:hanging="361"/>
      </w:pPr>
      <w:rPr>
        <w:rFonts w:hint="default"/>
        <w:lang w:val="en-US" w:eastAsia="en-US" w:bidi="ar-SA"/>
      </w:rPr>
    </w:lvl>
    <w:lvl w:ilvl="2" w:tplc="B632390C">
      <w:numFmt w:val="bullet"/>
      <w:lvlText w:val="•"/>
      <w:lvlJc w:val="left"/>
      <w:pPr>
        <w:ind w:left="2014" w:hanging="361"/>
      </w:pPr>
      <w:rPr>
        <w:rFonts w:hint="default"/>
        <w:lang w:val="en-US" w:eastAsia="en-US" w:bidi="ar-SA"/>
      </w:rPr>
    </w:lvl>
    <w:lvl w:ilvl="3" w:tplc="0F5ECDE4">
      <w:numFmt w:val="bullet"/>
      <w:lvlText w:val="•"/>
      <w:lvlJc w:val="left"/>
      <w:pPr>
        <w:ind w:left="2432" w:hanging="361"/>
      </w:pPr>
      <w:rPr>
        <w:rFonts w:hint="default"/>
        <w:lang w:val="en-US" w:eastAsia="en-US" w:bidi="ar-SA"/>
      </w:rPr>
    </w:lvl>
    <w:lvl w:ilvl="4" w:tplc="60E21F4C">
      <w:numFmt w:val="bullet"/>
      <w:lvlText w:val="•"/>
      <w:lvlJc w:val="left"/>
      <w:pPr>
        <w:ind w:left="2849" w:hanging="361"/>
      </w:pPr>
      <w:rPr>
        <w:rFonts w:hint="default"/>
        <w:lang w:val="en-US" w:eastAsia="en-US" w:bidi="ar-SA"/>
      </w:rPr>
    </w:lvl>
    <w:lvl w:ilvl="5" w:tplc="23B2CD9C">
      <w:numFmt w:val="bullet"/>
      <w:lvlText w:val="•"/>
      <w:lvlJc w:val="left"/>
      <w:pPr>
        <w:ind w:left="3266" w:hanging="361"/>
      </w:pPr>
      <w:rPr>
        <w:rFonts w:hint="default"/>
        <w:lang w:val="en-US" w:eastAsia="en-US" w:bidi="ar-SA"/>
      </w:rPr>
    </w:lvl>
    <w:lvl w:ilvl="6" w:tplc="56F80268">
      <w:numFmt w:val="bullet"/>
      <w:lvlText w:val="•"/>
      <w:lvlJc w:val="left"/>
      <w:pPr>
        <w:ind w:left="3684" w:hanging="361"/>
      </w:pPr>
      <w:rPr>
        <w:rFonts w:hint="default"/>
        <w:lang w:val="en-US" w:eastAsia="en-US" w:bidi="ar-SA"/>
      </w:rPr>
    </w:lvl>
    <w:lvl w:ilvl="7" w:tplc="D1B0E7F6">
      <w:numFmt w:val="bullet"/>
      <w:lvlText w:val="•"/>
      <w:lvlJc w:val="left"/>
      <w:pPr>
        <w:ind w:left="4101" w:hanging="361"/>
      </w:pPr>
      <w:rPr>
        <w:rFonts w:hint="default"/>
        <w:lang w:val="en-US" w:eastAsia="en-US" w:bidi="ar-SA"/>
      </w:rPr>
    </w:lvl>
    <w:lvl w:ilvl="8" w:tplc="68B6AC8E">
      <w:numFmt w:val="bullet"/>
      <w:lvlText w:val="•"/>
      <w:lvlJc w:val="left"/>
      <w:pPr>
        <w:ind w:left="4518" w:hanging="361"/>
      </w:pPr>
      <w:rPr>
        <w:rFonts w:hint="default"/>
        <w:lang w:val="en-US" w:eastAsia="en-US" w:bidi="ar-SA"/>
      </w:rPr>
    </w:lvl>
  </w:abstractNum>
  <w:abstractNum w:abstractNumId="9" w15:restartNumberingAfterBreak="0">
    <w:nsid w:val="3F2D6AA8"/>
    <w:multiLevelType w:val="hybridMultilevel"/>
    <w:tmpl w:val="EBBE8396"/>
    <w:lvl w:ilvl="0" w:tplc="85F69DA4">
      <w:start w:val="1"/>
      <w:numFmt w:val="decimal"/>
      <w:lvlText w:val="%1."/>
      <w:lvlJc w:val="left"/>
      <w:pPr>
        <w:ind w:left="174" w:hanging="274"/>
      </w:pPr>
      <w:rPr>
        <w:rFonts w:ascii="Cambria" w:eastAsia="Cambria" w:hAnsi="Cambria" w:cs="Cambria" w:hint="default"/>
        <w:b w:val="0"/>
        <w:bCs w:val="0"/>
        <w:i w:val="0"/>
        <w:iCs w:val="0"/>
        <w:spacing w:val="0"/>
        <w:w w:val="125"/>
        <w:sz w:val="20"/>
        <w:szCs w:val="20"/>
        <w:lang w:val="en-US" w:eastAsia="en-US" w:bidi="ar-SA"/>
      </w:rPr>
    </w:lvl>
    <w:lvl w:ilvl="1" w:tplc="08DAD786">
      <w:numFmt w:val="bullet"/>
      <w:lvlText w:val="•"/>
      <w:lvlJc w:val="left"/>
      <w:pPr>
        <w:ind w:left="678" w:hanging="274"/>
      </w:pPr>
      <w:rPr>
        <w:rFonts w:hint="default"/>
        <w:lang w:val="en-US" w:eastAsia="en-US" w:bidi="ar-SA"/>
      </w:rPr>
    </w:lvl>
    <w:lvl w:ilvl="2" w:tplc="B1D25A80">
      <w:numFmt w:val="bullet"/>
      <w:lvlText w:val="•"/>
      <w:lvlJc w:val="left"/>
      <w:pPr>
        <w:ind w:left="1177" w:hanging="274"/>
      </w:pPr>
      <w:rPr>
        <w:rFonts w:hint="default"/>
        <w:lang w:val="en-US" w:eastAsia="en-US" w:bidi="ar-SA"/>
      </w:rPr>
    </w:lvl>
    <w:lvl w:ilvl="3" w:tplc="58AAE9CE">
      <w:numFmt w:val="bullet"/>
      <w:lvlText w:val="•"/>
      <w:lvlJc w:val="left"/>
      <w:pPr>
        <w:ind w:left="1676" w:hanging="274"/>
      </w:pPr>
      <w:rPr>
        <w:rFonts w:hint="default"/>
        <w:lang w:val="en-US" w:eastAsia="en-US" w:bidi="ar-SA"/>
      </w:rPr>
    </w:lvl>
    <w:lvl w:ilvl="4" w:tplc="3F425BFE">
      <w:numFmt w:val="bullet"/>
      <w:lvlText w:val="•"/>
      <w:lvlJc w:val="left"/>
      <w:pPr>
        <w:ind w:left="2175" w:hanging="274"/>
      </w:pPr>
      <w:rPr>
        <w:rFonts w:hint="default"/>
        <w:lang w:val="en-US" w:eastAsia="en-US" w:bidi="ar-SA"/>
      </w:rPr>
    </w:lvl>
    <w:lvl w:ilvl="5" w:tplc="8E5832DC">
      <w:numFmt w:val="bullet"/>
      <w:lvlText w:val="•"/>
      <w:lvlJc w:val="left"/>
      <w:pPr>
        <w:ind w:left="2674" w:hanging="274"/>
      </w:pPr>
      <w:rPr>
        <w:rFonts w:hint="default"/>
        <w:lang w:val="en-US" w:eastAsia="en-US" w:bidi="ar-SA"/>
      </w:rPr>
    </w:lvl>
    <w:lvl w:ilvl="6" w:tplc="82067DA0">
      <w:numFmt w:val="bullet"/>
      <w:lvlText w:val="•"/>
      <w:lvlJc w:val="left"/>
      <w:pPr>
        <w:ind w:left="3172" w:hanging="274"/>
      </w:pPr>
      <w:rPr>
        <w:rFonts w:hint="default"/>
        <w:lang w:val="en-US" w:eastAsia="en-US" w:bidi="ar-SA"/>
      </w:rPr>
    </w:lvl>
    <w:lvl w:ilvl="7" w:tplc="CB3C5C6A">
      <w:numFmt w:val="bullet"/>
      <w:lvlText w:val="•"/>
      <w:lvlJc w:val="left"/>
      <w:pPr>
        <w:ind w:left="3671" w:hanging="274"/>
      </w:pPr>
      <w:rPr>
        <w:rFonts w:hint="default"/>
        <w:lang w:val="en-US" w:eastAsia="en-US" w:bidi="ar-SA"/>
      </w:rPr>
    </w:lvl>
    <w:lvl w:ilvl="8" w:tplc="BF888058">
      <w:numFmt w:val="bullet"/>
      <w:lvlText w:val="•"/>
      <w:lvlJc w:val="left"/>
      <w:pPr>
        <w:ind w:left="4170" w:hanging="274"/>
      </w:pPr>
      <w:rPr>
        <w:rFonts w:hint="default"/>
        <w:lang w:val="en-US" w:eastAsia="en-US" w:bidi="ar-SA"/>
      </w:rPr>
    </w:lvl>
  </w:abstractNum>
  <w:num w:numId="1" w16cid:durableId="1109197403">
    <w:abstractNumId w:val="4"/>
  </w:num>
  <w:num w:numId="2" w16cid:durableId="1953659584">
    <w:abstractNumId w:val="8"/>
  </w:num>
  <w:num w:numId="3" w16cid:durableId="1609653766">
    <w:abstractNumId w:val="7"/>
  </w:num>
  <w:num w:numId="4" w16cid:durableId="886649023">
    <w:abstractNumId w:val="5"/>
  </w:num>
  <w:num w:numId="5" w16cid:durableId="1371997319">
    <w:abstractNumId w:val="1"/>
  </w:num>
  <w:num w:numId="6" w16cid:durableId="787434412">
    <w:abstractNumId w:val="6"/>
  </w:num>
  <w:num w:numId="7" w16cid:durableId="1018891367">
    <w:abstractNumId w:val="2"/>
  </w:num>
  <w:num w:numId="8" w16cid:durableId="1924214337">
    <w:abstractNumId w:val="9"/>
  </w:num>
  <w:num w:numId="9" w16cid:durableId="1506478772">
    <w:abstractNumId w:val="0"/>
  </w:num>
  <w:num w:numId="10" w16cid:durableId="38171415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1B3F"/>
    <w:rsid w:val="00057D2A"/>
    <w:rsid w:val="000644C3"/>
    <w:rsid w:val="00065B73"/>
    <w:rsid w:val="00071850"/>
    <w:rsid w:val="000E16A8"/>
    <w:rsid w:val="000F138B"/>
    <w:rsid w:val="00147F01"/>
    <w:rsid w:val="00155E0B"/>
    <w:rsid w:val="00177E85"/>
    <w:rsid w:val="001A2BCD"/>
    <w:rsid w:val="001B1D17"/>
    <w:rsid w:val="001C1147"/>
    <w:rsid w:val="001D304A"/>
    <w:rsid w:val="00204B46"/>
    <w:rsid w:val="0020513F"/>
    <w:rsid w:val="00222791"/>
    <w:rsid w:val="00226EF8"/>
    <w:rsid w:val="00240DF5"/>
    <w:rsid w:val="002910D4"/>
    <w:rsid w:val="00322924"/>
    <w:rsid w:val="00327CE5"/>
    <w:rsid w:val="00380A3E"/>
    <w:rsid w:val="003A791E"/>
    <w:rsid w:val="003C7646"/>
    <w:rsid w:val="003D1017"/>
    <w:rsid w:val="003D35A2"/>
    <w:rsid w:val="003F0ABA"/>
    <w:rsid w:val="004077C8"/>
    <w:rsid w:val="004662BE"/>
    <w:rsid w:val="004D2800"/>
    <w:rsid w:val="004D3E65"/>
    <w:rsid w:val="004E0815"/>
    <w:rsid w:val="005317BA"/>
    <w:rsid w:val="00545CA1"/>
    <w:rsid w:val="00591860"/>
    <w:rsid w:val="005B0B8A"/>
    <w:rsid w:val="005D00C9"/>
    <w:rsid w:val="0062476D"/>
    <w:rsid w:val="00634330"/>
    <w:rsid w:val="006479C9"/>
    <w:rsid w:val="00652CA0"/>
    <w:rsid w:val="00663D7A"/>
    <w:rsid w:val="006812FE"/>
    <w:rsid w:val="00697372"/>
    <w:rsid w:val="006A33A0"/>
    <w:rsid w:val="006B08A2"/>
    <w:rsid w:val="006E33AB"/>
    <w:rsid w:val="00705612"/>
    <w:rsid w:val="007660CF"/>
    <w:rsid w:val="007A492A"/>
    <w:rsid w:val="007C33BC"/>
    <w:rsid w:val="007F3F09"/>
    <w:rsid w:val="00800632"/>
    <w:rsid w:val="00802027"/>
    <w:rsid w:val="008568A6"/>
    <w:rsid w:val="00862CB8"/>
    <w:rsid w:val="00891D17"/>
    <w:rsid w:val="008F2055"/>
    <w:rsid w:val="008F6465"/>
    <w:rsid w:val="00913B42"/>
    <w:rsid w:val="00945304"/>
    <w:rsid w:val="009459E5"/>
    <w:rsid w:val="00945ADE"/>
    <w:rsid w:val="009C3212"/>
    <w:rsid w:val="00A00104"/>
    <w:rsid w:val="00A937A8"/>
    <w:rsid w:val="00B41E5F"/>
    <w:rsid w:val="00BC4373"/>
    <w:rsid w:val="00BD48AD"/>
    <w:rsid w:val="00BE16A2"/>
    <w:rsid w:val="00C13330"/>
    <w:rsid w:val="00C37E1B"/>
    <w:rsid w:val="00C57FFA"/>
    <w:rsid w:val="00C70376"/>
    <w:rsid w:val="00C75CE6"/>
    <w:rsid w:val="00C85096"/>
    <w:rsid w:val="00CA4191"/>
    <w:rsid w:val="00CB3604"/>
    <w:rsid w:val="00CE0D9B"/>
    <w:rsid w:val="00CE47BB"/>
    <w:rsid w:val="00D22D85"/>
    <w:rsid w:val="00D35703"/>
    <w:rsid w:val="00D81903"/>
    <w:rsid w:val="00E07539"/>
    <w:rsid w:val="00E15BB2"/>
    <w:rsid w:val="00E753E8"/>
    <w:rsid w:val="00EA1B3F"/>
    <w:rsid w:val="00ED0FBD"/>
    <w:rsid w:val="00EE2694"/>
    <w:rsid w:val="00EE6835"/>
    <w:rsid w:val="00EF55AC"/>
    <w:rsid w:val="00F636EC"/>
    <w:rsid w:val="00F6418F"/>
    <w:rsid w:val="00F9354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3307BE"/>
  <w15:docId w15:val="{2A557C20-901E-4CC8-9256-1C5360373D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Cambria" w:eastAsia="Cambria" w:hAnsi="Cambria" w:cs="Cambria"/>
    </w:rPr>
  </w:style>
  <w:style w:type="paragraph" w:styleId="Heading1">
    <w:name w:val="heading 1"/>
    <w:basedOn w:val="Normal"/>
    <w:uiPriority w:val="1"/>
    <w:qFormat/>
    <w:pPr>
      <w:outlineLvl w:val="0"/>
    </w:pPr>
    <w:rPr>
      <w:rFonts w:ascii="Verdana" w:eastAsia="Verdana" w:hAnsi="Verdana" w:cs="Verdana"/>
      <w:sz w:val="28"/>
      <w:szCs w:val="28"/>
    </w:rPr>
  </w:style>
  <w:style w:type="paragraph" w:styleId="Heading2">
    <w:name w:val="heading 2"/>
    <w:basedOn w:val="Normal"/>
    <w:uiPriority w:val="1"/>
    <w:qFormat/>
    <w:pPr>
      <w:ind w:left="597" w:hanging="358"/>
      <w:outlineLvl w:val="1"/>
    </w:pPr>
    <w:rPr>
      <w:b/>
      <w:bCs/>
      <w:i/>
      <w:iCs/>
      <w:sz w:val="21"/>
      <w:szCs w:val="21"/>
    </w:rPr>
  </w:style>
  <w:style w:type="paragraph" w:styleId="Heading3">
    <w:name w:val="heading 3"/>
    <w:basedOn w:val="Normal"/>
    <w:uiPriority w:val="1"/>
    <w:qFormat/>
    <w:pPr>
      <w:spacing w:line="232" w:lineRule="exact"/>
      <w:ind w:left="1465" w:hanging="824"/>
      <w:outlineLvl w:val="2"/>
    </w:pPr>
    <w:rPr>
      <w:rFonts w:ascii="Georgia" w:eastAsia="Georgia" w:hAnsi="Georgia" w:cs="Georgia"/>
      <w:i/>
      <w:iCs/>
      <w:sz w:val="21"/>
      <w:szCs w:val="21"/>
    </w:rPr>
  </w:style>
  <w:style w:type="paragraph" w:styleId="Heading4">
    <w:name w:val="heading 4"/>
    <w:basedOn w:val="Normal"/>
    <w:uiPriority w:val="1"/>
    <w:qFormat/>
    <w:pPr>
      <w:ind w:left="174"/>
      <w:jc w:val="both"/>
      <w:outlineLvl w:val="3"/>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0"/>
      <w:szCs w:val="20"/>
    </w:rPr>
  </w:style>
  <w:style w:type="paragraph" w:styleId="ListParagraph">
    <w:name w:val="List Paragraph"/>
    <w:basedOn w:val="Normal"/>
    <w:uiPriority w:val="1"/>
    <w:qFormat/>
    <w:pPr>
      <w:ind w:left="458" w:hanging="360"/>
    </w:pPr>
  </w:style>
  <w:style w:type="paragraph" w:customStyle="1" w:styleId="TableParagraph">
    <w:name w:val="Table Paragraph"/>
    <w:basedOn w:val="Normal"/>
    <w:uiPriority w:val="1"/>
    <w:qFormat/>
    <w:pPr>
      <w:spacing w:line="184" w:lineRule="exact"/>
      <w:ind w:left="108"/>
    </w:pPr>
  </w:style>
  <w:style w:type="table" w:styleId="TableGrid">
    <w:name w:val="Table Grid"/>
    <w:basedOn w:val="TableNormal"/>
    <w:uiPriority w:val="59"/>
    <w:rsid w:val="006E33A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E33AB"/>
    <w:pPr>
      <w:tabs>
        <w:tab w:val="center" w:pos="4513"/>
        <w:tab w:val="right" w:pos="9026"/>
      </w:tabs>
    </w:pPr>
  </w:style>
  <w:style w:type="character" w:customStyle="1" w:styleId="HeaderChar">
    <w:name w:val="Header Char"/>
    <w:basedOn w:val="DefaultParagraphFont"/>
    <w:link w:val="Header"/>
    <w:uiPriority w:val="99"/>
    <w:rsid w:val="006E33AB"/>
    <w:rPr>
      <w:rFonts w:ascii="Cambria" w:eastAsia="Cambria" w:hAnsi="Cambria" w:cs="Cambria"/>
    </w:rPr>
  </w:style>
  <w:style w:type="paragraph" w:styleId="Footer">
    <w:name w:val="footer"/>
    <w:basedOn w:val="Normal"/>
    <w:link w:val="FooterChar"/>
    <w:uiPriority w:val="99"/>
    <w:unhideWhenUsed/>
    <w:rsid w:val="006E33AB"/>
    <w:pPr>
      <w:tabs>
        <w:tab w:val="center" w:pos="4513"/>
        <w:tab w:val="right" w:pos="9026"/>
      </w:tabs>
    </w:pPr>
  </w:style>
  <w:style w:type="character" w:customStyle="1" w:styleId="FooterChar">
    <w:name w:val="Footer Char"/>
    <w:basedOn w:val="DefaultParagraphFont"/>
    <w:link w:val="Footer"/>
    <w:uiPriority w:val="99"/>
    <w:rsid w:val="006E33AB"/>
    <w:rPr>
      <w:rFonts w:ascii="Cambria" w:eastAsia="Cambria" w:hAnsi="Cambria" w:cs="Cambria"/>
    </w:rPr>
  </w:style>
  <w:style w:type="character" w:styleId="Strong">
    <w:name w:val="Strong"/>
    <w:basedOn w:val="DefaultParagraphFont"/>
    <w:uiPriority w:val="22"/>
    <w:qFormat/>
    <w:rsid w:val="00E07539"/>
    <w:rPr>
      <w:b/>
      <w:bCs/>
    </w:rPr>
  </w:style>
  <w:style w:type="paragraph" w:styleId="NormalWeb">
    <w:name w:val="Normal (Web)"/>
    <w:basedOn w:val="Normal"/>
    <w:uiPriority w:val="99"/>
    <w:unhideWhenUsed/>
    <w:rsid w:val="00545CA1"/>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paragraph" w:styleId="BalloonText">
    <w:name w:val="Balloon Text"/>
    <w:basedOn w:val="Normal"/>
    <w:link w:val="BalloonTextChar"/>
    <w:uiPriority w:val="99"/>
    <w:semiHidden/>
    <w:unhideWhenUsed/>
    <w:rsid w:val="00B41E5F"/>
    <w:rPr>
      <w:rFonts w:ascii="Tahoma" w:hAnsi="Tahoma" w:cs="Tahoma"/>
      <w:sz w:val="16"/>
      <w:szCs w:val="16"/>
    </w:rPr>
  </w:style>
  <w:style w:type="character" w:customStyle="1" w:styleId="BalloonTextChar">
    <w:name w:val="Balloon Text Char"/>
    <w:basedOn w:val="DefaultParagraphFont"/>
    <w:link w:val="BalloonText"/>
    <w:uiPriority w:val="99"/>
    <w:semiHidden/>
    <w:rsid w:val="00B41E5F"/>
    <w:rPr>
      <w:rFonts w:ascii="Tahoma" w:eastAsia="Cambria" w:hAnsi="Tahoma" w:cs="Tahoma"/>
      <w:sz w:val="16"/>
      <w:szCs w:val="16"/>
    </w:rPr>
  </w:style>
  <w:style w:type="paragraph" w:customStyle="1" w:styleId="font-claude-response-body">
    <w:name w:val="font-claude-response-body"/>
    <w:basedOn w:val="Normal"/>
    <w:rsid w:val="001C1147"/>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character" w:styleId="HTMLCode">
    <w:name w:val="HTML Code"/>
    <w:basedOn w:val="DefaultParagraphFont"/>
    <w:uiPriority w:val="99"/>
    <w:semiHidden/>
    <w:unhideWhenUsed/>
    <w:rsid w:val="001C1147"/>
    <w:rPr>
      <w:rFonts w:ascii="Courier New" w:eastAsia="Times New Roman" w:hAnsi="Courier New" w:cs="Courier New"/>
      <w:sz w:val="20"/>
      <w:szCs w:val="20"/>
    </w:rPr>
  </w:style>
  <w:style w:type="character" w:customStyle="1" w:styleId="BodyTextChar">
    <w:name w:val="Body Text Char"/>
    <w:basedOn w:val="DefaultParagraphFont"/>
    <w:link w:val="BodyText"/>
    <w:uiPriority w:val="1"/>
    <w:rsid w:val="00697372"/>
    <w:rPr>
      <w:rFonts w:ascii="Cambria" w:eastAsia="Cambria" w:hAnsi="Cambria" w:cs="Cambria"/>
      <w:sz w:val="20"/>
      <w:szCs w:val="20"/>
    </w:rPr>
  </w:style>
  <w:style w:type="character" w:styleId="Emphasis">
    <w:name w:val="Emphasis"/>
    <w:basedOn w:val="DefaultParagraphFont"/>
    <w:uiPriority w:val="20"/>
    <w:qFormat/>
    <w:rsid w:val="00F6418F"/>
    <w:rPr>
      <w:i/>
      <w:iCs/>
    </w:rPr>
  </w:style>
  <w:style w:type="character" w:styleId="PlaceholderText">
    <w:name w:val="Placeholder Text"/>
    <w:basedOn w:val="DefaultParagraphFont"/>
    <w:uiPriority w:val="99"/>
    <w:semiHidden/>
    <w:rsid w:val="00634330"/>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604375">
      <w:bodyDiv w:val="1"/>
      <w:marLeft w:val="0"/>
      <w:marRight w:val="0"/>
      <w:marTop w:val="0"/>
      <w:marBottom w:val="0"/>
      <w:divBdr>
        <w:top w:val="none" w:sz="0" w:space="0" w:color="auto"/>
        <w:left w:val="none" w:sz="0" w:space="0" w:color="auto"/>
        <w:bottom w:val="none" w:sz="0" w:space="0" w:color="auto"/>
        <w:right w:val="none" w:sz="0" w:space="0" w:color="auto"/>
      </w:divBdr>
    </w:div>
    <w:div w:id="174737293">
      <w:bodyDiv w:val="1"/>
      <w:marLeft w:val="0"/>
      <w:marRight w:val="0"/>
      <w:marTop w:val="0"/>
      <w:marBottom w:val="0"/>
      <w:divBdr>
        <w:top w:val="none" w:sz="0" w:space="0" w:color="auto"/>
        <w:left w:val="none" w:sz="0" w:space="0" w:color="auto"/>
        <w:bottom w:val="none" w:sz="0" w:space="0" w:color="auto"/>
        <w:right w:val="none" w:sz="0" w:space="0" w:color="auto"/>
      </w:divBdr>
    </w:div>
    <w:div w:id="275411920">
      <w:bodyDiv w:val="1"/>
      <w:marLeft w:val="0"/>
      <w:marRight w:val="0"/>
      <w:marTop w:val="0"/>
      <w:marBottom w:val="0"/>
      <w:divBdr>
        <w:top w:val="none" w:sz="0" w:space="0" w:color="auto"/>
        <w:left w:val="none" w:sz="0" w:space="0" w:color="auto"/>
        <w:bottom w:val="none" w:sz="0" w:space="0" w:color="auto"/>
        <w:right w:val="none" w:sz="0" w:space="0" w:color="auto"/>
      </w:divBdr>
    </w:div>
    <w:div w:id="290981578">
      <w:bodyDiv w:val="1"/>
      <w:marLeft w:val="0"/>
      <w:marRight w:val="0"/>
      <w:marTop w:val="0"/>
      <w:marBottom w:val="0"/>
      <w:divBdr>
        <w:top w:val="none" w:sz="0" w:space="0" w:color="auto"/>
        <w:left w:val="none" w:sz="0" w:space="0" w:color="auto"/>
        <w:bottom w:val="none" w:sz="0" w:space="0" w:color="auto"/>
        <w:right w:val="none" w:sz="0" w:space="0" w:color="auto"/>
      </w:divBdr>
    </w:div>
    <w:div w:id="333143086">
      <w:bodyDiv w:val="1"/>
      <w:marLeft w:val="0"/>
      <w:marRight w:val="0"/>
      <w:marTop w:val="0"/>
      <w:marBottom w:val="0"/>
      <w:divBdr>
        <w:top w:val="none" w:sz="0" w:space="0" w:color="auto"/>
        <w:left w:val="none" w:sz="0" w:space="0" w:color="auto"/>
        <w:bottom w:val="none" w:sz="0" w:space="0" w:color="auto"/>
        <w:right w:val="none" w:sz="0" w:space="0" w:color="auto"/>
      </w:divBdr>
    </w:div>
    <w:div w:id="540216618">
      <w:bodyDiv w:val="1"/>
      <w:marLeft w:val="0"/>
      <w:marRight w:val="0"/>
      <w:marTop w:val="0"/>
      <w:marBottom w:val="0"/>
      <w:divBdr>
        <w:top w:val="none" w:sz="0" w:space="0" w:color="auto"/>
        <w:left w:val="none" w:sz="0" w:space="0" w:color="auto"/>
        <w:bottom w:val="none" w:sz="0" w:space="0" w:color="auto"/>
        <w:right w:val="none" w:sz="0" w:space="0" w:color="auto"/>
      </w:divBdr>
    </w:div>
    <w:div w:id="541944719">
      <w:bodyDiv w:val="1"/>
      <w:marLeft w:val="0"/>
      <w:marRight w:val="0"/>
      <w:marTop w:val="0"/>
      <w:marBottom w:val="0"/>
      <w:divBdr>
        <w:top w:val="none" w:sz="0" w:space="0" w:color="auto"/>
        <w:left w:val="none" w:sz="0" w:space="0" w:color="auto"/>
        <w:bottom w:val="none" w:sz="0" w:space="0" w:color="auto"/>
        <w:right w:val="none" w:sz="0" w:space="0" w:color="auto"/>
      </w:divBdr>
    </w:div>
    <w:div w:id="649870819">
      <w:bodyDiv w:val="1"/>
      <w:marLeft w:val="0"/>
      <w:marRight w:val="0"/>
      <w:marTop w:val="0"/>
      <w:marBottom w:val="0"/>
      <w:divBdr>
        <w:top w:val="none" w:sz="0" w:space="0" w:color="auto"/>
        <w:left w:val="none" w:sz="0" w:space="0" w:color="auto"/>
        <w:bottom w:val="none" w:sz="0" w:space="0" w:color="auto"/>
        <w:right w:val="none" w:sz="0" w:space="0" w:color="auto"/>
      </w:divBdr>
    </w:div>
    <w:div w:id="651906082">
      <w:bodyDiv w:val="1"/>
      <w:marLeft w:val="0"/>
      <w:marRight w:val="0"/>
      <w:marTop w:val="0"/>
      <w:marBottom w:val="0"/>
      <w:divBdr>
        <w:top w:val="none" w:sz="0" w:space="0" w:color="auto"/>
        <w:left w:val="none" w:sz="0" w:space="0" w:color="auto"/>
        <w:bottom w:val="none" w:sz="0" w:space="0" w:color="auto"/>
        <w:right w:val="none" w:sz="0" w:space="0" w:color="auto"/>
      </w:divBdr>
    </w:div>
    <w:div w:id="652031381">
      <w:bodyDiv w:val="1"/>
      <w:marLeft w:val="0"/>
      <w:marRight w:val="0"/>
      <w:marTop w:val="0"/>
      <w:marBottom w:val="0"/>
      <w:divBdr>
        <w:top w:val="none" w:sz="0" w:space="0" w:color="auto"/>
        <w:left w:val="none" w:sz="0" w:space="0" w:color="auto"/>
        <w:bottom w:val="none" w:sz="0" w:space="0" w:color="auto"/>
        <w:right w:val="none" w:sz="0" w:space="0" w:color="auto"/>
      </w:divBdr>
    </w:div>
    <w:div w:id="679435008">
      <w:bodyDiv w:val="1"/>
      <w:marLeft w:val="0"/>
      <w:marRight w:val="0"/>
      <w:marTop w:val="0"/>
      <w:marBottom w:val="0"/>
      <w:divBdr>
        <w:top w:val="none" w:sz="0" w:space="0" w:color="auto"/>
        <w:left w:val="none" w:sz="0" w:space="0" w:color="auto"/>
        <w:bottom w:val="none" w:sz="0" w:space="0" w:color="auto"/>
        <w:right w:val="none" w:sz="0" w:space="0" w:color="auto"/>
      </w:divBdr>
    </w:div>
    <w:div w:id="691303752">
      <w:bodyDiv w:val="1"/>
      <w:marLeft w:val="0"/>
      <w:marRight w:val="0"/>
      <w:marTop w:val="0"/>
      <w:marBottom w:val="0"/>
      <w:divBdr>
        <w:top w:val="none" w:sz="0" w:space="0" w:color="auto"/>
        <w:left w:val="none" w:sz="0" w:space="0" w:color="auto"/>
        <w:bottom w:val="none" w:sz="0" w:space="0" w:color="auto"/>
        <w:right w:val="none" w:sz="0" w:space="0" w:color="auto"/>
      </w:divBdr>
    </w:div>
    <w:div w:id="720791379">
      <w:bodyDiv w:val="1"/>
      <w:marLeft w:val="0"/>
      <w:marRight w:val="0"/>
      <w:marTop w:val="0"/>
      <w:marBottom w:val="0"/>
      <w:divBdr>
        <w:top w:val="none" w:sz="0" w:space="0" w:color="auto"/>
        <w:left w:val="none" w:sz="0" w:space="0" w:color="auto"/>
        <w:bottom w:val="none" w:sz="0" w:space="0" w:color="auto"/>
        <w:right w:val="none" w:sz="0" w:space="0" w:color="auto"/>
      </w:divBdr>
      <w:divsChild>
        <w:div w:id="2006470683">
          <w:marLeft w:val="0"/>
          <w:marRight w:val="0"/>
          <w:marTop w:val="0"/>
          <w:marBottom w:val="0"/>
          <w:divBdr>
            <w:top w:val="none" w:sz="0" w:space="0" w:color="auto"/>
            <w:left w:val="none" w:sz="0" w:space="0" w:color="auto"/>
            <w:bottom w:val="none" w:sz="0" w:space="0" w:color="auto"/>
            <w:right w:val="none" w:sz="0" w:space="0" w:color="auto"/>
          </w:divBdr>
          <w:divsChild>
            <w:div w:id="2055226192">
              <w:marLeft w:val="0"/>
              <w:marRight w:val="0"/>
              <w:marTop w:val="0"/>
              <w:marBottom w:val="0"/>
              <w:divBdr>
                <w:top w:val="none" w:sz="0" w:space="0" w:color="auto"/>
                <w:left w:val="none" w:sz="0" w:space="0" w:color="auto"/>
                <w:bottom w:val="none" w:sz="0" w:space="0" w:color="auto"/>
                <w:right w:val="none" w:sz="0" w:space="0" w:color="auto"/>
              </w:divBdr>
              <w:divsChild>
                <w:div w:id="1436486386">
                  <w:marLeft w:val="0"/>
                  <w:marRight w:val="0"/>
                  <w:marTop w:val="0"/>
                  <w:marBottom w:val="0"/>
                  <w:divBdr>
                    <w:top w:val="none" w:sz="0" w:space="0" w:color="auto"/>
                    <w:left w:val="none" w:sz="0" w:space="0" w:color="auto"/>
                    <w:bottom w:val="none" w:sz="0" w:space="0" w:color="auto"/>
                    <w:right w:val="none" w:sz="0" w:space="0" w:color="auto"/>
                  </w:divBdr>
                  <w:divsChild>
                    <w:div w:id="852764010">
                      <w:marLeft w:val="0"/>
                      <w:marRight w:val="0"/>
                      <w:marTop w:val="0"/>
                      <w:marBottom w:val="0"/>
                      <w:divBdr>
                        <w:top w:val="none" w:sz="0" w:space="0" w:color="auto"/>
                        <w:left w:val="none" w:sz="0" w:space="0" w:color="auto"/>
                        <w:bottom w:val="none" w:sz="0" w:space="0" w:color="auto"/>
                        <w:right w:val="none" w:sz="0" w:space="0" w:color="auto"/>
                      </w:divBdr>
                      <w:divsChild>
                        <w:div w:id="865025169">
                          <w:marLeft w:val="0"/>
                          <w:marRight w:val="0"/>
                          <w:marTop w:val="0"/>
                          <w:marBottom w:val="0"/>
                          <w:divBdr>
                            <w:top w:val="none" w:sz="0" w:space="0" w:color="auto"/>
                            <w:left w:val="none" w:sz="0" w:space="0" w:color="auto"/>
                            <w:bottom w:val="none" w:sz="0" w:space="0" w:color="auto"/>
                            <w:right w:val="none" w:sz="0" w:space="0" w:color="auto"/>
                          </w:divBdr>
                          <w:divsChild>
                            <w:div w:id="759716405">
                              <w:marLeft w:val="0"/>
                              <w:marRight w:val="0"/>
                              <w:marTop w:val="0"/>
                              <w:marBottom w:val="0"/>
                              <w:divBdr>
                                <w:top w:val="none" w:sz="0" w:space="0" w:color="auto"/>
                                <w:left w:val="none" w:sz="0" w:space="0" w:color="auto"/>
                                <w:bottom w:val="none" w:sz="0" w:space="0" w:color="auto"/>
                                <w:right w:val="none" w:sz="0" w:space="0" w:color="auto"/>
                              </w:divBdr>
                              <w:divsChild>
                                <w:div w:id="430273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50811550">
      <w:bodyDiv w:val="1"/>
      <w:marLeft w:val="0"/>
      <w:marRight w:val="0"/>
      <w:marTop w:val="0"/>
      <w:marBottom w:val="0"/>
      <w:divBdr>
        <w:top w:val="none" w:sz="0" w:space="0" w:color="auto"/>
        <w:left w:val="none" w:sz="0" w:space="0" w:color="auto"/>
        <w:bottom w:val="none" w:sz="0" w:space="0" w:color="auto"/>
        <w:right w:val="none" w:sz="0" w:space="0" w:color="auto"/>
      </w:divBdr>
    </w:div>
    <w:div w:id="791363273">
      <w:bodyDiv w:val="1"/>
      <w:marLeft w:val="0"/>
      <w:marRight w:val="0"/>
      <w:marTop w:val="0"/>
      <w:marBottom w:val="0"/>
      <w:divBdr>
        <w:top w:val="none" w:sz="0" w:space="0" w:color="auto"/>
        <w:left w:val="none" w:sz="0" w:space="0" w:color="auto"/>
        <w:bottom w:val="none" w:sz="0" w:space="0" w:color="auto"/>
        <w:right w:val="none" w:sz="0" w:space="0" w:color="auto"/>
      </w:divBdr>
      <w:divsChild>
        <w:div w:id="2114085559">
          <w:marLeft w:val="0"/>
          <w:marRight w:val="0"/>
          <w:marTop w:val="0"/>
          <w:marBottom w:val="0"/>
          <w:divBdr>
            <w:top w:val="none" w:sz="0" w:space="0" w:color="auto"/>
            <w:left w:val="none" w:sz="0" w:space="0" w:color="auto"/>
            <w:bottom w:val="none" w:sz="0" w:space="0" w:color="auto"/>
            <w:right w:val="none" w:sz="0" w:space="0" w:color="auto"/>
          </w:divBdr>
          <w:divsChild>
            <w:div w:id="1762947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0441545">
      <w:bodyDiv w:val="1"/>
      <w:marLeft w:val="0"/>
      <w:marRight w:val="0"/>
      <w:marTop w:val="0"/>
      <w:marBottom w:val="0"/>
      <w:divBdr>
        <w:top w:val="none" w:sz="0" w:space="0" w:color="auto"/>
        <w:left w:val="none" w:sz="0" w:space="0" w:color="auto"/>
        <w:bottom w:val="none" w:sz="0" w:space="0" w:color="auto"/>
        <w:right w:val="none" w:sz="0" w:space="0" w:color="auto"/>
      </w:divBdr>
    </w:div>
    <w:div w:id="828593873">
      <w:bodyDiv w:val="1"/>
      <w:marLeft w:val="0"/>
      <w:marRight w:val="0"/>
      <w:marTop w:val="0"/>
      <w:marBottom w:val="0"/>
      <w:divBdr>
        <w:top w:val="none" w:sz="0" w:space="0" w:color="auto"/>
        <w:left w:val="none" w:sz="0" w:space="0" w:color="auto"/>
        <w:bottom w:val="none" w:sz="0" w:space="0" w:color="auto"/>
        <w:right w:val="none" w:sz="0" w:space="0" w:color="auto"/>
      </w:divBdr>
    </w:div>
    <w:div w:id="958029263">
      <w:bodyDiv w:val="1"/>
      <w:marLeft w:val="0"/>
      <w:marRight w:val="0"/>
      <w:marTop w:val="0"/>
      <w:marBottom w:val="0"/>
      <w:divBdr>
        <w:top w:val="none" w:sz="0" w:space="0" w:color="auto"/>
        <w:left w:val="none" w:sz="0" w:space="0" w:color="auto"/>
        <w:bottom w:val="none" w:sz="0" w:space="0" w:color="auto"/>
        <w:right w:val="none" w:sz="0" w:space="0" w:color="auto"/>
      </w:divBdr>
    </w:div>
    <w:div w:id="992872803">
      <w:bodyDiv w:val="1"/>
      <w:marLeft w:val="0"/>
      <w:marRight w:val="0"/>
      <w:marTop w:val="0"/>
      <w:marBottom w:val="0"/>
      <w:divBdr>
        <w:top w:val="none" w:sz="0" w:space="0" w:color="auto"/>
        <w:left w:val="none" w:sz="0" w:space="0" w:color="auto"/>
        <w:bottom w:val="none" w:sz="0" w:space="0" w:color="auto"/>
        <w:right w:val="none" w:sz="0" w:space="0" w:color="auto"/>
      </w:divBdr>
    </w:div>
    <w:div w:id="1013652046">
      <w:bodyDiv w:val="1"/>
      <w:marLeft w:val="0"/>
      <w:marRight w:val="0"/>
      <w:marTop w:val="0"/>
      <w:marBottom w:val="0"/>
      <w:divBdr>
        <w:top w:val="none" w:sz="0" w:space="0" w:color="auto"/>
        <w:left w:val="none" w:sz="0" w:space="0" w:color="auto"/>
        <w:bottom w:val="none" w:sz="0" w:space="0" w:color="auto"/>
        <w:right w:val="none" w:sz="0" w:space="0" w:color="auto"/>
      </w:divBdr>
    </w:div>
    <w:div w:id="1018696893">
      <w:bodyDiv w:val="1"/>
      <w:marLeft w:val="0"/>
      <w:marRight w:val="0"/>
      <w:marTop w:val="0"/>
      <w:marBottom w:val="0"/>
      <w:divBdr>
        <w:top w:val="none" w:sz="0" w:space="0" w:color="auto"/>
        <w:left w:val="none" w:sz="0" w:space="0" w:color="auto"/>
        <w:bottom w:val="none" w:sz="0" w:space="0" w:color="auto"/>
        <w:right w:val="none" w:sz="0" w:space="0" w:color="auto"/>
      </w:divBdr>
    </w:div>
    <w:div w:id="1154948712">
      <w:bodyDiv w:val="1"/>
      <w:marLeft w:val="0"/>
      <w:marRight w:val="0"/>
      <w:marTop w:val="0"/>
      <w:marBottom w:val="0"/>
      <w:divBdr>
        <w:top w:val="none" w:sz="0" w:space="0" w:color="auto"/>
        <w:left w:val="none" w:sz="0" w:space="0" w:color="auto"/>
        <w:bottom w:val="none" w:sz="0" w:space="0" w:color="auto"/>
        <w:right w:val="none" w:sz="0" w:space="0" w:color="auto"/>
      </w:divBdr>
    </w:div>
    <w:div w:id="1155681096">
      <w:bodyDiv w:val="1"/>
      <w:marLeft w:val="0"/>
      <w:marRight w:val="0"/>
      <w:marTop w:val="0"/>
      <w:marBottom w:val="0"/>
      <w:divBdr>
        <w:top w:val="none" w:sz="0" w:space="0" w:color="auto"/>
        <w:left w:val="none" w:sz="0" w:space="0" w:color="auto"/>
        <w:bottom w:val="none" w:sz="0" w:space="0" w:color="auto"/>
        <w:right w:val="none" w:sz="0" w:space="0" w:color="auto"/>
      </w:divBdr>
    </w:div>
    <w:div w:id="1164005998">
      <w:bodyDiv w:val="1"/>
      <w:marLeft w:val="0"/>
      <w:marRight w:val="0"/>
      <w:marTop w:val="0"/>
      <w:marBottom w:val="0"/>
      <w:divBdr>
        <w:top w:val="none" w:sz="0" w:space="0" w:color="auto"/>
        <w:left w:val="none" w:sz="0" w:space="0" w:color="auto"/>
        <w:bottom w:val="none" w:sz="0" w:space="0" w:color="auto"/>
        <w:right w:val="none" w:sz="0" w:space="0" w:color="auto"/>
      </w:divBdr>
    </w:div>
    <w:div w:id="1173186000">
      <w:bodyDiv w:val="1"/>
      <w:marLeft w:val="0"/>
      <w:marRight w:val="0"/>
      <w:marTop w:val="0"/>
      <w:marBottom w:val="0"/>
      <w:divBdr>
        <w:top w:val="none" w:sz="0" w:space="0" w:color="auto"/>
        <w:left w:val="none" w:sz="0" w:space="0" w:color="auto"/>
        <w:bottom w:val="none" w:sz="0" w:space="0" w:color="auto"/>
        <w:right w:val="none" w:sz="0" w:space="0" w:color="auto"/>
      </w:divBdr>
    </w:div>
    <w:div w:id="1321229043">
      <w:bodyDiv w:val="1"/>
      <w:marLeft w:val="0"/>
      <w:marRight w:val="0"/>
      <w:marTop w:val="0"/>
      <w:marBottom w:val="0"/>
      <w:divBdr>
        <w:top w:val="none" w:sz="0" w:space="0" w:color="auto"/>
        <w:left w:val="none" w:sz="0" w:space="0" w:color="auto"/>
        <w:bottom w:val="none" w:sz="0" w:space="0" w:color="auto"/>
        <w:right w:val="none" w:sz="0" w:space="0" w:color="auto"/>
      </w:divBdr>
    </w:div>
    <w:div w:id="1375960233">
      <w:bodyDiv w:val="1"/>
      <w:marLeft w:val="0"/>
      <w:marRight w:val="0"/>
      <w:marTop w:val="0"/>
      <w:marBottom w:val="0"/>
      <w:divBdr>
        <w:top w:val="none" w:sz="0" w:space="0" w:color="auto"/>
        <w:left w:val="none" w:sz="0" w:space="0" w:color="auto"/>
        <w:bottom w:val="none" w:sz="0" w:space="0" w:color="auto"/>
        <w:right w:val="none" w:sz="0" w:space="0" w:color="auto"/>
      </w:divBdr>
    </w:div>
    <w:div w:id="1811508604">
      <w:bodyDiv w:val="1"/>
      <w:marLeft w:val="0"/>
      <w:marRight w:val="0"/>
      <w:marTop w:val="0"/>
      <w:marBottom w:val="0"/>
      <w:divBdr>
        <w:top w:val="none" w:sz="0" w:space="0" w:color="auto"/>
        <w:left w:val="none" w:sz="0" w:space="0" w:color="auto"/>
        <w:bottom w:val="none" w:sz="0" w:space="0" w:color="auto"/>
        <w:right w:val="none" w:sz="0" w:space="0" w:color="auto"/>
      </w:divBdr>
    </w:div>
    <w:div w:id="1831871356">
      <w:bodyDiv w:val="1"/>
      <w:marLeft w:val="0"/>
      <w:marRight w:val="0"/>
      <w:marTop w:val="0"/>
      <w:marBottom w:val="0"/>
      <w:divBdr>
        <w:top w:val="none" w:sz="0" w:space="0" w:color="auto"/>
        <w:left w:val="none" w:sz="0" w:space="0" w:color="auto"/>
        <w:bottom w:val="none" w:sz="0" w:space="0" w:color="auto"/>
        <w:right w:val="none" w:sz="0" w:space="0" w:color="auto"/>
      </w:divBdr>
    </w:div>
    <w:div w:id="1835536360">
      <w:bodyDiv w:val="1"/>
      <w:marLeft w:val="0"/>
      <w:marRight w:val="0"/>
      <w:marTop w:val="0"/>
      <w:marBottom w:val="0"/>
      <w:divBdr>
        <w:top w:val="none" w:sz="0" w:space="0" w:color="auto"/>
        <w:left w:val="none" w:sz="0" w:space="0" w:color="auto"/>
        <w:bottom w:val="none" w:sz="0" w:space="0" w:color="auto"/>
        <w:right w:val="none" w:sz="0" w:space="0" w:color="auto"/>
      </w:divBdr>
      <w:divsChild>
        <w:div w:id="19259116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50551575">
      <w:bodyDiv w:val="1"/>
      <w:marLeft w:val="0"/>
      <w:marRight w:val="0"/>
      <w:marTop w:val="0"/>
      <w:marBottom w:val="0"/>
      <w:divBdr>
        <w:top w:val="none" w:sz="0" w:space="0" w:color="auto"/>
        <w:left w:val="none" w:sz="0" w:space="0" w:color="auto"/>
        <w:bottom w:val="none" w:sz="0" w:space="0" w:color="auto"/>
        <w:right w:val="none" w:sz="0" w:space="0" w:color="auto"/>
      </w:divBdr>
    </w:div>
    <w:div w:id="2044134227">
      <w:bodyDiv w:val="1"/>
      <w:marLeft w:val="0"/>
      <w:marRight w:val="0"/>
      <w:marTop w:val="0"/>
      <w:marBottom w:val="0"/>
      <w:divBdr>
        <w:top w:val="none" w:sz="0" w:space="0" w:color="auto"/>
        <w:left w:val="none" w:sz="0" w:space="0" w:color="auto"/>
        <w:bottom w:val="none" w:sz="0" w:space="0" w:color="auto"/>
        <w:right w:val="none" w:sz="0" w:space="0" w:color="auto"/>
      </w:divBdr>
    </w:div>
    <w:div w:id="2058577415">
      <w:bodyDiv w:val="1"/>
      <w:marLeft w:val="0"/>
      <w:marRight w:val="0"/>
      <w:marTop w:val="0"/>
      <w:marBottom w:val="0"/>
      <w:divBdr>
        <w:top w:val="none" w:sz="0" w:space="0" w:color="auto"/>
        <w:left w:val="none" w:sz="0" w:space="0" w:color="auto"/>
        <w:bottom w:val="none" w:sz="0" w:space="0" w:color="auto"/>
        <w:right w:val="none" w:sz="0" w:space="0" w:color="auto"/>
      </w:divBdr>
    </w:div>
    <w:div w:id="2087530785">
      <w:bodyDiv w:val="1"/>
      <w:marLeft w:val="0"/>
      <w:marRight w:val="0"/>
      <w:marTop w:val="0"/>
      <w:marBottom w:val="0"/>
      <w:divBdr>
        <w:top w:val="none" w:sz="0" w:space="0" w:color="auto"/>
        <w:left w:val="none" w:sz="0" w:space="0" w:color="auto"/>
        <w:bottom w:val="none" w:sz="0" w:space="0" w:color="auto"/>
        <w:right w:val="none" w:sz="0" w:space="0" w:color="auto"/>
      </w:divBdr>
    </w:div>
    <w:div w:id="2088113643">
      <w:bodyDiv w:val="1"/>
      <w:marLeft w:val="0"/>
      <w:marRight w:val="0"/>
      <w:marTop w:val="0"/>
      <w:marBottom w:val="0"/>
      <w:divBdr>
        <w:top w:val="none" w:sz="0" w:space="0" w:color="auto"/>
        <w:left w:val="none" w:sz="0" w:space="0" w:color="auto"/>
        <w:bottom w:val="none" w:sz="0" w:space="0" w:color="auto"/>
        <w:right w:val="none" w:sz="0" w:space="0" w:color="auto"/>
      </w:divBdr>
    </w:div>
    <w:div w:id="213555619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yperlink" Target="https://arxiv.org/abs/2604.11679" TargetMode="External"/><Relationship Id="rId18" Type="http://schemas.openxmlformats.org/officeDocument/2006/relationships/hyperlink" Target="https://doi.org/10.1038/s41467-024-46150-w" TargetMode="External"/><Relationship Id="rId26" Type="http://schemas.openxmlformats.org/officeDocument/2006/relationships/hyperlink" Target="https://openneuro.org/datasets/ds003097" TargetMode="External"/><Relationship Id="rId3" Type="http://schemas.openxmlformats.org/officeDocument/2006/relationships/customXml" Target="../customXml/item3.xml"/><Relationship Id="rId21" Type="http://schemas.openxmlformats.org/officeDocument/2006/relationships/hyperlink" Target="https://arxiv.org/abs/1910.00962" TargetMode="External"/><Relationship Id="rId34" Type="http://schemas.openxmlformats.org/officeDocument/2006/relationships/header" Target="header3.xml"/><Relationship Id="rId7" Type="http://schemas.openxmlformats.org/officeDocument/2006/relationships/settings" Target="settings.xml"/><Relationship Id="rId12" Type="http://schemas.openxmlformats.org/officeDocument/2006/relationships/hyperlink" Target="https://doi.org/10.1038/s41593-026-02202-6" TargetMode="External"/><Relationship Id="rId17" Type="http://schemas.openxmlformats.org/officeDocument/2006/relationships/hyperlink" Target="https://arxiv.org/abs/2609.23983" TargetMode="External"/><Relationship Id="rId25" Type="http://schemas.openxmlformats.org/officeDocument/2006/relationships/image" Target="media/image3.png"/><Relationship Id="rId33" Type="http://schemas.openxmlformats.org/officeDocument/2006/relationships/hyperlink" Target="https://github.com/Pranav-PN/brain-MRI-contamination-audit" TargetMode="External"/><Relationship Id="rId2" Type="http://schemas.openxmlformats.org/officeDocument/2006/relationships/customXml" Target="../customXml/item2.xml"/><Relationship Id="rId16" Type="http://schemas.openxmlformats.org/officeDocument/2006/relationships/hyperlink" Target="https://arxiv.org/abs/2510.23415" TargetMode="External"/><Relationship Id="rId20" Type="http://schemas.openxmlformats.org/officeDocument/2006/relationships/hyperlink" Target="https://arxiv.org/abs/2105.02866" TargetMode="External"/><Relationship Id="rId29" Type="http://schemas.openxmlformats.org/officeDocument/2006/relationships/hyperlink" Target="https://arxiv.org/abs/2506.14432"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image" Target="media/image2.png"/><Relationship Id="rId32" Type="http://schemas.openxmlformats.org/officeDocument/2006/relationships/hyperlink" Target="https://brain-development.org/ixi-dataset/" TargetMode="External"/><Relationship Id="rId5" Type="http://schemas.openxmlformats.org/officeDocument/2006/relationships/numbering" Target="numbering.xml"/><Relationship Id="rId15" Type="http://schemas.openxmlformats.org/officeDocument/2006/relationships/hyperlink" Target="https://arxiv.org/abs/2406.10395" TargetMode="External"/><Relationship Id="rId23" Type="http://schemas.openxmlformats.org/officeDocument/2006/relationships/header" Target="header2.xml"/><Relationship Id="rId28" Type="http://schemas.openxmlformats.org/officeDocument/2006/relationships/hyperlink" Target="https://openneuro.org/datasets/ds002790" TargetMode="External"/><Relationship Id="rId36"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s://doaj.org/article/b6e86200f19e41a58ad8d0c2ad13c695" TargetMode="External"/><Relationship Id="rId31" Type="http://schemas.openxmlformats.org/officeDocument/2006/relationships/hyperlink" Target="https://www.oasis-brains.org/"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arxiv.org/abs/2506.14432" TargetMode="External"/><Relationship Id="rId22" Type="http://schemas.openxmlformats.org/officeDocument/2006/relationships/image" Target="media/image1.png"/><Relationship Id="rId27" Type="http://schemas.openxmlformats.org/officeDocument/2006/relationships/hyperlink" Target="https://openneuro.org/datasets/ds002785" TargetMode="External"/><Relationship Id="rId30" Type="http://schemas.openxmlformats.org/officeDocument/2006/relationships/hyperlink" Target="https://brain-development.org/ixi-dataset/" TargetMode="External"/><Relationship Id="rId35" Type="http://schemas.openxmlformats.org/officeDocument/2006/relationships/fontTable" Target="fontTable.xml"/><Relationship Id="rId8"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94797BC245BCEF43A94CB6356A4C027C" ma:contentTypeVersion="11" ma:contentTypeDescription="Create a new document." ma:contentTypeScope="" ma:versionID="ca019a07a87136049755b7903e1a9f02">
  <xsd:schema xmlns:xsd="http://www.w3.org/2001/XMLSchema" xmlns:xs="http://www.w3.org/2001/XMLSchema" xmlns:p="http://schemas.microsoft.com/office/2006/metadata/properties" xmlns:ns2="a1997fe2-aacc-47a3-8aad-6b90437f0d43" xmlns:ns3="52a9020b-eb93-44d2-b099-2b6916e20a20" targetNamespace="http://schemas.microsoft.com/office/2006/metadata/properties" ma:root="true" ma:fieldsID="146933bff30667dbd4971d7d93262d33" ns2:_="" ns3:_="">
    <xsd:import namespace="a1997fe2-aacc-47a3-8aad-6b90437f0d43"/>
    <xsd:import namespace="52a9020b-eb93-44d2-b099-2b6916e20a20"/>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1997fe2-aacc-47a3-8aad-6b90437f0d43"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d34f2db7-5c9e-4885-aa5f-8b428826e263"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2a9020b-eb93-44d2-b099-2b6916e20a20"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4d4953af-3e6a-42b7-ab0a-05720b0d4c54}" ma:internalName="TaxCatchAll" ma:showField="CatchAllData" ma:web="52a9020b-eb93-44d2-b099-2b6916e20a2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a1997fe2-aacc-47a3-8aad-6b90437f0d43">
      <Terms xmlns="http://schemas.microsoft.com/office/infopath/2007/PartnerControls"/>
    </lcf76f155ced4ddcb4097134ff3c332f>
    <ReferenceId xmlns="a1997fe2-aacc-47a3-8aad-6b90437f0d43" xsi:nil="true"/>
    <TaxCatchAll xmlns="52a9020b-eb93-44d2-b099-2b6916e20a20" xsi:nil="true"/>
  </documentManagement>
</p:properties>
</file>

<file path=customXml/itemProps1.xml><?xml version="1.0" encoding="utf-8"?>
<ds:datastoreItem xmlns:ds="http://schemas.openxmlformats.org/officeDocument/2006/customXml" ds:itemID="{7F186C55-B03C-4485-9C13-6B492A8DFC97}">
  <ds:schemaRefs>
    <ds:schemaRef ds:uri="http://schemas.microsoft.com/sharepoint/v3/contenttype/forms"/>
  </ds:schemaRefs>
</ds:datastoreItem>
</file>

<file path=customXml/itemProps2.xml><?xml version="1.0" encoding="utf-8"?>
<ds:datastoreItem xmlns:ds="http://schemas.openxmlformats.org/officeDocument/2006/customXml" ds:itemID="{D54F01ED-0FC0-4588-944C-1A85686A3818}">
  <ds:schemaRefs>
    <ds:schemaRef ds:uri="http://schemas.openxmlformats.org/officeDocument/2006/bibliography"/>
  </ds:schemaRefs>
</ds:datastoreItem>
</file>

<file path=customXml/itemProps3.xml><?xml version="1.0" encoding="utf-8"?>
<ds:datastoreItem xmlns:ds="http://schemas.openxmlformats.org/officeDocument/2006/customXml" ds:itemID="{BE6F36FD-D6A5-4428-8574-1F852C0A6B8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1997fe2-aacc-47a3-8aad-6b90437f0d43"/>
    <ds:schemaRef ds:uri="52a9020b-eb93-44d2-b099-2b6916e20a2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A0718D6-BCA6-48C7-B0D1-E4A983A46B74}">
  <ds:schemaRefs>
    <ds:schemaRef ds:uri="http://schemas.microsoft.com/office/2006/metadata/properties"/>
    <ds:schemaRef ds:uri="http://schemas.microsoft.com/office/infopath/2007/PartnerControls"/>
    <ds:schemaRef ds:uri="a1997fe2-aacc-47a3-8aad-6b90437f0d43"/>
    <ds:schemaRef ds:uri="52a9020b-eb93-44d2-b099-2b6916e20a20"/>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10</Pages>
  <Words>5949</Words>
  <Characters>33914</Characters>
  <Application>Microsoft Office Word</Application>
  <DocSecurity>0</DocSecurity>
  <Lines>282</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Auditing Pretraining Contamination in 3D Brain-MRI Foundation Models Using a Same-Scanner Natural Experiment</dc:title>
  <dc:creator>Pranav</dc:creator>
  <cp:lastModifiedBy>Pranav PN</cp:lastModifiedBy>
  <cp:revision>6</cp:revision>
  <dcterms:created xsi:type="dcterms:W3CDTF">2026-04-13T07:58:00Z</dcterms:created>
  <dcterms:modified xsi:type="dcterms:W3CDTF">2026-10-11T19:10:00Z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2025-12-23T00:00:00Z</vt:filetime>
  </property>
  <property fmtid="{D5CDD505-2E9C-101B-9397-08002B2CF9AE}" pid="3" name="Creator">
    <vt:lpwstr>Adobe InDesign 18.3 (Windows)</vt:lpwstr>
  </property>
  <property fmtid="{D5CDD505-2E9C-101B-9397-08002B2CF9AE}" pid="4" name="CrossMarkDomains[1]">
    <vt:lpwstr>springer.com</vt:lpwstr>
  </property>
  <property fmtid="{D5CDD505-2E9C-101B-9397-08002B2CF9AE}" pid="5" name="CrossMarkDomains[2]">
    <vt:lpwstr>springerlink.com</vt:lpwstr>
  </property>
  <property fmtid="{D5CDD505-2E9C-101B-9397-08002B2CF9AE}" pid="6" name="CrossmarkDomainExclusive">
    <vt:lpwstr>true</vt:lpwstr>
  </property>
  <property fmtid="{D5CDD505-2E9C-101B-9397-08002B2CF9AE}" pid="7" name="CrossmarkMajorVersionDate">
    <vt:lpwstr>2010-04-23</vt:lpwstr>
  </property>
  <property fmtid="{D5CDD505-2E9C-101B-9397-08002B2CF9AE}" pid="8" name="LastSaved">
    <vt:filetime>2026-02-22T00:00:00Z</vt:filetime>
  </property>
  <property fmtid="{D5CDD505-2E9C-101B-9397-08002B2CF9AE}" pid="9" name="Producer">
    <vt:lpwstr>Adobe PDF Library 17.0</vt:lpwstr>
  </property>
  <property fmtid="{D5CDD505-2E9C-101B-9397-08002B2CF9AE}" pid="10" name="doi">
    <vt:lpwstr>10.1038/s41598-025-32607-5</vt:lpwstr>
  </property>
  <property fmtid="{D5CDD505-2E9C-101B-9397-08002B2CF9AE}" pid="11" name="ContentTypeId">
    <vt:lpwstr>0x01010094797BC245BCEF43A94CB6356A4C027C</vt:lpwstr>
  </property>
</Properties>
</file>