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Vexoo Labs AI Engineer Assignment Summary</w:t>
      </w:r>
    </w:p>
    <w:p>
      <w:r>
        <w:t>This concise one-page summary highlights the ingestion architecture, GSM8K training setup, and key design decisions.</w:t>
      </w:r>
    </w:p>
    <w:p>
      <w:pPr>
        <w:pStyle w:val="Heading2"/>
      </w:pPr>
      <w:r>
        <w:t>Ingestion + Knowledge Pyramid</w:t>
      </w:r>
    </w:p>
    <w:p>
      <w:r>
        <w:t>The ingestion pipeline uses a 2-page sliding window to split long text into overlapping chunks. Each chunk is represented in a hierarchical Knowledge Pyramid with four layers: raw text, chunk summary, category/theme label, and distilled knowledge keywords. Retrieval is performed using simple semantic similarity across all layers, allowing the system to return the best match from either detailed raw text, condensed summaries, category tags, or keyword snapshots.</w:t>
      </w:r>
    </w:p>
    <w:p>
      <w:pPr>
        <w:pStyle w:val="Heading2"/>
      </w:pPr>
      <w:r>
        <w:t>GSM8K Training Setup</w:t>
      </w:r>
    </w:p>
    <w:p>
      <w:r>
        <w:t>The training module is designed for GSM8K-style reasoning model fine-tuning with an extensible LLaMA-compatible workflow. It supports dataset loading from Hugging Face, or a fallback simulated GSM8K-like dataset when connectivity is unavailable. The pipeline performs tokenization, optional LoRA adapter integration, a training loop with optimizer and scheduler, and exact-match evaluation. By default, the script uses a portable base model (gpt2) while preserving the same structure needed for a 1B-parameter LLaMA family model.</w:t>
      </w:r>
    </w:p>
    <w:p>
      <w:pPr>
        <w:pStyle w:val="Heading2"/>
      </w:pPr>
      <w:r>
        <w:t>Key Design Decisions</w:t>
      </w:r>
    </w:p>
    <w:p>
      <w:r>
        <w:t>- Rule-based components were chosen for the pyramid layers to keep the prototype transparent and human-interpretable.</w:t>
        <w:br/>
        <w:t>- Overlapping sliding windows help preserve context across window boundaries for long document ingestion.</w:t>
        <w:br/>
        <w:t>- A lightweight semantic similarity function was used to prioritize practical retrieval without requiring a full embedding store.</w:t>
        <w:br/>
        <w:t>- The reasoning adapter separates question classification from content retrieval, enabling future routing of math, legal, and general questions to specialized processors.</w:t>
      </w:r>
    </w:p>
    <w:p>
      <w:pPr>
        <w:pStyle w:val="Heading2"/>
      </w:pPr>
      <w:r>
        <w:t>Assumptions</w:t>
      </w:r>
    </w:p>
    <w:p>
      <w:r>
        <w:t>- GSM8K data may not be locally available, so the training script includes a fallback simulated dataset.</w:t>
        <w:br/>
        <w:t>- The prototype emphasizes architecture, traceability, and modularity rather than production-grade model scale.</w:t>
        <w:br/>
        <w:t>- Human-friendly outputs are prioritized: summaries, labels, and keywords are intentionally readable and explainable.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