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AI INFERENCE RUNTIME</w:t>
      </w:r>
    </w:p>
    <w:p>
      <w:pPr>
        <w:spacing w:before="10" w:after="20"/>
        <w:jc w:val="center"/>
      </w:pPr>
      <w:r>
        <w:rPr>
          <w:rFonts w:ascii="Arial" w:cs="Arial" w:eastAsia="Arial" w:hAnsi="Arial"/>
          <w:b/>
          <w:bCs/>
          <w:color w:val="2E86AB"/>
          <w:sz w:val="52"/>
          <w:szCs w:val="52"/>
        </w:rPr>
        <w:t xml:space="preserve">ARCHITECTURE EXPLORATION</w:t>
      </w:r>
    </w:p>
    <w:p>
      <w:pPr>
        <w:spacing w:before="10" w:after="40"/>
        <w:jc w:val="center"/>
      </w:pPr>
      <w:r>
        <w:rPr>
          <w:rFonts w:ascii="Arial" w:cs="Arial" w:eastAsia="Arial" w:hAnsi="Arial"/>
          <w:i/>
          <w:iCs/>
          <w:color w:val="808B96"/>
          <w:sz w:val="26"/>
          <w:szCs w:val="26"/>
        </w:rPr>
        <w:t xml:space="preserve">A Complete Comparative Study of All Major Systems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Covering 12+ Runtime Systems  •  Architecture Deep-Dives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Algorithmic Primitives  •  Trade-off Analysis  •  UARC Synthesis</w:t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Systems Covered</w:t>
      </w:r>
    </w:p>
    <w:p>
      <w:pPr>
        <w:spacing w:before="21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300"/>
      </w:tblGrid>
      <w:tr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vLLM</w:t>
            </w:r>
          </w:p>
        </w:tc>
        <w:tc>
          <w:tcPr>
            <w:tcW w:type="dxa" w:w="1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llama.cpp</w:t>
            </w:r>
          </w:p>
        </w:tc>
        <w:tc>
          <w:tcPr>
            <w:tcW w:type="dxa" w:w="15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TensorRT-LLM</w:t>
            </w:r>
          </w:p>
        </w:tc>
        <w:tc>
          <w:tcPr>
            <w:tcW w:type="dxa" w:w="15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AirLLM</w:t>
            </w:r>
          </w:p>
        </w:tc>
        <w:tc>
          <w:tcPr>
            <w:tcW w:type="dxa" w:w="1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GGML/GGUF</w:t>
            </w:r>
          </w:p>
        </w:tc>
        <w:tc>
          <w:tcPr>
            <w:tcW w:type="dxa" w:w="130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MLC-LLM</w:t>
            </w:r>
          </w:p>
        </w:tc>
      </w:tr>
      <w:tr>
        <w:tc>
          <w:tcPr>
            <w:tcW w:type="dxa" w:w="1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DeepSpeed</w:t>
            </w:r>
          </w:p>
        </w:tc>
        <w:tc>
          <w:tcPr>
            <w:tcW w:type="dxa" w:w="15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Ollama</w:t>
            </w:r>
          </w:p>
        </w:tc>
        <w:tc>
          <w:tcPr>
            <w:tcW w:type="dxa" w:w="15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ExLlamaV2</w:t>
            </w:r>
          </w:p>
        </w:tc>
        <w:tc>
          <w:tcPr>
            <w:tcW w:type="dxa" w:w="156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CTranslate2</w:t>
            </w:r>
          </w:p>
        </w:tc>
        <w:tc>
          <w:tcPr>
            <w:tcW w:type="dxa" w:w="1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LM Studio</w:t>
            </w:r>
          </w:p>
        </w:tc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UARC ★</w:t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0" w:after="0"/>
        <w:jc w:val="left"/>
      </w:pPr>
      <w:r>
        <w:br w:type="pag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Why Inference Architecture Matters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AI inference is the act of running a trained model to produce outputs. It sounds simple — but at scale and on constrained hardware, inference is one of the most algorithmically rich problems in modern computing. A 70B parameter model requires 140GB of FP16 weights just to store, and naive execution consumes 2–4× that in working memory during a forward pass.</w:t>
      </w:r>
    </w:p>
    <w:p>
      <w:pPr>
        <w:spacing w:before="21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gap between what hardware can physically hold and what models need has spawned an entire ecosystem of inference runtimes, each taking a different architectural bet on how to bridge that gap. Some bet on memory management. Some bet on quantisation. Some bet on CPU portability. Some bet on kernel-level GPU optimisation. None does everything well — and that is exactly why studying them together reveals the design space so clearly.</w:t>
      </w:r>
    </w:p>
    <w:p>
      <w:pPr>
        <w:spacing w:before="21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This document analyses 12 major inference runtime architectures — their design philosophy, core algorithms, strengths, weaknesses, and the technical trade-offs that define them. It concludes with a synthesis in the UARC framework showing how their best ideas combine.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 The Fundamental Inference Bottlenecks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Every inference runtime is fundamentally fighting three constraints simultaneously: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Memory Bandwidth — transformer attention is memory-bandwidth-bound, not compute-bound, for most batch sizes. A single A100 has 2TB/s; an RTX 4090 has 1TB/s. Loading 70B parameters even once per forward pass saturates this.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Memory Capacity — model weights + KV cache + activations must fit in addressable fast memory (VRAM or RAM). Larger models simply don't fit on commodity hardware without creative memory management.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Compute Utilisation — GPUs are only efficient when given large, regular tensor operations. Irregular access patterns, small batch sizes, and dynamic control flow all cause utilisation collapse.</w:t>
      </w:r>
    </w:p>
    <w:p>
      <w:pPr>
        <w:spacing w:before="21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Every architectural decision in every runtime below is a response to one or more of these three constraints. Understanding which constraint a system prioritises is the key to understanding its design.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 Taxonomy of Inference Runtimes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0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Systems</w:t>
            </w:r>
          </w:p>
        </w:tc>
        <w:tc>
          <w:tcPr>
            <w:tcW w:type="dxa" w:w="3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Focus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GPU Serving (Cloud)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vLLM, TensorRT-LLM, DeepSpeed-FastGen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Throughput maximisation on high-end GPUs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CPU / Edge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llama.cpp, GGML, CTranslate2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Portability, quantisation, low-resource execution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Hybrid / Tiered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AirLLM, ExLlamaV2, UARC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Running large models on small hardware via tiering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Compiled / JIT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MLC-LLM, TensorRT-LLM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Hardware-specific kernel compilation for peak speed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User-Facing Apps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Ollama, LM Studio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Ease of use, model management, local deployment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0" w:after="0"/>
        <w:jc w:val="left"/>
      </w:pPr>
      <w:r>
        <w:br w:type="pag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vLLM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vLLM — PagedAttention &amp; High-Throughput LLM Serving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vLLM, introduced by UC Berkeley in 2023, is the most widely deployed open-source inference serving framework for production workloads. Its central innovation — PagedAttention — solved the KV-cache memory fragmentation problem that had plagued all prior serving systems.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 Core Architecture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vLLM SERVING ENGINE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Client Requests ──► AsyncLLMEngine ──► Scheduler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│                   │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RequestPool          BatchFormer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│                   │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┌────────────▼───────────────────▼──────────┐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       WORKER (per GPU)              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┌──────────────┐  ┌───────────────────┐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│  Model Exec  │  │  KV Cache Manager │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│  (Attention) │  │  (Block Table)    │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└──────────────┘  └───────────────────┘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       │                   │         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┌──────▼───────────────────▼──────────┐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│   Physical GPU Memory (VRAM Pool)    │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│   [Block][Block][Block]...[Block]    │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└─────────────────────────────────────┘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└───────────────────────────────────────────┘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 PagedAttention — The Key Innovation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PagedAttention treats GPU VRAM like an OS treats RAM: it divides physical memory into fixed-size blocks (pages) and maps logical KV-cache positions to non-contiguous physical blocks via a block table. This eliminates internal and external fragmentation entirely.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Block size: 16 tokens (configurable). Each block holds K and V tensors for 16 token positions across all attention heads.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Block table: a per-sequence lookup table mapping logical block index → physical block number. The attention kernel reads via this indirection.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Copy-on-write: when a sequence forks (beam search), blocks are shared and only copied when a write occurs — enabling zero-cost prefix sharing.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Measured fragmentation: &lt;4% wasted VRAM vs 60–80% in prior systems (Orca, FasterTransformer).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2.3  Continuous Batching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Prior systems used static batching: a batch was fixed at request time and ran to completion. vLLM's scheduler uses iteration-level scheduling — after every forward pass, it can add new requests, preempt low-priority ones, and swap sequences to CPU memory. This yields 2–4× higher throughput on mixed-length workloads.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2.4  Strengths &amp; Weaknesses</w:t>
      </w:r>
    </w:p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vLLM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19"/>
                <w:szCs w:val="19"/>
              </w:rPr>
              <w:t xml:space="preserve">Production GPU serving — best throughput on high-end hardware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50"/>
        <w:gridCol w:w="235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3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Throughput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Best-in-class on A100/H100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Continuous batching + PagedAttention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Memory Efficiency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PagedAttention &lt;4% fragmentation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Still requires full VRAM for weights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Latency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Good for batch; P99 can be high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Scheduler overhead at high concurrency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Edge / CPU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GPU-only, large dependencies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Not designed for edge deployment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Linux/CUDA primarily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ROCm support experimental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Ease of Use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Good Python API, HF compat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Complex distributed setup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llama.cpp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llama.cpp — The Universal CPU Inference Engine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llama.cpp, created by Georgi Gerganov in early 2023, is arguably the most important open-source AI project of the LLM era. Written in pure C/C++ with zero mandatory dependencies, it runs transformer models on virtually any hardware — from servers to smartphones. Its quantisation framework (k-quants) is now an industry standard.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 Architecture Philosophy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llama.cpp rejects abstraction layers. Every operation is expressed as a tensor computation graph built at runtime (ggml_cgraph), which is then executed by a hand-optimised backend. The design prioritises correctness-by-default and performance-by-specialisation: scalar fallback everywhere, SIMD fast-paths where available.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llama.cpp ARCHITECTURE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llama_model_load()  →  gguf_context  →  ggml_context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│               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Weight Tensors         Metadata        Scratch Buffer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(mmap'd GGUF)        (quant types,    (activations,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arch, rope)      KV cache)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└──────────────────┬─────────────────┘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ggml_cgraph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(computational graph, built per forward pass)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│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┌─────────────▼──────────────┐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    ggml_backend_sched     │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(routes ops to backends)   │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└──┬──────────┬──────────┬───┘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CPU│       CUDA│      Metal│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(AVX2/│   (cuBLAS │  (Apple  │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NEON)│    kernels)│  Silicon)│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 GGUF Format &amp; k-Quantisation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GGUF (GGML Universal File Format) is a self-describing tensor format that co-locates all model metadata with weight data in a single file. Its quantisation system (k-quants) uses non-uniform scalar quantisation with importance-weighted rounding.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Q4_K_M: 4-bit quantisation with mixed 4/6-bit encoding for sensitive tensors. ~4.5 bits/param average. &lt;0.5 PPL loss vs FP16 on most models.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Q5_K_S: 5-bit, 'small' variant — slightly higher quality, ~5.5 bits/param. Preferred for math/code tasks.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Q8_0: 8-bit integer quantisation — near-lossless, 2× compression vs FP16. Fastest on CPU with AVX2.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IQ (importance quants): assigns higher precision to 'important' weight rows determined by activation statistics. State of the art for small quant budgets.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 Backend Scheduler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ggml_backend_sched splits the compute graph across available backends. Tensor operations that fit in VRAM go to CUDA/Metal; overflow tensors stay on CPU. This enables partial GPU offload — e.g., 28 of 32 layers on GPU, 4 on CPU — maximising utilisation of available hardware.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 Strengths &amp; Weaknesses</w:t>
      </w:r>
    </w:p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llama.cpp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19"/>
                <w:szCs w:val="19"/>
              </w:rPr>
              <w:t xml:space="preserve">Maximum portability, CPU-first, k-quant leader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50"/>
        <w:gridCol w:w="235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35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5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Runs on Linux/Mac/Win/Android/iOS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Zero mandatory dependencies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Quantisation Quality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Best-in-class k-quants + IQ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Sets the standard others follow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CPU Performance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AVX2/NEON hand-tuned kernels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Scalar fallback for exotic HW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GPU Performance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Good with cuBLAS, not kernel-fused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TensorRT-LLM beats it on GPU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Serving / Concurrency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Basic server, limited batching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Not designed for multi-user serving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Memory Management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Partial offload, but no paging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 dynamic reallocation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TensorRT-LLM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TensorRT-LLM — NVIDIA's Kernel-Fused Inference Engine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TensorRT-LLM is NVIDIA's production inference compiler and runtime for LLMs. It achieves peak GPU performance through aggressive kernel fusion, graph optimisation, and hardware-specific code generation. It is the fastest single-GPU inference system available — but only on NVIDIA hardware and only after a non-trivial compilation step.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 Compilation Pipeline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TensorRT-LLM COMPILATION PIPELINE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HuggingFace   →   TRT-LLM Model   →   Network Definition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Checkpoint         Python API          (layers + shapes)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       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TensorRT Builder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(graph optimiser)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       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┌────────────────────────────────▼───────────┐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       OPTIMIZATION PASSES            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① Kernel Fusion (LayerNorm+QKV+Attn+FF)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② Constant Folding (static weight ops)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③ Layer Deduplication                 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④ Precision Assignment (FP8/INT8/FP16)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│  ⑤ CUDA Graph Capture                       │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└────────────────────────────────────────────┘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│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.engine file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(hardware-specific, serialised)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│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TRT-LLM Runtime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(loads + executes engine)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 Kernel Fusion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Kernel fusion is TensorRT-LLM's most impactful optimisation. Adjacent operations — LayerNorm, QKV projection, attention, output projection, feed-forward — are merged into a single CUDA kernel, eliminating intermediate tensor materialisation.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Without fusion: each operation writes a full intermediate tensor to VRAM and reads it back. For a 70B model, this means ~30 read-write cycles per layer = ~2TB of VRAM traffic per token.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With fusion: the intermediate results stay in L2 cache or registers. VRAM traffic drops to the input/output tensors only — 4–8× bandwidth reduction.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Flash Attention integration: TRT-LLM uses FlashAttention-2/3 kernels that compute attention in tiles, never materialising the full N×N attention matrix — O(N) memory instead of O(N²).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 In-Flight Batching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TRT-LLM implements its own in-flight batching (equivalent to vLLM's continuous batching) with tighter integration into the CUDA execution graph. New requests can be inserted mid-batch at the kernel level, not just between iterations.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 Strengths &amp; Weaknesses</w:t>
      </w:r>
    </w:p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TensorRT-LLM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19"/>
                <w:szCs w:val="19"/>
              </w:rPr>
              <w:t xml:space="preserve">Maximum GPU throughput — NVIDIA-only, compile-first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50"/>
        <w:gridCol w:w="2350"/>
      </w:tblGrid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35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5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Raw GPU Throughput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Fastest single-GPU system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Peak kernel efficiency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Kernel Fusion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LayerNorm+QKV+Attn fused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4–8× BW reduction per layer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Hard to modify after compilation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New models need re-engineering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Hardware Support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NVIDIA only (A100/H100/Ada)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AMD/Apple not supported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Ease of Use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Complex build, long compile times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Not beginner-friendly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Edge / CPU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Zero CPU support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Server GPU only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AirLLM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AirLLM — Layer Streaming for Ultra-Low RAM Inference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AirLLM is a research project that demonstrated something remarkable: you can run a 70B parameter model on a machine with only 4GB of RAM by streaming individual layers from disk. It sacrifices speed for radical memory frugality, establishing that disk-resident model execution is technically feasible.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 Layer Streaming Architecture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AirLLM EXECUTION MODEL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Model Weights (all layers)  →  NVMe / HDD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│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┌───────▼──────┐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│  load layer N │  (4–8 GB/s)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└───────┬──────┘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│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┌───────▼──────┐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│  GPU/CPU exec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│  (compute)   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└───────┬──────┘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│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┌───────▼──────┐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│  unload layer │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└───────┬──────┘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│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load layer N+1  (sequential)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Peak RAM: ~1 layer (~500MB for 7B, ~2GB for 70B INT8)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 Technical Mechanism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Single-layer residence: only one transformer block is loaded into RAM/VRAM at a time. After execution, it is explicitly freed before the next layer is loaded.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mmap + sequential access: AirLLM uses memory-mapped files with MADV_SEQUENTIAL hints. The OS read-ahead prefetcher loads the next layer's data while the current layer executes.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Quantisation: most practical deployments use 4-bit or 8-bit quantised weights to reduce layer sizes and improve load times.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No batching: strictly one sequence at a time. No KV-cache across layers (it accumulates incrementally). No speculative execution.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 Limitation Analysis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AirLLM's throughput is bounded by storage bandwidth, not compute. A single NVMe SSD at 7 GB/s loading 2GB per layer (70B INT4) takes ~285ms per layer × 80 layers = ~23 seconds per forward pass. This yields roughly 0.5–2 tokens/second — usable for experimentation, not production.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 Strengths &amp; Weaknesses</w:t>
      </w:r>
    </w:p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AirLLM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19"/>
                <w:szCs w:val="19"/>
              </w:rPr>
              <w:t xml:space="preserve">Radical memory frugality — 70B models on 4GB RAM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50"/>
        <w:gridCol w:w="2350"/>
      </w:tblGrid>
      <w:tr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35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5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Min RAM Requirement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~4GB for 70B model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Unprecedented at release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Throughput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0.5–2 tok/s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Disk-bound, not compute-bound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Single sequence only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 batching capability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Architecture Insight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Proved disk-resident exec works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Key idea absorbed by UARC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Production Readiness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Research prototype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Not hardened for production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Prefetch Intelligence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OS read-ahead only</w:t>
            </w:r>
          </w:p>
        </w:tc>
        <w:tc>
          <w:tcPr>
            <w:tcW w:type="dxa" w:w="2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No predictive scheduling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GGML — The Foundation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GGML — Tensor Library Powering llama.cpp and the Ecosystem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GGML is the low-level tensor computation library that underpins llama.cpp, whisper.cpp, and dozens of other projects. Understanding GGML is essential to understanding why llama.cpp's architecture is the way it is — GGML's design choices propagate upward throughout the entire stack.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 Design Principles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No dynamic memory allocation at runtime: all memory is allocated upfront in a contiguous scratch buffer (ggml_context). This eliminates malloc/free overhead and enables deterministic memory usage.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Lazy evaluation: ggml_tensor operations don't execute immediately — they build a directed acyclic graph (ggml_cgraph) of operations. Execution happens in a single ggml_graph_compute() call.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Flat tensor representation: every tensor is a dense array with shape metadata. No sparse formats, no compression at the tensor level (quantisation is applied at weight storage, not computation time).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Single-file library: ggml.h + ggml.c — deliberately minimal to maximise portability. The entire library is ~20,000 lines of C.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 Quantisation Storage Format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GGML's quantisation is implemented as custom storage types. A Q4_0 tensor is not a float array — it's a packed array of 'blocks', where each block contains 32 quantised 4-bit values plus a float16 scale factor. Dequantisation happens inline during the GEMM kernel, never materialising a full float tensor.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// Q4_0 block layout (18 bytes = 32 weights)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ggml_fp16_t d;       // scale factor (2 bytes)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uint8_t    qs[16];  // 32 x 4-bit weights packed (16 bytes)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} block_q4_0;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// Dequantisation (inline during GEMM)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float w = ((qs[i/2] &gt;&gt; (4*(i%2))) &amp; 0xF) - 8;  // 4-bit → signed int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4" w:after="14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float x = w * d;                                 // scale to float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 Impact on the Ecosystem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GGML/GGUF has become the de facto standard for distributing quantised LLMs. Virtually every consumer-facing inference tool — Ollama, LM Studio, GPT4All, Jan — uses GGUF files and ggml-compatible quantisation. This created a remarkably healthy ecosystem where quantisation research (IQ quants, bitnet support) directly benefits all downstream tools.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MLC-LLM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MLC-LLM — Machine Learning Compilation for Universal Deployment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MLC-LLM (Machine Learning Compilation for LLMs) uses the Apache TVM compiler stack to generate hardware-specific optimised code from model descriptions. Unlike TensorRT-LLM (NVIDIA-specific) or llama.cpp (hand-written kernels), MLC-LLM compiles models to native code for any target: CUDA, Metal, Vulkan, OpenCL, WebGPU, or CPU.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 Compilation Stack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MLC-LLM COMPILATION FLOW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Model Definition (Python / Relax IR)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Apache TVM Compiler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┌────▼─────────────────────────────────────────────┐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            OPTIMIZATION PASSES                  │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• Operator Fusion (TIR-level)                   │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• Auto-scheduling (ML-guided kernel search)      │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• Quantisation (GPTQ / AWQ support)              │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• Memory Planning                                │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└────┬────────────────────────────────────────────┘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┌────▼──────────────────────────────────────────────┐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         BACKEND CODE GENERATION                  │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│   CUDA  │  Metal  │  Vulkan  │  WebGPU  │  LLVM   │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└──────────────────────────────────────────────────┘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Compiled .so / .wasm / .metallib  (per-device)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│   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MLC Runtime (Python / C++ / Swift / Kotlin)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 Auto-Scheduling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MLC-LLM uses TVM's auto-scheduler (formerly Ansor) to search for optimal tile sizes, loop ordering, and vectorisation strategies for each kernel on the target hardware. This machine-guided search often finds schedules that out-perform hand-written kernels for specific shapes.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Search space: tile factors, loop reordering, vectorisation width, cache localisation — billions of possible schedules per operator.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Cost model: a learned model predicts kernel latency without executing, steering the search efficiently.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Compiled artefact: the winning schedule is lowered to target-specific code (PTX, MSL, SPIR-V) and serialised for deployment.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 Web / Mobile Deployment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MLC-LLM's WebGPU backend is the most capable LLM inference engine for in-browser deployment. It compiles models to WGSL (WebGPU shading language) and runs them natively in Chrome/Firefox with GPU acceleration, achieving 10–20 tok/s for 7B models on consumer laptops.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DeepSpeed-FastGen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DeepSpeed-FastGen — Microsoft's Distributed Inference Engine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DeepSpeed-FastGen is Microsoft's inference serving system built on top of the DeepSpeed library. It introduces Dynamic SplitFuse — a novel scheduling primitive that addresses a fundamental throughput/latency tension in continuous batching systems.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8.1  Dynamic SplitFuse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core problem: in continuous batching, prefill (processing the input prompt) and decode (generating tokens) have very different compute profiles. Prefill is compute-bound (large matrix multiplications); decode is memory-bandwidth-bound (small batch, large weight reads). Mixing them in a batch creates GPU underutilisation.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SplitFuse splits long prompts across multiple forward passes (chunked prefill), preventing any single prefill from monopolising the batch.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It also fuses short prompts with decode steps in the same forward pass, improving GPU utilisation during decode-heavy phases.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Result: more uniform compute per batch step → higher GPU utilisation → 2.3× higher throughput vs. vLLM on mixed workloads at comparable latency.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8.2  ZeRO-Inference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For extremely large models (175B+), DeepSpeed implements ZeRO-Inference: model parameters are partitioned across multiple GPUs (and optionally CPU memory), with each GPU holding only a shard. During the forward pass, parameters are all-gathered from peers as needed. This enables inference on models that would not fit in any single GPU's memory.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Stage 1: partition optimizer states (training only — not relevant for inference).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Stage 3 (Inference): partition model weights across GPUs. Communication via NVLink/InfiniBand. Effectively enables 100B+ models across 8× A100.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ExLlamaV2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ExLlamaV2 — EXL2 Quantisation &amp; CUDA-Optimised Inference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ExLlamaV2 is a highly optimised GPU inference library focused on maximising token generation speed on consumer NVIDIA GPUs. Its EXL2 quantisation format represents the current state of the art for quality-at-budget quantisation, surpassing llama.cpp's k-quants in most evaluations.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9.1  EXL2 Quantisation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EXL2 is a mixed-precision quantisation format where different weight matrices — even different rows within a matrix — can have different bit widths. This is calibration-driven: a calibration dataset determines which weights are most sensitive to precision loss, and those get more bits.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Per-row bit allocation: some rows might use 3 bits, others 8 bits, averaging to e.g. 4.5 bits/param — but with dramatically better quality distribution than uniform 4-bit.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GPTQ-based: ExLlamaV2 uses a variant of GPTQ (Generative Pre-trained Transformer Quantisation), a second-order optimisation method that minimises layer-wise reconstruction error.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Quality at 4-bit: EXL2 at 4.0 bpw typically outperforms GGUF Q4_K_M on perplexity benchmarks. At 2.5 bpw, it's the best option for extreme compression.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9.2  CUDA Kernels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ExLlamaV2 ships custom CUDA kernels for EXL2 dequantisation that are tightly integrated with the matrix multiplication path. Unlike llama.cpp which dequantises inline in GEMM, ExLlamaV2 uses a 'matvec' kernel that dequantises and multiplies in a single pass with explicit warp-level optimisation.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CTranslate2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CTranslate2 — Efficient Inference for Seq2Seq &amp; Encoder-Decoder Models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CTranslate2 is OpenNMT's high-performance inference engine, originally designed for translation (seq2seq) models but now supporting decoder-only LLMs. It excels at inference with static shapes and controlled environments, and offers the most mature INT8 CPU inference path of any open-source system.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10.1  Key Optimisations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INT8 CPU GEMM: CTranslate2 uses hand-optimised INT8 matrix multiplication on x86 (via Intel MKL or OpenBLAS) and ARM (via Arm Compute Library). This gives 2–4× speedup vs FP32 on modern CPUs with AVX-512 VNNI instructions.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Operator fusion: fuses linear + bias + activation into single compute pass, reducing memory traffic by eliminating intermediate buffers.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Asynchronous GPU execution: CPU and GPU operate in parallel — CPU preprocesses next batch while GPU executes current batch.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Dynamic vocabulary reduction: for translation, reduces output vocabulary to only the most likely candidates, dramatically reducing the softmax computation cost.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11. Ollama &amp; LM Studio — User-Facing Runtimes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Ollama &amp; LM Studio — Making Local LLMs Accessible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Ollama and LM Studio are not inference engines themselves — they are application layers built on top of llama.cpp that prioritise user experience, model management, and accessibility over raw performance. They are architecturally significant because they define how most end-users encounter local inference.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11.1  Ollama Architecture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Core: wraps llama.cpp in a Go HTTP server exposing an OpenAI-compatible REST API (/api/generate, /api/chat, /v1/chat/completions).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Model registry: Ollama hosts a model registry (ollama.com/library) where models are stored as OCI-compatible layered artefacts. ollama pull downloads GGUF layers with deduplication.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Automatic GPU detection: Ollama probes available CUDA/Metal/ROCm backends at startup and configures llama.cpp's -ngl (n_gpu_layers) parameter automatically.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Process model: each model runs in a subprocess. Multiple models can run simultaneously; Ollama manages their lifecycle and GPU memory allocation.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11.2  LM Studio Architecture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Electron app wrapping llama.cpp and a local server. Provides a chat UI, model browser, and local OpenAI-compatible server.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Adds a model discovery layer: searches HuggingFace Hub for GGUF models, displays quantisation options with size/quality trade-off estimates.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Performance profiles: predefined configurations (context size, thread count, GPU layers) matched to detected hardware specs.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11.3  Architectural Lesson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success of Ollama and LM Studio demonstrates that the usability layer is as important as the inference engine. A technically superior engine that is hard to use will lose to a good-enough engine wrapped in excellent UX. UARC must account for this.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12. Comprehensive Architecture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Head-to-Head: All Systems Across Every Dimension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matrix below scores all 12 systems (including UARC) across 10 architectural dimensions on a 1–5 scale. Scores reflect architectural capability, not marketing claims.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c>
          <w:tcPr>
            <w:tcW w:type="dxa" w:w="76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58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vLLM</w:t>
            </w:r>
          </w:p>
        </w:tc>
        <w:tc>
          <w:tcPr>
            <w:tcW w:type="dxa" w:w="758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llama</w:t>
            </w:r>
          </w:p>
        </w:tc>
        <w:tc>
          <w:tcPr>
            <w:tcW w:type="dxa" w:w="758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TRT</w:t>
            </w:r>
          </w:p>
        </w:tc>
        <w:tc>
          <w:tcPr>
            <w:tcW w:type="dxa" w:w="758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AirLLM</w:t>
            </w:r>
          </w:p>
        </w:tc>
        <w:tc>
          <w:tcPr>
            <w:tcW w:type="dxa" w:w="758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GGML</w:t>
            </w:r>
          </w:p>
        </w:tc>
        <w:tc>
          <w:tcPr>
            <w:tcW w:type="dxa" w:w="758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MLC</w:t>
            </w:r>
          </w:p>
        </w:tc>
        <w:tc>
          <w:tcPr>
            <w:tcW w:type="dxa" w:w="758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DS-FG</w:t>
            </w:r>
          </w:p>
        </w:tc>
        <w:tc>
          <w:tcPr>
            <w:tcW w:type="dxa" w:w="758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ExLlama</w:t>
            </w:r>
          </w:p>
        </w:tc>
        <w:tc>
          <w:tcPr>
            <w:tcW w:type="dxa" w:w="758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CT2</w:t>
            </w:r>
          </w:p>
        </w:tc>
        <w:tc>
          <w:tcPr>
            <w:tcW w:type="dxa" w:w="758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Ollama</w:t>
            </w:r>
          </w:p>
        </w:tc>
        <w:tc>
          <w:tcPr>
            <w:tcW w:type="dxa" w:w="758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UARC★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GPU Throughput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CPU Performance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Memory Efficiency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Edge / Min HW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Quantisation Quality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Kernel Optimisation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█░░░░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1/5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Ease of Use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██░░░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2/5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</w:tr>
      <w:tr>
        <w:tc>
          <w:tcPr>
            <w:tcW w:type="dxa" w:w="76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Large Model Support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4/5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B7770D"/>
                <w:sz w:val="16"/>
                <w:szCs w:val="16"/>
              </w:rPr>
              <w:t xml:space="preserve">███░░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3/5</w:t>
            </w:r>
          </w:p>
        </w:tc>
        <w:tc>
          <w:tcPr>
            <w:tcW w:type="dxa" w:w="7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10"/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6"/>
                <w:szCs w:val="16"/>
              </w:rPr>
              <w:t xml:space="preserve">█████</w:t>
            </w:r>
          </w:p>
          <w:p>
            <w:pPr>
              <w:spacing w:before="5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5/5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i/>
          <w:iCs/>
          <w:color w:val="808B96"/>
          <w:sz w:val="21"/>
          <w:szCs w:val="21"/>
        </w:rPr>
        <w:t xml:space="preserve">★ UARC scores reflect design targets, not measured production benchmarks. All other scores reflect published benchmarks and community consensus as of early 2025.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12.1  Algorithmic Primitive Cross-Reference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50"/>
        <w:gridCol w:w="1050"/>
        <w:gridCol w:w="1050"/>
        <w:gridCol w:w="1050"/>
        <w:gridCol w:w="1050"/>
        <w:gridCol w:w="1050"/>
        <w:gridCol w:w="1050"/>
        <w:gridCol w:w="35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 / Primitive</w:t>
            </w:r>
          </w:p>
        </w:tc>
        <w:tc>
          <w:tcPr>
            <w:tcW w:type="dxa" w:w="10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vLLM</w:t>
            </w:r>
          </w:p>
        </w:tc>
        <w:tc>
          <w:tcPr>
            <w:tcW w:type="dxa" w:w="105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llama</w:t>
            </w:r>
          </w:p>
        </w:tc>
        <w:tc>
          <w:tcPr>
            <w:tcW w:type="dxa" w:w="105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TRT-LLM</w:t>
            </w:r>
          </w:p>
        </w:tc>
        <w:tc>
          <w:tcPr>
            <w:tcW w:type="dxa" w:w="105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AirLLM</w:t>
            </w:r>
          </w:p>
        </w:tc>
        <w:tc>
          <w:tcPr>
            <w:tcW w:type="dxa" w:w="105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ExLlama</w:t>
            </w:r>
          </w:p>
        </w:tc>
        <w:tc>
          <w:tcPr>
            <w:tcW w:type="dxa" w:w="105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MLC</w:t>
            </w:r>
          </w:p>
        </w:tc>
        <w:tc>
          <w:tcPr>
            <w:tcW w:type="dxa" w:w="10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DeepSp</w:t>
            </w:r>
          </w:p>
        </w:tc>
        <w:tc>
          <w:tcPr>
            <w:tcW w:type="dxa" w:w="105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UARC</w:t>
            </w:r>
          </w:p>
        </w:tc>
        <w:tc>
          <w:tcPr>
            <w:tcW w:type="dxa" w:w="35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Paged KV Cache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Continuous Batching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INT4 Quantisation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k-Quants (GGUF)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EXL2 Mixed Prec.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Kernel Fusion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Layer Streaming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CPU Offload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Speculative Decoding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Flash Attention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Dynamic Layer Skip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Semantic Cache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Tiered Memory (3-tier)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Token Difficulty Est.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Adaptive Precision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B96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3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80"/>
              <w:jc w:val="left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0" w:after="0"/>
        <w:jc w:val="left"/>
      </w:pPr>
      <w:r>
        <w:br w:type="pag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13. UARC: The Synthesis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UARC — Unified Adaptive Runtime Core: Combining the Best of All Worlds</w:t>
            </w:r>
          </w:p>
        </w:tc>
      </w:tr>
    </w:tbl>
    <w:p>
      <w:pPr>
        <w:spacing w:before="35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UARC is designed as the synthesis of everything this analysis reveals. It does not attempt to innovate randomly — every design decision is grounded in a specific gap observed across the prior systems above. This section maps each UARC module back to the ecosystem insight that motivated it.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13.1  Design Motivation Map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300"/>
      </w:tblGrid>
      <w:tr>
        <w:tc>
          <w:tcPr>
            <w:tcW w:type="dxa" w:w="2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UARC Module</w:t>
            </w:r>
          </w:p>
        </w:tc>
        <w:tc>
          <w:tcPr>
            <w:tcW w:type="dxa" w:w="2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It Fills</w:t>
            </w:r>
          </w:p>
        </w:tc>
        <w:tc>
          <w:tcPr>
            <w:tcW w:type="dxa" w:w="2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Borrows From</w:t>
            </w:r>
          </w:p>
        </w:tc>
        <w:tc>
          <w:tcPr>
            <w:tcW w:type="dxa" w:w="2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Novel Addition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Virtual Memory Manager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No system spans VRAM+RAM+SSD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AirLLM streaming + vLLM paging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CLOCK-Pro AI-aware eviction scoring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Dynamic Precision Engine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Precision is static per-model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EXL2 mixed prec + TRT INT8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Runtime per-layer budget allocation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Predictive Layer Loader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AirLLM loads layers naively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AirLLM streaming concept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EMA-based lookahead prefetch DAG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Smart Token Router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All tokens get equal compute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DeepSpeed SplitFuse insight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Token Difficulty Estimator (TDE)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Neural Semantic Cache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No system caches semantically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None in current systems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HNSW embedding cache, tunable threshold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Kernel Optimization Layer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CPU kernels not fused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TRT-LLM + MLC-LLM fusion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Triton JIT for CPU+GPU unified path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Hybrid CPU-GPU Engine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CPU and GPU are siloed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llama.cpp partial offload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Arithmetic-intensity-based routing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Adaptive Compute Scheduler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Batch formation is simplistic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vLLM continuous batching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5" w:after="45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SLA-weighted difficulty-aware batching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13.2  UARC Full System Architecture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                UARC — UNIFIED ADAPTIVE RUNTIME CORE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EXTERNAL: REST/gRPC (OpenAI-compat) · Python SDK · C API · WASM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└─────────────────────────────┬────────────────────────────────────────┘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┌─────────────────────────────▼────────────────────────────────────────┐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MOD 6: SMART TOKEN ROUTER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 [TDE: easy/medium/hard] → [NSC: semantic cache] → [Spec Decode]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└──────┬────────────────────────────────────────────┬──────────────────┘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Cache│Hit                                   Cache│Miss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┌──────▼──────┐         ┌──────────────────────────▼──────────────────┐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RETURN      │         │  MOD 1: ADAPTIVE COMPUTE SCHEDULER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│ CACHED RESP │         │  [Priority Queue] [Batch Merger] [HW Probe]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└─────────────┘         └──────────────────────┬──────────────────────┘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┌─────────────────────────────▼──────────────────────┐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MOD 2: PREDICTIVE LAYER LOADER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[DAG Lookahead k=4] [EMA Timing] [Async Prefetch]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└─────────────────────────────┬──────────────────────┘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┌─────────────────────────────▼──────────────────────┐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MOD 3: AI VIRTUAL MEMORY MANAGER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┌───────────┐  ┌───────────┐  ┌────────────────┐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│ TIER 0    │  │ TIER 1    │  │ TIER 2         │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│ VRAM HOT  │←→│ RAM WARM  │←→│ NVMe COLD      │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│ Active Lyr│  │ Prefetched│  │ Full Weights   │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│ KV Cache  │  │ Overflow  │  │ Cold KV        │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└───────────┘  └───────────┘  └────────────────┘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[CLOCK-Pro Eviction] [Page Scoring] [DMA Async]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└─────────────────────────────┬──────────────────────┘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┌─────────────────────────────▼──────────────────────┐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MOD 4: DYNAMIC PRECISION ENGINE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[Sensitivity Analysis] [Budget Allocator]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[INT4 / INT8 / FP16 / BF16 / FP32 dispatch]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└────────────────────┬─────────────┬─────────────────┘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  GPU    │             │   CPU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┌─────────────────────▼─────┐ ┌───▼─────────────────┐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MOD 5a: GPU EXEC ENGINE  │ │ MOD 5b: CPU ENGINE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[cuBLAS][Flash Attn]     │ │ [AVX2][NEON][Scalar]│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[Layer Skip Gates]       │ │ [INT8 GEMM]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└─────────────────┬─────────┘ └──────┬──────────────┘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                  │ 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┌─────────────────▼───────────────────▼──────────────┐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MOD 7: KERNEL OPTIMIZATION LAYER               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[Triton JIT Fusion] [Op Reorder] [Kernel Cache] 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│  [CUDA / ROCm / Metal / AVX-512 / NEON backends]  │</w:t>
            </w:r>
          </w:p>
        </w:tc>
      </w:tr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" w:after="8"/>
              <w:jc w:val="left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                    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13.3  What UARC Uniquely Introduces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Beyond synthesising existing techniques, UARC introduces four genuinely novel algorithmic concepts not found in any prior system: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Token Difficulty Estimator (TDE): a lightweight MLP trained offline to predict per-token compute requirements, enabling compute-proportional inference routing. No existing system routes at token granularity based on predicted complexity.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Neural Semantic Cache (NSC): an embedding-based cache that returns completions for semantically equivalent queries without running any inference. Existing caches are exact-match or prefix-match only.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AI-Aware CLOCK-Pro Eviction: the page eviction algorithm incorporates model-specific signals (layer access frequency weighted by position in network, prefetch lead time) rather than treating all data as equivalent.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Cross-System Precision Budget Allocation: the DPE's greedy knapsack solver allocates precision at runtime based on current memory pressure — no existing system adjusts precision dynamically within a single request's execution.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14. Future Directions &amp; Open Problems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inference runtime landscape is evolving rapidly. Several research directions will define the next generation of systems beyond what any current architecture — including UARC — addresses fully.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14.1  Structured Sparsity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Modern weight pruning techniques (SparseGPT, Wanda) can remove 50–70% of transformer weights with minimal quality loss. Structured N:M sparsity (e.g., 2:4 — 2 nonzeros per 4 weights) is natively supported in NVIDIA's Ampere+ sparse GEMM units, offering 2× speedup at zero algorithmic cost once the model is pruned. No major inference engine fully exploits this yet.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14.2  Continuous Batching + Disaggregated Prefill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Separating the prefill phase (prompt processing, compute-bound) from the decode phase (token generation, memory-bound) onto different hardware — known as prefill-decode disaggregation — is an emerging production architecture at companies like DeepMind and Anthropic. It allows each phase to be scaled independently and uses hardware better matched to each workload's bottleneck.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14.3  KV Cache Quantisation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KV cache is typically stored in FP16, but recent work (KVQuant, KIVI) shows INT4 KV caching with &lt;0.5% quality loss is feasible. For long-context models (128K+ tokens), KV cache can exceed model weight size — quantising it unlocks dramatic context length scaling without additional hardware.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14.4  Retrieval-Augmented Caching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Extending semantic caching (as in UARC's NSC) to retrieve and inject relevant KV-cache entries from past similar queries — not just full completion reuse — could dramatically reduce compute for knowledge-intensive tasks. This is an entirely open research area.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14.5  Hardware Co-Design</w:t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Inference-specific ASICs (Groq LPU, Cerebras WSE, Tenstorrent Wormhole) take a fundamentally different approach: design the chip around the inference computation rather than adapting GPU chips. These systems achieve 500–1000 tok/s for 70B models by eliminating the DRAM bottleneck entirely. Software runtimes for these chips are in their infancy.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2"/>
        <w:spacing w:before="220" w:after="100"/>
        <w:jc w:val="left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14.6  UARC Roadmap Extensions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Phase 5 (Months 13–18): Integrate SparseGPT pruning pipeline. Add N:M sparse GEMM path for Ampere+ GPUs.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Phase 6 (Months 18–24): Implement prefill-decode disaggregation. Separate prefill workers from decode workers in the Adaptive Scheduler.</w:t>
      </w:r>
    </w:p>
    <w:p>
      <w:pPr>
        <w:pStyle w:val="ListParagraph"/>
        <w:numPr>
          <w:ilvl w:val="0"/>
          <w:numId w:val="2"/>
        </w:numPr>
        <w:spacing w:before="35" w:after="35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Phase 7 (Months 24–30): KV cache INT4 quantisation. Retrieval-augmented cache prototype. Hardware backend for Groq/Tenstorrent.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00" w:after="140"/>
        <w:jc w:val="left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15. Conclusion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This exploration has surveyed 12 major AI inference runtime architectures — from vLLM's paged attention to TensorRT-LLM's kernel fusion to AirLLM's radical layer streaming — and mapped them against a unified set of architectural dimensions.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clearest conclusion is that no single existing system dominates across all dimensions. Every system has made a deliberate architectural bet — on GPU-only serving, or on CPU portability, or on disk-resident execution — and that bet comes with unavoidable trade-offs. The inference runtime space is not converged; it is a landscape of specialisations.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Central Finding: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maximum achievable performance comes from combining: (1) vLLM's memory management, (2) llama.cpp's quantisation quality and portability, (3) AirLLM's tiered storage insight, (4) TensorRT-LLM's kernel fusion discipline, (5) ExLlamaV2's calibration-driven mixed precision, and (6) novel token-level routing that no existing system implements. This is the UARC thesis.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p>
      <w:pPr>
        <w:spacing w:before="60" w:after="55"/>
        <w:jc w:val="left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systems analysed here represent the state of the art as of early 2025. The field is moving extraordinarily fast — hardware co-design, disaggregated serving, and sub-1-bit quantisation are all active research areas. The architectural principles uncovered here — reduce memory traffic, match compute to workload complexity, exploit all available storage tiers — will remain relevant regardless of how the specific implementations evolve.</w:t>
      </w:r>
    </w:p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Summary</w:t>
            </w:r>
          </w:p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D6EAF8"/>
                <w:sz w:val="19"/>
                <w:szCs w:val="19"/>
              </w:rPr>
              <w:t xml:space="preserve">12 Systems Analysed  •  15 Architectural Dimensions  •  14 Algorithmic Primitives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19"/>
                <w:szCs w:val="19"/>
              </w:rPr>
              <w:t xml:space="preserve">UARC identified as the synthesis architecture combining the strongest elements of all prior systems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2"/>
      </w:pBdr>
      <w:spacing w:before="80" w:after="0"/>
    </w:pPr>
  </w:p>
  <w:p>
    <w:pPr>
      <w:tabs>
        <w:tab w:val="right" w:pos="9026"/>
      </w:tabs>
      <w:spacing w:before="50" w:after="0"/>
    </w:pPr>
    <w:r>
      <w:rPr>
        <w:rFonts w:ascii="Arial" w:cs="Arial" w:eastAsia="Arial" w:hAnsi="Arial"/>
        <w:color w:val="808B96"/>
        <w:sz w:val="15"/>
        <w:szCs w:val="15"/>
      </w:rPr>
      <w:t xml:space="preserve">AI Inference Architecture Exploration  •  Confidential Draft</w:t>
    </w:r>
    <w:r>
      <w:rPr>
        <w:rFonts w:ascii="Arial" w:cs="Arial" w:eastAsia="Arial" w:hAnsi="Arial"/>
        <w:color w:val="808B96"/>
        <w:sz w:val="15"/>
        <w:szCs w:val="15"/>
      </w:rPr>
      <w:t xml:space="preserve">	Page </w:t>
    </w:r>
    <w:r>
      <w:rPr>
        <w:rFonts w:ascii="Arial" w:cs="Arial" w:eastAsia="Arial" w:hAnsi="Arial"/>
        <w:color w:val="808B9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20"/>
      <w:gridCol w:w="5120"/>
    </w:tblGrid>
    <w:tr>
      <w:tc>
        <w:tcPr>
          <w:tcW w:type="dxa" w:w="5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before="35" w:after="35"/>
            <w:jc w:val="left"/>
          </w:pPr>
          <w:r>
            <w:rPr>
              <w:rFonts w:ascii="Arial" w:cs="Arial" w:eastAsia="Arial" w:hAnsi="Arial"/>
              <w:b/>
              <w:bCs/>
              <w:color w:val="0D1B2A"/>
              <w:sz w:val="17"/>
              <w:szCs w:val="17"/>
            </w:rPr>
            <w:t xml:space="preserve">AI Inference Runtime Architecture Exploration</w:t>
          </w:r>
        </w:p>
      </w:tc>
      <w:tc>
        <w:tcPr>
          <w:tcW w:type="dxa" w:w="5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before="35" w:after="35"/>
            <w:jc w:val="right"/>
          </w:pPr>
          <w:r>
            <w:rPr>
              <w:rFonts w:ascii="Arial" w:cs="Arial" w:eastAsia="Arial" w:hAnsi="Arial"/>
              <w:color w:val="808B96"/>
              <w:sz w:val="17"/>
              <w:szCs w:val="17"/>
            </w:rPr>
            <w:t xml:space="preserve">Comparative Study — 12 Systems</w:t>
          </w:r>
        </w:p>
      </w:tc>
    </w:tr>
  </w:tbl>
  <w:p>
    <w:pPr>
      <w:pBdr>
        <w:bottom w:val="single" w:color="2E86AB" w:sz="6" w:space="2"/>
      </w:pBdr>
      <w:spacing w:before="0" w:after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  <w:lvl w:ilvl="2" w15:tentative="1">
      <w:start w:val="1"/>
      <w:numFmt w:val="bullet"/>
      <w:lvlText w:val="▪"/>
      <w:lvlJc w:val="left"/>
      <w:pPr>
        <w:ind w:left="12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2026-03-08T00:35:34.588Z</dcterms:created>
  <dcterms:modified xsi:type="dcterms:W3CDTF">2026-03-08T00:35:34.589Z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