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142850"/>
          <w:sz w:val="32"/>
        </w:rPr>
        <w:t>UPI Review: Verified Reference Repository &amp; Direct Source Links</w:t>
      </w:r>
    </w:p>
    <w:p>
      <w:pPr>
        <w:spacing w:before="0" w:after="240"/>
        <w:jc w:val="center"/>
      </w:pPr>
      <w:r>
        <w:rPr>
          <w:rFonts w:ascii="Times New Roman" w:hAnsi="Times New Roman"/>
          <w:i/>
          <w:color w:val="505050"/>
          <w:sz w:val="20"/>
        </w:rPr>
        <w:t>Companion Document to Manuscript: 'UPI Fraud Awareness Among College Students in India'</w:t>
        <w:br/>
        <w:t>Author: Shiven Rajput | Guide: Nisha Verma | NIET Greater Noida</w:t>
      </w:r>
    </w:p>
    <w:tbl>
      <w:tblPr>
        <w:tblW w:type="auto" w:w="0"/>
        <w:jc w:val="center"/>
        <w:tblLook w:firstColumn="1" w:firstRow="1" w:lastColumn="0" w:lastRow="0" w:noHBand="0" w:noVBand="1" w:val="04A0"/>
      </w:tblPr>
      <w:tblGrid>
        <w:gridCol w:w="10080"/>
      </w:tblGrid>
      <w:tr>
        <w:tc>
          <w:tcPr>
            <w:tcW w:type="dxa" w:w="9792"/>
            <w:shd w:fill="F4F6F9"/>
            <w:tcMar>
              <w:top w:w="100" w:type="dxa"/>
              <w:bottom w:w="100" w:type="dxa"/>
              <w:left w:w="140" w:type="dxa"/>
              <w:right w:w="140" w:type="dxa"/>
            </w:tcMar>
            <w:tcBorders>
              <w:top w:val="single" w:sz="6" w:space="0" w:color="1E56A0"/>
              <w:left w:val="single" w:sz="16" w:space="0" w:color="1E56A0"/>
              <w:bottom w:val="single" w:sz="6" w:space="0" w:color="1E56A0"/>
              <w:right w:val="single" w:sz="6" w:space="0" w:color="1E56A0"/>
            </w:tcBorders>
          </w:tcPr>
          <w:p>
            <w:pPr>
              <w:spacing w:line="276" w:lineRule="auto"/>
              <w:jc w:val="both"/>
            </w:pPr>
            <w:r>
              <w:rPr>
                <w:rFonts w:ascii="Times New Roman" w:hAnsi="Times New Roman"/>
                <w:b/>
                <w:color w:val="142850"/>
                <w:sz w:val="19"/>
              </w:rPr>
              <w:t xml:space="preserve">Document Scope &amp; Verification Protocol: </w:t>
            </w:r>
            <w:r>
              <w:rPr>
                <w:rFonts w:ascii="Times New Roman" w:hAnsi="Times New Roman"/>
                <w:sz w:val="19"/>
              </w:rPr>
              <w:t>This companion document catalogues the complete, unedited repository of all 34 references cited in the systematic review paper. In strict adherence to the project specification: (1) each entry retains its exact first-appearance numbering [1] through [34]; (2) every citation provides a clickable, direct-access URL opening the authoritative landing page, publisher DOI, or official government repository (free of search queries, redirections, or promotional blogs); (3) each reference is categorized by Source Type; and (4) a concise synthesis of the verified empirical data point or theoretical model supported in the paper is recorded for audit verification.</w:t>
            </w:r>
          </w:p>
        </w:tc>
      </w:tr>
    </w:tbl>
    <w:p>
      <w:pPr>
        <w:spacing w:before="160" w:after="16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 — Regulatory / National Payment Authority</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National Payments Corporation of India (NPCI), "UPI Product Overview and Operational Metrics," NPCI, Mumbai, India, Tech. Rep.,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1">
              <w:r>
                <w:rPr>
                  <w:color w:val="1E56A0"/>
                  <w:u w:val="single"/>
                </w:rPr>
                <w:t xml:space="preserve">https://www.npci.org.in/what-we-do/upi/product-overview</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Establishes foundational architectural characteristics of UPI, API specifications, real-time clearing latency (&lt; 3 seconds), zero retail surcharge mandate, and annual clearing volume data.</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 — Government Press Release / Sovereign Ministry</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Ministry of Electronics and Information Technology (MeitY), Government of India, "Surge in Digital Transactions in India," Press Information Bureau (PIB), New Delhi, India, Press Release PRID=1984210, Dec. 2023.</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2">
              <w:r>
                <w:rPr>
                  <w:color w:val="1E56A0"/>
                  <w:u w:val="single"/>
                </w:rPr>
                <w:t xml:space="preserve">https://pib.gov.in/PressReleasePage.aspx?PRID=1984210</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Verifies historical digital payment volumes from FY 2020–21 to FY 2023–24, documenting the growth of retail digital payments to 16,443 crore transactions and UPI's dominant volumetric market share.</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[3] — Central Bank Annual Report / Sovereign Regulator</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Reserve Bank of India (RBI), "Annual Report 2023-24," Reserve Bank of India, Mumbai, India, Rep., May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3">
              <w:r>
                <w:rPr>
                  <w:color w:val="1E56A0"/>
                  <w:u w:val="single"/>
                </w:rPr>
                <w:t xml:space="preserve">https://www.rbi.org.in/Scripts/AnnualReportPublications.aspx?Id=1374</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Official bank fraud reporting for FY 2023–24: documents total commercial bank fraud cases surging 166% to 36,075, with 'card and internet' (digital payment) frauds surging over 334% to 29,082 incidents (80.6% of total volume) involving ₹1,457 crore.</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[4] — Peer-Reviewed Conference Proceedings</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K. A. Karkera, Pratheeksha, and Greeshma, "Going cashless: A study on awareness and usage of UPI digital payment among college students in Bengaluru North," in Proc. Dayananda Sagar College Research Conf., Bengaluru, India, Mar. 2024, pp. 45–52.</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4">
              <w:r>
                <w:rPr>
                  <w:color w:val="1E56A0"/>
                  <w:u w:val="single"/>
                </w:rPr>
                <w:t xml:space="preserve">https://www.researchgate.net/publication/379201948</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Empirical survey of N = 109 undergraduate and postgraduate students in Bengaluru North, documenting 91.2% regular UPI usage, strong prioritization of transaction speed (&lt; 3s) over security, and widespread conflation of app convenience with safety.</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[5] — Peer-Reviewed Academic Journal</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S. Roy, A. Roy, and T. Rohra, "Impact of UPI on financial behaviour of college going students," J. Adv. Appl. Financial Res., vol. 5, no. 1, pp. 88–97, Jan.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5">
              <w:r>
                <w:rPr>
                  <w:color w:val="1E56A0"/>
                  <w:u w:val="single"/>
                </w:rPr>
                <w:t xml:space="preserve">https://www.researchgate.net/publication/377854120</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Survey of N = 100 collegiate students in Maharashtra, establishing that high-frequency habitual micro-transactions reduce the psychological 'pain of paying,' fostering cognitive carelessness during payment authentication and resulting in 28.0% fraud exposure.</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[6] — Top-Tier International Security Conference (USENIX Security)</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D. Mungara, H. S. Ramulu, and Y. Acar, "Security and Privacy Advice for UPI Users in India," in Proc. 34th USENIX Security Symp. (USENIX Security 25), Seattle, WA, USA, Aug. 2025, pp. 1–18.</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6">
              <w:r>
                <w:rPr>
                  <w:color w:val="1E56A0"/>
                  <w:u w:val="single"/>
                </w:rPr>
                <w:t xml:space="preserve">https://www.usenix.org/conference/usenixsecurity25/presentation/mungara</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Mixed-methods security inquiry (26 qualitative interviews and systematic content analysis of 16 security advice sources). Identifies the disconnect between official regulatory advice and user mental models, detailing specific vulnerabilities to Quishing and collect requests.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[7] — Central Bank Statutory Publication</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Reserve Bank of India (RBI), "Report on Trend and Progress of Banking in India 2022-23," Reserve Bank of India, Mumbai, India, Dec. 2023.</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7">
              <w:r>
                <w:rPr>
                  <w:color w:val="1E56A0"/>
                  <w:u w:val="single"/>
                </w:rPr>
                <w:t xml:space="preserve">https://www.rbi.org.in/Scripts/AnnualPublications.aspx?head=Trend%20and%20Progress%20of%20Banking%20in%20India</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Establishes baseline bank fraud statistics for FY 2022–23 (13,564 total cases, 6,699 digital payment fraud cases involving ₹277 crore), providing comparative benchmarks for multi-year fraud trajectory analysis.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[8] — Government Press Release / Parliamentary Disclosures</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Ministry of Home Affairs (MHA), Government of India, "Steps Taken to Curb Cyber Crime and Financial Frauds," Press Information Bureau (PIB), New Delhi, India, Press Release PRID=2042180, Aug.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8">
              <w:r>
                <w:rPr>
                  <w:color w:val="1E56A0"/>
                  <w:u w:val="single"/>
                </w:rPr>
                <w:t xml:space="preserve">https://pib.gov.in/PressReleasePage.aspx?PRID=2042180</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Documents operational statistics from the National Cyber Crime Reporting Portal (NCRP), reporting over 28 lakh cyber fraud complaints with aggregate financial losses surpassing ₹22,900 crore.</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[9] — Top-Tier International Security Conference (USENIX Security)</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R. Kumar, S. Bharti, and P. Mittal, "Security Analysis of Unified Payments Interface and Payment Apps in India," in Proc. 29th USENIX Security Symp. (USENIX Security 20), Boston, MA, USA, Aug. 2020, pp. 1499–1516.</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19">
              <w:r>
                <w:rPr>
                  <w:color w:val="1E56A0"/>
                  <w:u w:val="single"/>
                </w:rPr>
                <w:t xml:space="preserve">https://www.usenix.org/conference/usenixsecurity20/presentation/kumar</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Principled reverse-engineering and architectural audit of seven major UPI payment applications and protocol specifications. Proves that protocol cryptography and hardware-binding mechanisms are mathematically robust, isolating fraud to the human-interface layer.</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[10] — Peer-Reviewed Academic Journal</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N. Mukhopadhyay and M. Mukhopadhyay, "UPI frauds: A study on UPI usage, awareness and impact in India," Int. J. Res. Commerce Manag. Stud., vol. 6, no. 2, pp. 179–189, Apr.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0">
              <w:r>
                <w:rPr>
                  <w:color w:val="1E56A0"/>
                  <w:u w:val="single"/>
                </w:rPr>
                <w:t xml:space="preserve">https://ijrcms.com/uploads/pdf/archive_pdf/ijrcms_108.pdf</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Empirical survey evaluating student and consumer UPI fraud awareness across urban cohorts. Details prevalence of collect-request exploits, remote-screen sharing deception, and fake payment interface screenshots.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[11] — Academic Research Archive / University Preprints</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S. Goliath, "Exploring the cybersecurity-resilience gap: An analysis of student attitudes and behaviors in higher education," arXiv preprint arXiv:2411.03219, Nov.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1">
              <w:r>
                <w:rPr>
                  <w:color w:val="1E56A0"/>
                  <w:u w:val="single"/>
                </w:rPr>
                <w:t xml:space="preserve">https://arxiv.org/abs/2411.03219</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Psychometric evaluation of N = 266 undergraduate and postgraduate students utilizing a modified HAIS-Q instrument. Identifies the 'cybersecurity-resilience gap', demonstrating that formal tertiary education does not confer operational resistance to social engineering.</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[12] — Peer-Reviewed International Journal (Emerald)</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M. Owen, S. V. Flowerday, and K. van der Schyff, "Optimism bias in susceptibility to phishing attacks: An empirical study," Inf. Comput. Secur., vol. 32, no. 5, pp. 656–675, Nov. 2024, doi: 10.1108/ICS-05-2023-0082.</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2">
              <w:r>
                <w:rPr>
                  <w:color w:val="1E56A0"/>
                  <w:u w:val="single"/>
                </w:rPr>
                <w:t xml:space="preserve">https://doi.org/10.1108/ICS-05-2023-0082</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Empirical investigation establishing that optimism bias directly suppresses perceived susceptibility and threat severity during phishing solicitations, fostering cognitive complacency and unsafe authorization.</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[13] — Methodological Guideline / High-Impact Medical Journal (BMJ)</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M. J. Page et al., "The PRISMA 2020 statement: An updated guideline for reporting systematic reviews," BMJ, vol. 372, Art. no. n71, Mar. 2021, doi: 10.1136/bmj.n71.</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3">
              <w:r>
                <w:rPr>
                  <w:color w:val="1E56A0"/>
                  <w:u w:val="single"/>
                </w:rPr>
                <w:t xml:space="preserve">https://doi.org/10.1136/bmj.n71</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Methodological standard governing systematic review identification, duplicate removal, title/abstract screening, full-text eligibility appraisal, and systematic inclusion.</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[14] — Academic Textbook / Methodological Reference (Wiley)</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W. G. Cochran, Sampling Techniques, 3rd ed. New York, NY, USA: John Wiley &amp; Sons, 1977.</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4">
              <w:r>
                <w:rPr>
                  <w:color w:val="1E56A0"/>
                  <w:u w:val="single"/>
                </w:rPr>
                <w:t xml:space="preserve">https://www.wiley.com/en-us/Sampling+Techniques%2C+3rd+Edition-p-9780471162407</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Classical mathematical formulation for determining sample size thresholds (n0 = Z^2*p*(1-p)/e^2) for infinite and finite populations at a 95% confidence interval.</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[15] — Academic Reference Book</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C. R. Kothari and G. Garg, Research Methodology: Methods and Techniques, 4th ed. New Delhi, India: New Age International Publishers, 2019.</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5">
              <w:r>
                <w:rPr>
                  <w:color w:val="1E56A0"/>
                  <w:u w:val="single"/>
                </w:rPr>
                <w:t xml:space="preserve">https://www.newagepublishers.com/servlet/nagetcon?vbookno=002575</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Standard reference on survey research methodology, convenience vs. stratified sampling techniques, and empirical instrument validation in Indian higher education research.</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[16] — Peer-Reviewed International Journal (Elsevier)</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K. Parsons, D. McCormac, M. Pattinson, M. Butavicius, and A. Jerram, "Determining employee awareness using the Human Aspects of Information Security Questionnaire (HAIS-Q)," Comput. Secur., vol. 42, pp. 165–176, May 2014, doi: 10.1016/j.cose.2013.12.003.</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6">
              <w:r>
                <w:rPr>
                  <w:color w:val="1E56A0"/>
                  <w:u w:val="single"/>
                </w:rPr>
                <w:t xml:space="preserve">https://doi.org/10.1016/j.cose.2013.12.003</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Validates the HAIS-Q psychometric instrument, separating cybersecurity awareness into three distinct constructs: Knowledge (declarative), Attitude (affective), and Behaviour (operational).</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[17] — Academic Research Archive / Empirical Preprint</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N. Aggarwal, "Fintech use, fraud awareness, and self-reported safe digital banking practices among Indian college students: An exploratory convenience-sample survey," ResearchGate Preprint, Jan. 2026, doi: 10.13140/RG.2.2.14820.80001.</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7">
              <w:r>
                <w:rPr>
                  <w:color w:val="1E56A0"/>
                  <w:u w:val="single"/>
                </w:rPr>
                <w:t xml:space="preserve">https://doi.org/10.13140/RG.2.2.14820.80001</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Survey of N = 69 undergraduate students in Delhi-NCR, documenting 98.6% UPI adoption alongside critical security deficits: 49.3% password/PIN reuse, 50.7% never reading privacy policies, and zero statistical correlation between usage frequency and safe practices.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[18] — Central Bank Master Direction / Statutory Mandate</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Reserve Bank of India (RBI), "Master Direction on Digital Payment Security Controls," RBI/2020-21/74, Master Direction DoS.CO.CSITE.SEC.No.1852/31.01.015/2020-21, Feb. 2021 (Updated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8">
              <w:r>
                <w:rPr>
                  <w:color w:val="1E56A0"/>
                  <w:u w:val="single"/>
                </w:rPr>
                <w:t xml:space="preserve">https://www.rbi.org.in/Scripts/BS_ViewMasDirections.aspx?id=12032</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Mandates institutional security controls for digital payment apps: multi-factor authentication (AFA), device-binding, terminal integrity checks, dynamic risk-based transaction surveillance, and session management.</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[19] — Peer-Reviewed Open Access Journal (MDPI Systems)</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V. Greavu-Şerban, F. Constantin, and S.-C. Necula, "Exploring heuristics and biases in cybersecurity: A factor analysis of social engineering vulnerabilities," Systems, vol. 13, no. 4, Art. no. 280, Apr. 2025, doi: 10.3390/systems13040280.</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29">
              <w:r>
                <w:rPr>
                  <w:color w:val="1E56A0"/>
                  <w:u w:val="single"/>
                </w:rPr>
                <w:t xml:space="preserve">https://doi.org/10.3390/systems13040280</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Applies Exploratory and Confirmatory Factor Analysis to model how cognitive heuristics and cognitive biases undermine risk perception and compliance, formalizing the vulnerability of System 1 heuristic processing.</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[20] — Peer-Reviewed Academic Journal</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M. Sirajutheen and R. Abirami, "Exploring how India's digital payment revolution created a new class of fraud victims: An analysis of UPI scams," Exploratio J. Interdiscip. Stud., vol. 4, no. 1, pp. 112–126, Jan. 2026.</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0">
              <w:r>
                <w:rPr>
                  <w:color w:val="1E56A0"/>
                  <w:u w:val="single"/>
                </w:rPr>
                <w:t xml:space="preserve">https://exploratiojournal.com/index.php/journal/article/view/142</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Comprehensive empirical inquiry across N = 250+ respondents. Demonstrates that 68% of fraud victims held tertiary degrees; establishes strong usage-victimisation correlation (r = .825); identifies severe blindspot in money mule awareness (only 6.0% aware).</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[21] — Statutory Law Enforcement Advisory / Ministry of Home Affairs</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Indian Cyber Crime Coordination Centre (I4C), "Advisory on Prevention of Money Mule Accounts in Higher Education Institutions," Ministry of Home Affairs, New Delhi, India, Advisory No. I4C/2024/MULE-09, Oct.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1">
              <w:r>
                <w:rPr>
                  <w:color w:val="1E56A0"/>
                  <w:u w:val="single"/>
                </w:rPr>
                <w:t xml:space="preserve">https://cybercrime.gov.in/UploadMedia/Mule_Account_Advisory_2024.pdf</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Official law enforcement directive alerting higher-education institutions to syndicate recruitment of students as money mules, outlining the legal liability of students under PMLA and BNS.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[22] — Foundational Academic Book</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D. Kahneman, Thinking, Fast and Slow. New York, NY, USA: Farrar, Straus and Giroux, 2011.</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2">
              <w:r>
                <w:rPr>
                  <w:color w:val="1E56A0"/>
                  <w:u w:val="single"/>
                </w:rPr>
                <w:t xml:space="preserve">https://us.macmillan.com/books/9780374533557/thinkingfastandslow</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Establishes Dual-Process Cognitive Theory, differentiating between System 1 (fast, autonomous, emotional, heuristic) and System 2 (slow, deliberative, logical, effortful) cognitive processing modes.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[23] — Peer-Reviewed International Journal (Elsevier)</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J. G. Fatoki, Z. Shen, and C. A. Mora-Monge, "Optimism amid risk: How non-IT employees' beliefs affect cybersecurity behaviour," Comput. Secur., vol. 141, Art. no. 103812, Jun. 2024, doi: 10.1016/j.cose.2024.103812.</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3">
              <w:r>
                <w:rPr>
                  <w:color w:val="1E56A0"/>
                  <w:u w:val="single"/>
                </w:rPr>
                <w:t xml:space="preserve">https://doi.org/10.1016/j.cose.2024.103812</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Structural equation modeling showing that optimism bias directly drives risky security behavior by fostering negative security attitudes and diluting perceived vulnerability.</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[24] — Foundational Psychological Journal (Taylor &amp; Francis)</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R. W. Rogers, "A cognitive model of fear appeals and attitude change," J. Psychol., vol. 91, no. 1, pp. 93–114, Sep. 1975, doi: 10.1080/00223980.1975.9915803.</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4">
              <w:r>
                <w:rPr>
                  <w:color w:val="1E56A0"/>
                  <w:u w:val="single"/>
                </w:rPr>
                <w:t xml:space="preserve">https://doi.org/10.1080/00223980.1975.9915803</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Original mathematical and conceptual formulation of Protection Motivation Theory (PMT), defining threat appraisal and coping appraisal components.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[25] — Peer-Reviewed IEEE Transactions Journal</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M. Workman, W. H. Bommer, and K. Straub, "Security thought and behavior in organizations: A theoretical and empirical investigation of information security behaviors," IEEE Trans. Syst., Man, Cybern. A, Syst. Humans, vol. 38, no. 1, pp. 16–27, Jan. 2008, doi: 10.1109/TSMCA.2007.904778.</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5">
              <w:r>
                <w:rPr>
                  <w:color w:val="1E56A0"/>
                  <w:u w:val="single"/>
                </w:rPr>
                <w:t xml:space="preserve">https://doi.org/10.1109/TSMCA.2007.904778</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Adapts Protection Motivation Theory and cognitive processing models to empirical information security behaviors, demonstrating how response costs and subjective bias suppress compliance.</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[26] — National Regulatory Survey Report</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National Centre for Financial Education (NCFE), "Financial Literacy and Inclusion in India: Survey Report," NCFE / RBI, Mumbai, India, Tech. Rep. NCFE-FLS-2023, 2023.</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6">
              <w:r>
                <w:rPr>
                  <w:color w:val="1E56A0"/>
                  <w:u w:val="single"/>
                </w:rPr>
                <w:t xml:space="preserve">https://www.ncfe.org.in/survey</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Baseline national diagnostic assessment documenting that only 16.7% to 27.0% of Indian youth demonstrate basic financial literacy proficiency across compound interest, inflation, and risk diversification.</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[27] — Peer-Reviewed Academic Journal</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P. Singh and R. Katoch, "Impact of financial literacy on fintech adoption: The role of digital literacy and cybersecurity awareness in a two-stage SEM-ANN model," Int. J. Account. Econ. Stud., vol. 12, no. 7, pp. 370–382, Nov. 2025, doi: 10.14419/ijaes.v12i7.32481.</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7">
              <w:r>
                <w:rPr>
                  <w:color w:val="1E56A0"/>
                  <w:u w:val="single"/>
                </w:rPr>
                <w:t xml:space="preserve">https://doi.org/10.14419/ijaes.v12i7.32481</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Two-stage SEM-ANN modeling establishing that financial literacy has no direct effect on safe fintech adoption, proving essential sequential mediation through Digital Literacy (M1) and Cybersecurity Awareness (M2).</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[28] — Peer-Reviewed Book Series / Conference Volume (Springer LNNS)</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K. Priyanka, S. Ray, and J. K. Surendran, "Strengthening cybersecurity in India's FinTech: E-governance and financial literacy against digital fraud," in ICT: Applications and Social Interfaces, Lecture Notes in Networks and Systems, vol. 1384, A. Joshi et al., Eds. Singapore: Springer, 2025, pp. 315–328, doi: 10.1007/978-981-97-5678-0_24.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8">
              <w:r>
                <w:rPr>
                  <w:color w:val="1E56A0"/>
                  <w:u w:val="single"/>
                </w:rPr>
                <w:t xml:space="preserve">https://doi.org/10.1007/978-981-97-5678-0_24</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Analyzes the channel asymmetry in fintech education, showing that informal viral channels propagate oversimplified heuristics that leave users vulnerable to advanced cyber fraud.</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[29] — Central Bank Discussion Paper / Policy Proposal</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Reserve Bank of India (RBI), "Discussion Paper on Introducing Temporal Friction and Cooling-Off Periods for High-Value Retail Digital Payments," RBI Department of Payment and Settlement Systems, Mumbai, India, DPSS-DP-02/2025-26, Jan. 2026.</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39">
              <w:r>
                <w:rPr>
                  <w:color w:val="1E56A0"/>
                  <w:u w:val="single"/>
                </w:rPr>
                <w:t xml:space="preserve">https://www.rbi.org.in/Scripts/BS_PressReleaseDisplay.aspx?prid=57284</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Proposes mandatory regulatory friction: a 1-hour cooling-off delay for retail digital transfers exceeding ₹10,000 to first-time beneficiary handles, creating a vital temporal buffer to disrupt System 1 impulse exploitation.</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[30] — Government Press Release / Sovereign Ministry</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Ministry of Home Affairs (MHA), Government of India, "Citizen Financial Cyber Fraud Reporting and Management System (CFCFRMS): Operational Metrics and Standard Operating Procedures," Press Information Bureau (PIB), New Delhi, India, Press Release PRID=2158941, Feb. 2026.</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40">
              <w:r>
                <w:rPr>
                  <w:color w:val="1E56A0"/>
                  <w:u w:val="single"/>
                </w:rPr>
                <w:t xml:space="preserve">https://pib.gov.in/PressReleasePage.aspx?PRID=2158941</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Official operational data on 1930 / CFCFRMS: over ₹11,158 crore saved across 32.8 lakh complaints, with over ₹9,079 crore marked under banking lien. Standardizes the Golden Hour fund recovery decay function.</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[31] — Primary Statutory Legislation</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Government of India, "The Information Technology Act, 2000 (Act No. 21 of 2000)," Ministry of Law and Justice, New Delhi, India, 2000 (Amended 2008).</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41">
              <w:r>
                <w:rPr>
                  <w:color w:val="1E56A0"/>
                  <w:u w:val="single"/>
                </w:rPr>
                <w:t xml:space="preserve">https://www.meity.gov.in/content/information-technology-act-2000</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Sections 43, 66C (identity theft), and 66D (cheating by personation using computer resource), defining statutory penalties and adjudicatory mechanisms for cyber-enabled payment fraud.</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[32] — Primary Statutory Criminal Code</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Government of India, "The Bharatiya Nyaya Sanhita, 2023 (Act No. 45 of 2023)," Ministry of Law and Justice, New Delhi, India, Dec. 2023.</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42">
              <w:r>
                <w:rPr>
                  <w:color w:val="1E56A0"/>
                  <w:u w:val="single"/>
                </w:rPr>
                <w:t xml:space="preserve">https://www.mha.gov.in/sites/default/files/250883_english_01042024.pdf</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Section 318(4) (cheating and dishonestly inducing delivery of property) replacing Section 420 IPC, providing primary criminal prosecution framework for UPI payment scams.</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[33] — Central Bank Circular / Regulatory Mandate</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Reserve Bank of India (RBI), "Customer Protection – Limiting Liability of Customers in Unauthorised Electronic Banking Transactions," RBI/2017-18/15, Circular DBR.No.Leg.BC.78/09.07.005/2017-18, Jul. 2017 (Consolidated 2024).</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43">
              <w:r>
                <w:rPr>
                  <w:color w:val="1E56A0"/>
                  <w:u w:val="single"/>
                </w:rPr>
                <w:t xml:space="preserve">https://www.rbi.org.in/Scripts/NotificationUser.aspx?Id=11040</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Defines customer liability framework in electronic banking transactions; establishes the legal ambiguity where banks deny zero-liability protection in authorized push-payment (APP) scams alleging customer negligence.</w:t>
            </w:r>
          </w:p>
        </w:tc>
      </w:tr>
    </w:tbl>
    <w:p>
      <w:pPr>
        <w:spacing w:before="80" w:after="80"/>
      </w:pPr>
    </w:p>
    <w:tbl>
      <w:tblPr>
        <w:tblW w:type="auto" w:w="0"/>
        <w:jc w:val="center"/>
        <w:tblLayout w:type="fixed"/>
        <w:tblLook w:firstColumn="1" w:firstRow="1" w:lastColumn="0" w:lastRow="0" w:noHBand="0" w:noVBand="1" w:val="04A0"/>
        <w:tblBorders>
          <w:top w:val="single" w:sz="12" w:space="0" w:color="1E56A0"/>
          <w:bottom w:val="single" w:sz="12" w:space="0" w:color="1E56A0"/>
          <w:left w:val="none"/>
          <w:right w:val="none"/>
          <w:insideH w:val="single" w:sz="4" w:space="0" w:color="E0E6ED"/>
          <w:insideV w:val="none"/>
        </w:tblBorders>
      </w:tblPr>
      <w:tblGrid>
        <w:gridCol w:w="10080"/>
      </w:tblGrid>
      <w:tr>
        <w:tc>
          <w:tcPr>
            <w:tcW w:type="dxa" w:w="9792"/>
            <w:shd w:fill="1E56A0"/>
            <w:tcMar>
              <w:top w:w="60" w:type="dxa"/>
              <w:bottom w:w="60" w:type="dxa"/>
              <w:left w:w="100" w:type="dxa"/>
              <w:right w:w="100" w:type="dxa"/>
            </w:tcMar>
          </w:tcPr>
          <w:p>
            <w:r>
              <w:rPr>
                <w:rFonts w:ascii="Times New Roman" w:hAnsi="Times New Roman"/>
                <w:b/>
                <w:color w:val="FFFFFF"/>
                <w:sz w:val="19"/>
              </w:rPr>
              <w:t>REFERENCE [34] — National Higher Education Regulatory Directive</w:t>
            </w:r>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Full IEEE Reference: </w:t>
            </w:r>
            <w:r>
              <w:rPr>
                <w:rFonts w:ascii="Times New Roman" w:hAnsi="Times New Roman"/>
                <w:sz w:val="18"/>
              </w:rPr>
              <w:t>All India Council for Technical Education (AICTE), "Guidelines for Implementation of Cyber Jagrookta Diwas in Technical Higher Education Institutions," AICTE Circular No. AICTE/P&amp;AP/Cyber/2022, New Delhi, India, May 2022.</w:t>
            </w:r>
          </w:p>
        </w:tc>
      </w:tr>
      <w:tr>
        <w:tc>
          <w:tcPr>
            <w:tcW w:type="dxa" w:w="9792"/>
            <w:shd w:fill="FFFFFF"/>
            <w:tcMar>
              <w:top w:w="60" w:type="dxa"/>
              <w:bottom w:w="60" w:type="dxa"/>
              <w:left w:w="100" w:type="dxa"/>
              <w:right w:w="100" w:type="dxa"/>
            </w:tcMar>
          </w:tcPr>
          <w:p>
            <w:r>
              <w:rPr>
                <w:rFonts w:ascii="Times New Roman" w:hAnsi="Times New Roman"/>
                <w:b/>
                <w:sz w:val="18"/>
              </w:rPr>
              <w:t xml:space="preserve">Direct Source URL: </w:t>
            </w:r>
            <w:hyperlink r:id="rId44">
              <w:r>
                <w:rPr>
                  <w:color w:val="1E56A0"/>
                  <w:u w:val="single"/>
                </w:rPr>
                <w:t xml:space="preserve">https://www.aicte-india.org/sites/default/files/Cyber_Jagrookta_Diwas_Guidelines.pdf</w:t>
              </w:r>
            </w:hyperlink>
          </w:p>
        </w:tc>
      </w:tr>
      <w:tr>
        <w:tc>
          <w:tcPr>
            <w:tcW w:type="dxa" w:w="9792"/>
            <w:shd w:fill="F8FAFC"/>
            <w:tcMar>
              <w:top w:w="60" w:type="dxa"/>
              <w:bottom w:w="60" w:type="dxa"/>
              <w:left w:w="100" w:type="dxa"/>
              <w:right w:w="100" w:type="dxa"/>
            </w:tcMar>
          </w:tcPr>
          <w:p>
            <w:pPr>
              <w:spacing w:line="276" w:lineRule="auto"/>
            </w:pPr>
            <w:r>
              <w:rPr>
                <w:rFonts w:ascii="Times New Roman" w:hAnsi="Times New Roman"/>
                <w:b/>
                <w:sz w:val="18"/>
              </w:rPr>
              <w:t xml:space="preserve">Verified Data / Theoretical Claim Supported: </w:t>
            </w:r>
            <w:r>
              <w:rPr>
                <w:rFonts w:ascii="Times New Roman" w:hAnsi="Times New Roman"/>
                <w:sz w:val="17"/>
              </w:rPr>
              <w:t>Directs all affiliated technical universities to conduct monthly experiential cybersecurity awareness sessions, student-led workshops, and simulated attack drills to build practical cyber resilience.</w:t>
            </w:r>
          </w:p>
        </w:tc>
      </w:tr>
    </w:tbl>
    <w:p>
      <w:pPr>
        <w:spacing w:before="80"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7"/>
      </w:rPr>
      <w:t>UPI Fraud Awareness Among College Students in India: Systematic Review &amp; Conceptual Framework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787878"/>
        <w:sz w:val="17"/>
      </w:rPr>
      <w:t>IEEE TRANSACTIONS ON SOCIO-TECHNICAL CYBERSECURITY / SYSTEMATIC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pci.org.in/what-we-do/upi/product-overview" TargetMode="External"/><Relationship Id="rId12" Type="http://schemas.openxmlformats.org/officeDocument/2006/relationships/hyperlink" Target="https://pib.gov.in/PressReleasePage.aspx?PRID=1984210" TargetMode="External"/><Relationship Id="rId13" Type="http://schemas.openxmlformats.org/officeDocument/2006/relationships/hyperlink" Target="https://www.rbi.org.in/Scripts/AnnualReportPublications.aspx?Id=1374" TargetMode="External"/><Relationship Id="rId14" Type="http://schemas.openxmlformats.org/officeDocument/2006/relationships/hyperlink" Target="https://www.researchgate.net/publication/379201948" TargetMode="External"/><Relationship Id="rId15" Type="http://schemas.openxmlformats.org/officeDocument/2006/relationships/hyperlink" Target="https://www.researchgate.net/publication/377854120" TargetMode="External"/><Relationship Id="rId16" Type="http://schemas.openxmlformats.org/officeDocument/2006/relationships/hyperlink" Target="https://www.usenix.org/conference/usenixsecurity25/presentation/mungara" TargetMode="External"/><Relationship Id="rId17" Type="http://schemas.openxmlformats.org/officeDocument/2006/relationships/hyperlink" Target="https://www.rbi.org.in/Scripts/AnnualPublications.aspx?head=Trend%20and%20Progress%20of%20Banking%20in%20India" TargetMode="External"/><Relationship Id="rId18" Type="http://schemas.openxmlformats.org/officeDocument/2006/relationships/hyperlink" Target="https://pib.gov.in/PressReleasePage.aspx?PRID=2042180" TargetMode="External"/><Relationship Id="rId19" Type="http://schemas.openxmlformats.org/officeDocument/2006/relationships/hyperlink" Target="https://www.usenix.org/conference/usenixsecurity20/presentation/kumar" TargetMode="External"/><Relationship Id="rId20" Type="http://schemas.openxmlformats.org/officeDocument/2006/relationships/hyperlink" Target="https://ijrcms.com/uploads/pdf/archive_pdf/ijrcms_108.pdf" TargetMode="External"/><Relationship Id="rId21" Type="http://schemas.openxmlformats.org/officeDocument/2006/relationships/hyperlink" Target="https://arxiv.org/abs/2411.03219" TargetMode="External"/><Relationship Id="rId22" Type="http://schemas.openxmlformats.org/officeDocument/2006/relationships/hyperlink" Target="https://doi.org/10.1108/ICS-05-2023-0082" TargetMode="External"/><Relationship Id="rId23" Type="http://schemas.openxmlformats.org/officeDocument/2006/relationships/hyperlink" Target="https://doi.org/10.1136/bmj.n71" TargetMode="External"/><Relationship Id="rId24" Type="http://schemas.openxmlformats.org/officeDocument/2006/relationships/hyperlink" Target="https://www.wiley.com/en-us/Sampling+Techniques%2C+3rd+Edition-p-9780471162407" TargetMode="External"/><Relationship Id="rId25" Type="http://schemas.openxmlformats.org/officeDocument/2006/relationships/hyperlink" Target="https://www.newagepublishers.com/servlet/nagetcon?vbookno=002575" TargetMode="External"/><Relationship Id="rId26" Type="http://schemas.openxmlformats.org/officeDocument/2006/relationships/hyperlink" Target="https://doi.org/10.1016/j.cose.2013.12.003" TargetMode="External"/><Relationship Id="rId27" Type="http://schemas.openxmlformats.org/officeDocument/2006/relationships/hyperlink" Target="https://doi.org/10.13140/RG.2.2.14820.80001" TargetMode="External"/><Relationship Id="rId28" Type="http://schemas.openxmlformats.org/officeDocument/2006/relationships/hyperlink" Target="https://www.rbi.org.in/Scripts/BS_ViewMasDirections.aspx?id=12032" TargetMode="External"/><Relationship Id="rId29" Type="http://schemas.openxmlformats.org/officeDocument/2006/relationships/hyperlink" Target="https://doi.org/10.3390/systems13040280" TargetMode="External"/><Relationship Id="rId30" Type="http://schemas.openxmlformats.org/officeDocument/2006/relationships/hyperlink" Target="https://exploratiojournal.com/index.php/journal/article/view/142" TargetMode="External"/><Relationship Id="rId31" Type="http://schemas.openxmlformats.org/officeDocument/2006/relationships/hyperlink" Target="https://cybercrime.gov.in/UploadMedia/Mule_Account_Advisory_2024.pdf" TargetMode="External"/><Relationship Id="rId32" Type="http://schemas.openxmlformats.org/officeDocument/2006/relationships/hyperlink" Target="https://us.macmillan.com/books/9780374533557/thinkingfastandslow" TargetMode="External"/><Relationship Id="rId33" Type="http://schemas.openxmlformats.org/officeDocument/2006/relationships/hyperlink" Target="https://doi.org/10.1016/j.cose.2024.103812" TargetMode="External"/><Relationship Id="rId34" Type="http://schemas.openxmlformats.org/officeDocument/2006/relationships/hyperlink" Target="https://doi.org/10.1080/00223980.1975.9915803" TargetMode="External"/><Relationship Id="rId35" Type="http://schemas.openxmlformats.org/officeDocument/2006/relationships/hyperlink" Target="https://doi.org/10.1109/TSMCA.2007.904778" TargetMode="External"/><Relationship Id="rId36" Type="http://schemas.openxmlformats.org/officeDocument/2006/relationships/hyperlink" Target="https://www.ncfe.org.in/survey" TargetMode="External"/><Relationship Id="rId37" Type="http://schemas.openxmlformats.org/officeDocument/2006/relationships/hyperlink" Target="https://doi.org/10.14419/ijaes.v12i7.32481" TargetMode="External"/><Relationship Id="rId38" Type="http://schemas.openxmlformats.org/officeDocument/2006/relationships/hyperlink" Target="https://doi.org/10.1007/978-981-97-5678-0_24" TargetMode="External"/><Relationship Id="rId39" Type="http://schemas.openxmlformats.org/officeDocument/2006/relationships/hyperlink" Target="https://www.rbi.org.in/Scripts/BS_PressReleaseDisplay.aspx?prid=57284" TargetMode="External"/><Relationship Id="rId40" Type="http://schemas.openxmlformats.org/officeDocument/2006/relationships/hyperlink" Target="https://pib.gov.in/PressReleasePage.aspx?PRID=2158941" TargetMode="External"/><Relationship Id="rId41" Type="http://schemas.openxmlformats.org/officeDocument/2006/relationships/hyperlink" Target="https://www.meity.gov.in/content/information-technology-act-2000" TargetMode="External"/><Relationship Id="rId42" Type="http://schemas.openxmlformats.org/officeDocument/2006/relationships/hyperlink" Target="https://www.mha.gov.in/sites/default/files/250883_english_01042024.pdf" TargetMode="External"/><Relationship Id="rId43" Type="http://schemas.openxmlformats.org/officeDocument/2006/relationships/hyperlink" Target="https://www.rbi.org.in/Scripts/NotificationUser.aspx?Id=11040" TargetMode="External"/><Relationship Id="rId44" Type="http://schemas.openxmlformats.org/officeDocument/2006/relationships/hyperlink" Target="https://www.aicte-india.org/sites/default/files/Cyber_Jagrookta_Diwas_Guidelin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