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7B7D" w14:textId="3073DA35" w:rsidR="00BD3BCD" w:rsidRPr="00A95B58" w:rsidRDefault="004A240E" w:rsidP="00A95B58">
      <w:pPr>
        <w:pStyle w:val="Heading1"/>
        <w:rPr>
          <w:b/>
          <w:bCs/>
          <w:i/>
          <w:iCs/>
          <w:lang w:val="en-US"/>
        </w:rPr>
      </w:pPr>
      <w:r w:rsidRPr="00A95B58">
        <w:rPr>
          <w:b/>
          <w:bCs/>
          <w:i/>
          <w:iCs/>
          <w:lang w:val="en-US"/>
        </w:rPr>
        <w:t>Sales Funnel Analysis SQL Queries</w:t>
      </w:r>
    </w:p>
    <w:p w14:paraId="41660ADB" w14:textId="77777777" w:rsidR="004A240E" w:rsidRPr="00A95B58" w:rsidRDefault="004A240E" w:rsidP="004A240E">
      <w:pPr>
        <w:rPr>
          <w:rFonts w:ascii="Times New Roman" w:hAnsi="Times New Roman" w:cs="Times New Roman"/>
          <w:lang w:val="en-US"/>
        </w:rPr>
      </w:pPr>
    </w:p>
    <w:p w14:paraId="4BB0C770" w14:textId="77777777" w:rsidR="004A240E" w:rsidRPr="00A95B58" w:rsidRDefault="004A240E" w:rsidP="004A240E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1. Defining Sales Funnel Stages</w:t>
      </w:r>
    </w:p>
    <w:p w14:paraId="57DFE2D0" w14:textId="1DD35A15" w:rsidR="004A240E" w:rsidRPr="00A95B58" w:rsidRDefault="004A240E" w:rsidP="004A240E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t>Counts unique users at each milestone in the purchasing pipeline over the last 30 days to measure baseline audience volume across every step of the sales funnel.</w:t>
      </w:r>
    </w:p>
    <w:p w14:paraId="6DC77833" w14:textId="77777777" w:rsidR="004A240E" w:rsidRPr="00A95B58" w:rsidRDefault="004A240E" w:rsidP="004A240E">
      <w:pPr>
        <w:rPr>
          <w:rFonts w:ascii="Times New Roman" w:hAnsi="Times New Roman" w:cs="Times New Roman"/>
        </w:rPr>
      </w:pPr>
    </w:p>
    <w:p w14:paraId="65FF9A73" w14:textId="6E70AC8E" w:rsidR="004A240E" w:rsidRPr="00A95B58" w:rsidRDefault="004A240E" w:rsidP="004A240E">
      <w:pPr>
        <w:rPr>
          <w:rFonts w:ascii="Times New Roman" w:hAnsi="Times New Roman" w:cs="Times New Roman"/>
          <w:lang w:val="en-US"/>
        </w:rPr>
      </w:pPr>
      <w:r w:rsidRPr="00A95B58">
        <w:rPr>
          <w:rFonts w:ascii="Times New Roman" w:hAnsi="Times New Roman" w:cs="Times New Roman"/>
          <w:lang w:val="en-US"/>
        </w:rPr>
        <w:drawing>
          <wp:inline distT="0" distB="0" distL="0" distR="0" wp14:anchorId="7398B686" wp14:editId="34521769">
            <wp:extent cx="5731510" cy="728980"/>
            <wp:effectExtent l="0" t="0" r="2540" b="0"/>
            <wp:docPr id="13521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3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E33A" w14:textId="77777777" w:rsidR="004A240E" w:rsidRPr="00A95B58" w:rsidRDefault="004A240E" w:rsidP="004A240E">
      <w:pPr>
        <w:rPr>
          <w:rFonts w:ascii="Times New Roman" w:hAnsi="Times New Roman" w:cs="Times New Roman"/>
          <w:lang w:val="en-US"/>
        </w:rPr>
      </w:pPr>
    </w:p>
    <w:p w14:paraId="09F1B4C5" w14:textId="77777777" w:rsidR="004A240E" w:rsidRPr="00A95B58" w:rsidRDefault="004A240E" w:rsidP="004A240E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2. Conversion Rate Analysis</w:t>
      </w:r>
    </w:p>
    <w:p w14:paraId="18B09DF2" w14:textId="75950071" w:rsidR="004A240E" w:rsidRPr="00A95B58" w:rsidRDefault="004A240E" w:rsidP="004A240E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t>Calculates the step-by-step progression percentages between consecutive funnel stages to pinpoint friction points and user drop-off rates across the purchase journey.</w:t>
      </w:r>
    </w:p>
    <w:p w14:paraId="42BA217B" w14:textId="77777777" w:rsidR="004A240E" w:rsidRPr="00A95B58" w:rsidRDefault="004A240E" w:rsidP="004A240E">
      <w:pPr>
        <w:rPr>
          <w:rFonts w:ascii="Times New Roman" w:hAnsi="Times New Roman" w:cs="Times New Roman"/>
          <w:lang w:val="en-US"/>
        </w:rPr>
      </w:pPr>
    </w:p>
    <w:p w14:paraId="373CDB81" w14:textId="5029B965" w:rsidR="004A240E" w:rsidRPr="00A95B58" w:rsidRDefault="00A3265B" w:rsidP="004A240E">
      <w:pPr>
        <w:rPr>
          <w:rFonts w:ascii="Times New Roman" w:hAnsi="Times New Roman" w:cs="Times New Roman"/>
          <w:lang w:val="en-US"/>
        </w:rPr>
      </w:pPr>
      <w:r w:rsidRPr="00A95B58">
        <w:rPr>
          <w:rFonts w:ascii="Times New Roman" w:hAnsi="Times New Roman" w:cs="Times New Roman"/>
          <w:lang w:val="en-US"/>
        </w:rPr>
        <w:drawing>
          <wp:inline distT="0" distB="0" distL="0" distR="0" wp14:anchorId="6E4BAD35" wp14:editId="1B8F1141">
            <wp:extent cx="6370320" cy="510540"/>
            <wp:effectExtent l="0" t="0" r="0" b="3810"/>
            <wp:docPr id="12640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8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5C2" w14:textId="77777777" w:rsidR="00A3265B" w:rsidRPr="00A95B58" w:rsidRDefault="00A3265B" w:rsidP="004A240E">
      <w:pPr>
        <w:rPr>
          <w:rFonts w:ascii="Times New Roman" w:hAnsi="Times New Roman" w:cs="Times New Roman"/>
          <w:lang w:val="en-US"/>
        </w:rPr>
      </w:pPr>
    </w:p>
    <w:p w14:paraId="443BC9E0" w14:textId="77777777" w:rsidR="00A3265B" w:rsidRPr="00A95B58" w:rsidRDefault="00A3265B" w:rsidP="00A3265B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3. Marketing Channel Effectiveness</w:t>
      </w:r>
    </w:p>
    <w:p w14:paraId="44BC7289" w14:textId="1EEFD1E7" w:rsidR="00A3265B" w:rsidRPr="00A95B58" w:rsidRDefault="00A3265B" w:rsidP="00A3265B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t>Evaluates user acquisition channels (Organic, Paid Ads, Email, Social) across traffic volume, cart additions, and final purchases to identify which traffic sources generate the highest conversion efficiency.</w:t>
      </w:r>
    </w:p>
    <w:p w14:paraId="4823F7C7" w14:textId="77777777" w:rsidR="00A3265B" w:rsidRPr="00A95B58" w:rsidRDefault="00A3265B" w:rsidP="00A3265B">
      <w:pPr>
        <w:rPr>
          <w:rFonts w:ascii="Times New Roman" w:hAnsi="Times New Roman" w:cs="Times New Roman"/>
        </w:rPr>
      </w:pPr>
    </w:p>
    <w:p w14:paraId="48CC5F5F" w14:textId="74EA6422" w:rsidR="00A3265B" w:rsidRPr="00A95B58" w:rsidRDefault="00A3265B" w:rsidP="00A3265B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drawing>
          <wp:inline distT="0" distB="0" distL="0" distR="0" wp14:anchorId="5F105D7E" wp14:editId="7AC3E301">
            <wp:extent cx="5731510" cy="1816100"/>
            <wp:effectExtent l="0" t="0" r="2540" b="0"/>
            <wp:docPr id="133756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D166" w14:textId="77777777" w:rsidR="00A3265B" w:rsidRDefault="00A3265B" w:rsidP="004A240E">
      <w:pPr>
        <w:rPr>
          <w:rFonts w:ascii="Times New Roman" w:hAnsi="Times New Roman" w:cs="Times New Roman"/>
          <w:lang w:val="en-US"/>
        </w:rPr>
      </w:pPr>
    </w:p>
    <w:p w14:paraId="6C8E5048" w14:textId="77777777" w:rsidR="00A95B58" w:rsidRPr="00A95B58" w:rsidRDefault="00A95B58" w:rsidP="004A240E">
      <w:pPr>
        <w:rPr>
          <w:rFonts w:ascii="Times New Roman" w:hAnsi="Times New Roman" w:cs="Times New Roman"/>
          <w:lang w:val="en-US"/>
        </w:rPr>
      </w:pPr>
    </w:p>
    <w:p w14:paraId="41825638" w14:textId="77777777" w:rsidR="00A3265B" w:rsidRPr="00A95B58" w:rsidRDefault="00A3265B" w:rsidP="00A3265B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4. Time to Conversion Analysis</w:t>
      </w:r>
    </w:p>
    <w:p w14:paraId="40326927" w14:textId="0A7AC8B2" w:rsidR="00A3265B" w:rsidRPr="00A95B58" w:rsidRDefault="00A3265B" w:rsidP="00A3265B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t>Measures the average duration in minutes taken by users to move from product view to cart addition, and from cart addition to final purchase completion.</w:t>
      </w:r>
    </w:p>
    <w:p w14:paraId="43A3A1F8" w14:textId="77777777" w:rsidR="00A3265B" w:rsidRPr="00A95B58" w:rsidRDefault="00A3265B" w:rsidP="004A240E">
      <w:pPr>
        <w:rPr>
          <w:rFonts w:ascii="Times New Roman" w:hAnsi="Times New Roman" w:cs="Times New Roman"/>
          <w:lang w:val="en-US"/>
        </w:rPr>
      </w:pPr>
    </w:p>
    <w:p w14:paraId="6A3BCCE7" w14:textId="5730C873" w:rsidR="00A3265B" w:rsidRPr="00A95B58" w:rsidRDefault="00A3265B" w:rsidP="004A240E">
      <w:pPr>
        <w:rPr>
          <w:rFonts w:ascii="Times New Roman" w:hAnsi="Times New Roman" w:cs="Times New Roman"/>
          <w:lang w:val="en-US"/>
        </w:rPr>
      </w:pPr>
      <w:r w:rsidRPr="00A95B58">
        <w:rPr>
          <w:rFonts w:ascii="Times New Roman" w:hAnsi="Times New Roman" w:cs="Times New Roman"/>
          <w:lang w:val="en-US"/>
        </w:rPr>
        <w:drawing>
          <wp:inline distT="0" distB="0" distL="0" distR="0" wp14:anchorId="4238232A" wp14:editId="7EA9E7DB">
            <wp:extent cx="5591955" cy="1352739"/>
            <wp:effectExtent l="0" t="0" r="0" b="0"/>
            <wp:docPr id="188175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6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8CEE" w14:textId="77777777" w:rsidR="00A3265B" w:rsidRPr="00A95B58" w:rsidRDefault="00A3265B" w:rsidP="004A240E">
      <w:pPr>
        <w:rPr>
          <w:rFonts w:ascii="Times New Roman" w:hAnsi="Times New Roman" w:cs="Times New Roman"/>
          <w:lang w:val="en-US"/>
        </w:rPr>
      </w:pPr>
    </w:p>
    <w:p w14:paraId="5495864E" w14:textId="77777777" w:rsidR="00A3265B" w:rsidRPr="00A95B58" w:rsidRDefault="00A3265B" w:rsidP="004A240E">
      <w:pPr>
        <w:rPr>
          <w:rFonts w:ascii="Times New Roman" w:hAnsi="Times New Roman" w:cs="Times New Roman"/>
          <w:lang w:val="en-US"/>
        </w:rPr>
      </w:pPr>
    </w:p>
    <w:p w14:paraId="41536DFC" w14:textId="77777777" w:rsidR="00A3265B" w:rsidRPr="00A95B58" w:rsidRDefault="00A3265B" w:rsidP="00A3265B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5. Revenue Funnel Metrics</w:t>
      </w:r>
    </w:p>
    <w:p w14:paraId="38AF308B" w14:textId="0FA2B74F" w:rsidR="00A3265B" w:rsidRPr="00A95B58" w:rsidRDefault="00A3265B" w:rsidP="00A3265B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t xml:space="preserve">Aggregates overall financial performance and purchasing </w:t>
      </w:r>
      <w:proofErr w:type="spellStart"/>
      <w:r w:rsidRPr="00A95B58">
        <w:rPr>
          <w:rFonts w:ascii="Times New Roman" w:hAnsi="Times New Roman" w:cs="Times New Roman"/>
        </w:rPr>
        <w:t>behavior</w:t>
      </w:r>
      <w:proofErr w:type="spellEnd"/>
      <w:r w:rsidRPr="00A95B58">
        <w:rPr>
          <w:rFonts w:ascii="Times New Roman" w:hAnsi="Times New Roman" w:cs="Times New Roman"/>
        </w:rPr>
        <w:t xml:space="preserve"> to calculate key commercial KPIs, including total buyers, total revenue, completed orders, and Average Order Value (AOV).</w:t>
      </w:r>
    </w:p>
    <w:p w14:paraId="0A4D6A64" w14:textId="77777777" w:rsidR="00A3265B" w:rsidRPr="00A95B58" w:rsidRDefault="00A3265B" w:rsidP="00A3265B">
      <w:pPr>
        <w:rPr>
          <w:rFonts w:ascii="Times New Roman" w:hAnsi="Times New Roman" w:cs="Times New Roman"/>
        </w:rPr>
      </w:pPr>
    </w:p>
    <w:p w14:paraId="655830D5" w14:textId="00E23CDB" w:rsidR="00A3265B" w:rsidRPr="00A95B58" w:rsidRDefault="00A3265B" w:rsidP="00A3265B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drawing>
          <wp:inline distT="0" distB="0" distL="0" distR="0" wp14:anchorId="024554EF" wp14:editId="23E27D1C">
            <wp:extent cx="5731510" cy="1162685"/>
            <wp:effectExtent l="0" t="0" r="2540" b="0"/>
            <wp:docPr id="12584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FDB1" w14:textId="77777777" w:rsidR="00A3265B" w:rsidRPr="00A95B58" w:rsidRDefault="00A3265B" w:rsidP="00A3265B">
      <w:pPr>
        <w:rPr>
          <w:rFonts w:ascii="Times New Roman" w:hAnsi="Times New Roman" w:cs="Times New Roman"/>
        </w:rPr>
      </w:pPr>
    </w:p>
    <w:p w14:paraId="4904D33A" w14:textId="77777777" w:rsidR="00A3265B" w:rsidRPr="00A95B58" w:rsidRDefault="00A3265B" w:rsidP="00A3265B">
      <w:pPr>
        <w:rPr>
          <w:rFonts w:ascii="Times New Roman" w:hAnsi="Times New Roman" w:cs="Times New Roman"/>
          <w:b/>
          <w:bCs/>
        </w:rPr>
      </w:pPr>
    </w:p>
    <w:p w14:paraId="13D48317" w14:textId="38C6C89B" w:rsidR="00A95B58" w:rsidRPr="00A95B58" w:rsidRDefault="00A3265B" w:rsidP="00A95B58">
      <w:pPr>
        <w:pStyle w:val="Heading2"/>
        <w:rPr>
          <w:b/>
          <w:bCs/>
          <w:i/>
          <w:iCs/>
        </w:rPr>
      </w:pPr>
      <w:r w:rsidRPr="00A95B58">
        <w:rPr>
          <w:b/>
          <w:bCs/>
          <w:i/>
          <w:iCs/>
        </w:rPr>
        <w:t>Executive Summary &amp; Key Insights</w:t>
      </w:r>
    </w:p>
    <w:p w14:paraId="5C43391E" w14:textId="77777777" w:rsidR="00A95B58" w:rsidRPr="00A95B58" w:rsidRDefault="00A95B58" w:rsidP="00A95B58"/>
    <w:p w14:paraId="59AC4C6F" w14:textId="63A3893B" w:rsidR="00A3265B" w:rsidRPr="00A95B58" w:rsidRDefault="00A3265B" w:rsidP="00A3265B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1. Website Optimization (UX)</w:t>
      </w:r>
    </w:p>
    <w:p w14:paraId="41FD26C6" w14:textId="77777777" w:rsidR="00A3265B" w:rsidRPr="00A95B58" w:rsidRDefault="00A3265B" w:rsidP="00A3265B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t xml:space="preserve">Our final payment-to-purchase conversion rate is exceptionally strong at </w:t>
      </w:r>
      <w:r w:rsidRPr="00A95B58">
        <w:rPr>
          <w:rFonts w:ascii="Times New Roman" w:hAnsi="Times New Roman" w:cs="Times New Roman"/>
          <w:b/>
          <w:bCs/>
        </w:rPr>
        <w:t>92%</w:t>
      </w:r>
      <w:r w:rsidRPr="00A95B58">
        <w:rPr>
          <w:rFonts w:ascii="Times New Roman" w:hAnsi="Times New Roman" w:cs="Times New Roman"/>
        </w:rPr>
        <w:t xml:space="preserve">, showing that users who enter payment details complete their transactions with minimal friction. This indicates that the lower end of the checkout flow is technically sound and user-friendly. Because this stage is already operating near peak efficiency, </w:t>
      </w:r>
      <w:r w:rsidRPr="00A95B58">
        <w:rPr>
          <w:rFonts w:ascii="Times New Roman" w:hAnsi="Times New Roman" w:cs="Times New Roman"/>
          <w:b/>
          <w:bCs/>
        </w:rPr>
        <w:t xml:space="preserve">no major UX changes or </w:t>
      </w:r>
      <w:r w:rsidRPr="00A95B58">
        <w:rPr>
          <w:rFonts w:ascii="Times New Roman" w:hAnsi="Times New Roman" w:cs="Times New Roman"/>
          <w:b/>
          <w:bCs/>
        </w:rPr>
        <w:lastRenderedPageBreak/>
        <w:t>redesigns are recommended for the final payment pages</w:t>
      </w:r>
      <w:r w:rsidRPr="00A95B58">
        <w:rPr>
          <w:rFonts w:ascii="Times New Roman" w:hAnsi="Times New Roman" w:cs="Times New Roman"/>
        </w:rPr>
        <w:t>, as tweaking this step risks introducing unnecessary friction.</w:t>
      </w:r>
    </w:p>
    <w:p w14:paraId="27C55BB7" w14:textId="77777777" w:rsidR="00A3265B" w:rsidRPr="00A95B58" w:rsidRDefault="00A3265B" w:rsidP="00A3265B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2. Marketing Channel Effectiveness</w:t>
      </w:r>
    </w:p>
    <w:p w14:paraId="595C3087" w14:textId="77777777" w:rsidR="00A3265B" w:rsidRPr="00A95B58" w:rsidRDefault="00A3265B" w:rsidP="00A3265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95B58">
        <w:rPr>
          <w:rFonts w:ascii="Times New Roman" w:hAnsi="Times New Roman" w:cs="Times New Roman"/>
          <w:b/>
          <w:bCs/>
        </w:rPr>
        <w:t>Social Media</w:t>
      </w:r>
      <w:proofErr w:type="gramEnd"/>
      <w:r w:rsidRPr="00A95B58">
        <w:rPr>
          <w:rFonts w:ascii="Times New Roman" w:hAnsi="Times New Roman" w:cs="Times New Roman"/>
          <w:b/>
          <w:bCs/>
        </w:rPr>
        <w:t xml:space="preserve"> (High Volume, Low Intent):</w:t>
      </w:r>
      <w:r w:rsidRPr="00A95B58">
        <w:rPr>
          <w:rFonts w:ascii="Times New Roman" w:hAnsi="Times New Roman" w:cs="Times New Roman"/>
        </w:rPr>
        <w:t xml:space="preserve"> </w:t>
      </w:r>
      <w:proofErr w:type="gramStart"/>
      <w:r w:rsidRPr="00A95B58">
        <w:rPr>
          <w:rFonts w:ascii="Times New Roman" w:hAnsi="Times New Roman" w:cs="Times New Roman"/>
        </w:rPr>
        <w:t>Social media</w:t>
      </w:r>
      <w:proofErr w:type="gramEnd"/>
      <w:r w:rsidRPr="00A95B58">
        <w:rPr>
          <w:rFonts w:ascii="Times New Roman" w:hAnsi="Times New Roman" w:cs="Times New Roman"/>
        </w:rPr>
        <w:t xml:space="preserve"> drives significant top-of-funnel traffic (1,472 views), but yields a low cart-addition rate (13.59%) and an overall view-to-purchase rate of just </w:t>
      </w:r>
      <w:r w:rsidRPr="00A95B58">
        <w:rPr>
          <w:rFonts w:ascii="Times New Roman" w:hAnsi="Times New Roman" w:cs="Times New Roman"/>
          <w:b/>
          <w:bCs/>
        </w:rPr>
        <w:t>6.93%</w:t>
      </w:r>
      <w:r w:rsidRPr="00A95B58">
        <w:rPr>
          <w:rFonts w:ascii="Times New Roman" w:hAnsi="Times New Roman" w:cs="Times New Roman"/>
        </w:rPr>
        <w:t xml:space="preserve">. High view volume on social acts primarily as a vanity metric rather than a revenue driver. We recommend auditing </w:t>
      </w:r>
      <w:proofErr w:type="spellStart"/>
      <w:r w:rsidRPr="00A95B58">
        <w:rPr>
          <w:rFonts w:ascii="Times New Roman" w:hAnsi="Times New Roman" w:cs="Times New Roman"/>
        </w:rPr>
        <w:t>ad</w:t>
      </w:r>
      <w:proofErr w:type="spellEnd"/>
      <w:r w:rsidRPr="00A95B58">
        <w:rPr>
          <w:rFonts w:ascii="Times New Roman" w:hAnsi="Times New Roman" w:cs="Times New Roman"/>
        </w:rPr>
        <w:t xml:space="preserve"> creative and potentially shifting budget away from broad social targeting toward higher-converting channels.</w:t>
      </w:r>
    </w:p>
    <w:p w14:paraId="40BE9BF6" w14:textId="77777777" w:rsidR="00A3265B" w:rsidRPr="00A95B58" w:rsidRDefault="00A3265B" w:rsidP="00A326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  <w:b/>
          <w:bCs/>
        </w:rPr>
        <w:t>Email Marketing (Low Volume, High Efficiency):</w:t>
      </w:r>
      <w:r w:rsidRPr="00A95B58">
        <w:rPr>
          <w:rFonts w:ascii="Times New Roman" w:hAnsi="Times New Roman" w:cs="Times New Roman"/>
        </w:rPr>
        <w:t xml:space="preserve"> Email drives lower total volume (522 views), but achieves an outstanding </w:t>
      </w:r>
      <w:r w:rsidRPr="00A95B58">
        <w:rPr>
          <w:rFonts w:ascii="Times New Roman" w:hAnsi="Times New Roman" w:cs="Times New Roman"/>
          <w:b/>
          <w:bCs/>
        </w:rPr>
        <w:t>62.45%</w:t>
      </w:r>
      <w:r w:rsidRPr="00A95B58">
        <w:rPr>
          <w:rFonts w:ascii="Times New Roman" w:hAnsi="Times New Roman" w:cs="Times New Roman"/>
        </w:rPr>
        <w:t xml:space="preserve"> view-to-cart rate and a </w:t>
      </w:r>
      <w:r w:rsidRPr="00A95B58">
        <w:rPr>
          <w:rFonts w:ascii="Times New Roman" w:hAnsi="Times New Roman" w:cs="Times New Roman"/>
          <w:b/>
          <w:bCs/>
        </w:rPr>
        <w:t>33.91%</w:t>
      </w:r>
      <w:r w:rsidRPr="00A95B58">
        <w:rPr>
          <w:rFonts w:ascii="Times New Roman" w:hAnsi="Times New Roman" w:cs="Times New Roman"/>
        </w:rPr>
        <w:t xml:space="preserve"> overall purchase conversion rate. Because email subscribers demonstrate much higher buying intent, the business should double down on email marketing by allocating resources toward list building, lead capture pop-ups, and automated retention sequences.</w:t>
      </w:r>
    </w:p>
    <w:p w14:paraId="6B71FBF0" w14:textId="77777777" w:rsidR="00A3265B" w:rsidRPr="00A95B58" w:rsidRDefault="00A3265B" w:rsidP="00A3265B">
      <w:pPr>
        <w:rPr>
          <w:rFonts w:ascii="Times New Roman" w:hAnsi="Times New Roman" w:cs="Times New Roman"/>
          <w:b/>
          <w:bCs/>
        </w:rPr>
      </w:pPr>
      <w:r w:rsidRPr="00A95B58">
        <w:rPr>
          <w:rFonts w:ascii="Times New Roman" w:hAnsi="Times New Roman" w:cs="Times New Roman"/>
          <w:b/>
          <w:bCs/>
        </w:rPr>
        <w:t>3. Financial Performance &amp; Margins</w:t>
      </w:r>
    </w:p>
    <w:p w14:paraId="0EDB22A6" w14:textId="77777777" w:rsidR="00A3265B" w:rsidRPr="00A95B58" w:rsidRDefault="00A3265B" w:rsidP="00A3265B">
      <w:pPr>
        <w:rPr>
          <w:rFonts w:ascii="Times New Roman" w:hAnsi="Times New Roman" w:cs="Times New Roman"/>
        </w:rPr>
      </w:pPr>
      <w:r w:rsidRPr="00A95B58">
        <w:rPr>
          <w:rFonts w:ascii="Times New Roman" w:hAnsi="Times New Roman" w:cs="Times New Roman"/>
        </w:rPr>
        <w:t xml:space="preserve">With a calculated </w:t>
      </w:r>
      <w:r w:rsidRPr="00A95B58">
        <w:rPr>
          <w:rFonts w:ascii="Times New Roman" w:hAnsi="Times New Roman" w:cs="Times New Roman"/>
          <w:b/>
          <w:bCs/>
        </w:rPr>
        <w:t>Average Order Value (AOV) of $106.51</w:t>
      </w:r>
      <w:r w:rsidRPr="00A95B58">
        <w:rPr>
          <w:rFonts w:ascii="Times New Roman" w:hAnsi="Times New Roman" w:cs="Times New Roman"/>
        </w:rPr>
        <w:t xml:space="preserve">, acquisition efforts must be carefully benchmarked against </w:t>
      </w:r>
      <w:r w:rsidRPr="00A95B58">
        <w:rPr>
          <w:rFonts w:ascii="Times New Roman" w:hAnsi="Times New Roman" w:cs="Times New Roman"/>
          <w:b/>
          <w:bCs/>
        </w:rPr>
        <w:t>Customer Acquisition Cost (CAC)</w:t>
      </w:r>
      <w:r w:rsidRPr="00A95B58">
        <w:rPr>
          <w:rFonts w:ascii="Times New Roman" w:hAnsi="Times New Roman" w:cs="Times New Roman"/>
        </w:rPr>
        <w:t>. Paid traffic campaigns (Paid Ads and Social Ads) must keep CAC well below $106.51—after factoring in product cost of goods sold (COGS)—to maintain positive unit economics. Reallocating capital from low-intent social ads into high-ROI email campaigns will lower overall blended CAC and protect net profitability.</w:t>
      </w:r>
    </w:p>
    <w:p w14:paraId="636AE725" w14:textId="77777777" w:rsidR="00A3265B" w:rsidRPr="00A95B58" w:rsidRDefault="00A3265B" w:rsidP="00A3265B">
      <w:pPr>
        <w:rPr>
          <w:rFonts w:ascii="Times New Roman" w:hAnsi="Times New Roman" w:cs="Times New Roman"/>
        </w:rPr>
      </w:pPr>
    </w:p>
    <w:p w14:paraId="6051F68F" w14:textId="3CECC7DA" w:rsidR="00A3265B" w:rsidRPr="00A95B58" w:rsidRDefault="00A3265B" w:rsidP="004A240E">
      <w:pPr>
        <w:rPr>
          <w:rFonts w:ascii="Times New Roman" w:hAnsi="Times New Roman" w:cs="Times New Roman"/>
          <w:lang w:val="en-US"/>
        </w:rPr>
      </w:pPr>
    </w:p>
    <w:sectPr w:rsidR="00A3265B" w:rsidRPr="00A95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23A1"/>
    <w:multiLevelType w:val="multilevel"/>
    <w:tmpl w:val="196A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72AE0"/>
    <w:multiLevelType w:val="multilevel"/>
    <w:tmpl w:val="F7F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1644"/>
    <w:multiLevelType w:val="multilevel"/>
    <w:tmpl w:val="BAC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F243B"/>
    <w:multiLevelType w:val="multilevel"/>
    <w:tmpl w:val="2C48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96708"/>
    <w:multiLevelType w:val="multilevel"/>
    <w:tmpl w:val="C01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F74B4"/>
    <w:multiLevelType w:val="multilevel"/>
    <w:tmpl w:val="011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93558">
    <w:abstractNumId w:val="5"/>
  </w:num>
  <w:num w:numId="2" w16cid:durableId="837771731">
    <w:abstractNumId w:val="4"/>
  </w:num>
  <w:num w:numId="3" w16cid:durableId="1134908128">
    <w:abstractNumId w:val="1"/>
  </w:num>
  <w:num w:numId="4" w16cid:durableId="831604723">
    <w:abstractNumId w:val="2"/>
  </w:num>
  <w:num w:numId="5" w16cid:durableId="73010987">
    <w:abstractNumId w:val="3"/>
  </w:num>
  <w:num w:numId="6" w16cid:durableId="130176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CD"/>
    <w:rsid w:val="004A240E"/>
    <w:rsid w:val="00A3265B"/>
    <w:rsid w:val="00A95B58"/>
    <w:rsid w:val="00BD3BCD"/>
    <w:rsid w:val="00E8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1179"/>
  <w15:chartTrackingRefBased/>
  <w15:docId w15:val="{15E99443-6AB3-48EC-95DB-054F8C3D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Shivendra Banchhor</dc:creator>
  <cp:keywords/>
  <dc:description/>
  <cp:lastModifiedBy>Shivendra Banchhor</cp:lastModifiedBy>
  <cp:revision>2</cp:revision>
  <dcterms:created xsi:type="dcterms:W3CDTF">2026-10-05T18:56:00Z</dcterms:created>
  <dcterms:modified xsi:type="dcterms:W3CDTF">2026-10-05T18:56:00Z</dcterms:modified>
</cp:coreProperties>
</file>