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B858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0"/>
        <w:jc w:val="left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olor w:val="000000"/>
          <w:spacing w:val="0"/>
          <w:sz w:val="42"/>
          <w:szCs w:val="42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pacing w:val="0"/>
          <w:sz w:val="42"/>
          <w:szCs w:val="42"/>
        </w:rPr>
        <w:t>Internal Audit &amp; Risk Assessment of Flipkart Checkout Process</w:t>
      </w:r>
    </w:p>
    <w:p w14:paraId="61724C7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0"/>
        <w:jc w:val="left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olor w:val="000000"/>
          <w:spacing w:val="0"/>
          <w:sz w:val="21"/>
          <w:szCs w:val="21"/>
        </w:rPr>
      </w:pPr>
    </w:p>
    <w:p w14:paraId="47D76DA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pacing w:val="0"/>
          <w:sz w:val="24"/>
          <w:szCs w:val="24"/>
        </w:rPr>
        <w:t>1. Objective</w:t>
      </w:r>
    </w:p>
    <w:p w14:paraId="1732486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0"/>
        <w:jc w:val="left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Evaluate the effectiveness of controls across the end-to-end checkout flow of Flipkart—from Product Listing to Order Confirmation—to identify process risks, control gaps, and improvement opportunities aligned with Governance, Risk &amp; Compliance (GRCS) standards.</w:t>
      </w:r>
    </w:p>
    <w:p w14:paraId="78CDFBD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0"/>
        <w:jc w:val="left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</w:pPr>
    </w:p>
    <w:p w14:paraId="6AF3CBBF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0"/>
        <w:jc w:val="left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pacing w:val="0"/>
          <w:sz w:val="24"/>
          <w:szCs w:val="24"/>
        </w:rPr>
        <w:t>Scope of Audit</w:t>
      </w:r>
    </w:p>
    <w:p w14:paraId="6BF28F3D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jc w:val="left"/>
        <w:textAlignment w:val="auto"/>
        <w:outlineLvl w:val="1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pacing w:val="0"/>
          <w:sz w:val="20"/>
          <w:szCs w:val="20"/>
        </w:rPr>
        <w:t>Assessed 39 risks across the following areas:</w:t>
      </w:r>
    </w:p>
    <w:p w14:paraId="5352BD6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625" w:leftChars="0" w:right="0" w:rightChars="0" w:hanging="425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Product Listing Page (PLP)</w:t>
      </w:r>
    </w:p>
    <w:p w14:paraId="5466D87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625" w:leftChars="0" w:right="0" w:rightChars="0" w:hanging="425" w:firstLineChars="0"/>
        <w:jc w:val="left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Product Details Page (PDP)</w:t>
      </w:r>
    </w:p>
    <w:p w14:paraId="5C85BF9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625" w:leftChars="0" w:right="0" w:rightChars="0" w:hanging="425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Add to Cart &amp; Cart Summary</w:t>
      </w:r>
    </w:p>
    <w:p w14:paraId="4187CD6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625" w:leftChars="0" w:right="0" w:rightChars="0" w:hanging="425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Login &amp; Authentication</w:t>
      </w:r>
      <w:bookmarkStart w:id="0" w:name="_GoBack"/>
      <w:bookmarkEnd w:id="0"/>
    </w:p>
    <w:p w14:paraId="0F903F9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625" w:leftChars="0" w:right="0" w:rightChars="0" w:hanging="425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Address &amp; Delivery</w:t>
      </w:r>
    </w:p>
    <w:p w14:paraId="64A7FDB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625" w:leftChars="0" w:right="0" w:rightChars="0" w:hanging="425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Payments &amp; Payment Gateway</w:t>
      </w:r>
    </w:p>
    <w:p w14:paraId="2D8A4D9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625" w:leftChars="0" w:right="0" w:rightChars="0" w:hanging="425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Order Confirmation &amp; Invoicing</w:t>
      </w:r>
    </w:p>
    <w:p w14:paraId="583B3D1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625" w:leftChars="0" w:right="0" w:rightChars="0" w:hanging="425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Seller/Marketplace</w:t>
      </w:r>
    </w:p>
    <w:p w14:paraId="347C114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625" w:leftChars="0" w:right="0" w:rightChars="0" w:hanging="425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Delivery Operations</w:t>
      </w:r>
    </w:p>
    <w:p w14:paraId="28E6D8D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625" w:leftChars="0" w:right="0" w:rightChars="0" w:hanging="425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Returns &amp; Refunds</w:t>
      </w:r>
    </w:p>
    <w:p w14:paraId="5150056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625" w:leftChars="0" w:right="0" w:rightChars="0" w:hanging="425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Tax, Legal &amp; Compliance</w:t>
      </w:r>
    </w:p>
    <w:p w14:paraId="52BB82A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625" w:leftChars="0" w:right="0" w:rightChars="0" w:hanging="425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Data &amp; Security</w:t>
      </w:r>
    </w:p>
    <w:p w14:paraId="78AAE2F7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400" w:leftChars="0" w:right="0" w:right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</w:p>
    <w:p w14:paraId="414ED6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pacing w:val="0"/>
          <w:sz w:val="20"/>
          <w:szCs w:val="20"/>
        </w:rPr>
        <w:t xml:space="preserve">3.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pacing w:val="0"/>
          <w:sz w:val="24"/>
          <w:szCs w:val="24"/>
        </w:rPr>
        <w:t>Key Findings</w:t>
      </w:r>
    </w:p>
    <w:p w14:paraId="03EAB3D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0"/>
        <w:jc w:val="left"/>
        <w:textAlignment w:val="auto"/>
        <w:rPr>
          <w:rFonts w:hint="default" w:ascii="Times New Roman" w:hAnsi="Times New Roman" w:cs="Times New Roman"/>
          <w:i/>
          <w:iCs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color w:val="000000"/>
          <w:spacing w:val="0"/>
          <w:sz w:val="20"/>
          <w:szCs w:val="20"/>
          <w:u w:val="single"/>
        </w:rPr>
        <w:t>High-Risk Areas</w:t>
      </w:r>
    </w:p>
    <w:p w14:paraId="722EE9B7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Price inconsistencies across PLP → PDP → Cart</w:t>
      </w:r>
    </w:p>
    <w:p w14:paraId="2C4D9754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Duplicate payments due to incomplete gateway idempotency</w:t>
      </w:r>
    </w:p>
    <w:p w14:paraId="3DE2D896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Incorrect GST/HSN mapping affecting invoice compliance</w:t>
      </w:r>
    </w:p>
    <w:p w14:paraId="22188EC2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Missing or inconsistent backend logging and reconciliation</w:t>
      </w:r>
    </w:p>
    <w:p w14:paraId="505C2B31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Wrong seller assignment and seller compliance lapses</w:t>
      </w:r>
    </w:p>
    <w:p w14:paraId="673AF0D1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ETA inaccuracies due to logistics API delays</w:t>
      </w:r>
    </w:p>
    <w:p w14:paraId="636FD79C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API tampering &amp; insufficient request validation</w:t>
      </w:r>
    </w:p>
    <w:p w14:paraId="1CD3EC4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z w:val="20"/>
          <w:szCs w:val="20"/>
          <w:u w:val="single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color w:val="000000"/>
          <w:spacing w:val="0"/>
          <w:sz w:val="20"/>
          <w:szCs w:val="20"/>
          <w:u w:val="single"/>
        </w:rPr>
        <w:t>Medium-Risk Areas</w:t>
      </w:r>
    </w:p>
    <w:p w14:paraId="2EA603C4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Incorrect promo rule application</w:t>
      </w:r>
    </w:p>
    <w:p w14:paraId="271708C8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Address validation gaps</w:t>
      </w:r>
    </w:p>
    <w:p w14:paraId="24E2E756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Wallet/Gift card misapplication</w:t>
      </w:r>
    </w:p>
    <w:p w14:paraId="618C160B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Session timeouts during payment</w:t>
      </w:r>
    </w:p>
    <w:p w14:paraId="5FB976CF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Return policy mismatches</w:t>
      </w:r>
    </w:p>
    <w:p w14:paraId="1DBCC77B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hanging="420" w:firstLineChars="0"/>
        <w:jc w:val="left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Inconsistent courier selection &amp; fee rules</w:t>
      </w:r>
    </w:p>
    <w:p w14:paraId="0799780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0"/>
        <w:jc w:val="left"/>
        <w:textAlignment w:val="auto"/>
        <w:rPr>
          <w:rFonts w:hint="default" w:ascii="Times New Roman" w:hAnsi="Times New Roman" w:cs="Times New Roman"/>
          <w:i/>
          <w:iCs/>
          <w:sz w:val="20"/>
          <w:szCs w:val="20"/>
          <w:u w:val="single"/>
        </w:rPr>
      </w:pPr>
      <w:r>
        <w:rPr>
          <w:rFonts w:hint="default" w:ascii="Times New Roman" w:hAnsi="Times New Roman" w:cs="Times New Roman"/>
          <w:i/>
          <w:iCs/>
          <w:color w:val="000000"/>
          <w:spacing w:val="0"/>
          <w:sz w:val="20"/>
          <w:szCs w:val="20"/>
          <w:u w:val="single"/>
        </w:rPr>
        <w:t>Low-Risk Areas</w:t>
      </w:r>
    </w:p>
    <w:p w14:paraId="2439D64A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Minor seller info delay</w:t>
      </w: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  <w:lang w:val="en-IN"/>
        </w:rPr>
        <w:t>s</w:t>
      </w:r>
    </w:p>
    <w:p w14:paraId="49C3707F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Minor PDP content inaccuracies</w:t>
      </w:r>
    </w:p>
    <w:p w14:paraId="67838840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Cosmetic UI quantity duplication</w:t>
      </w:r>
    </w:p>
    <w:p w14:paraId="74536455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400" w:leftChars="0" w:right="0" w:right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</w:p>
    <w:p w14:paraId="117D92F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pacing w:val="0"/>
          <w:sz w:val="24"/>
          <w:szCs w:val="24"/>
        </w:rPr>
        <w:t>4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pacing w:val="0"/>
          <w:sz w:val="20"/>
          <w:szCs w:val="20"/>
        </w:rPr>
        <w:t>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pacing w:val="0"/>
          <w:sz w:val="24"/>
          <w:szCs w:val="24"/>
        </w:rPr>
        <w:t xml:space="preserve"> Control Gap Themes</w:t>
      </w:r>
    </w:p>
    <w:p w14:paraId="758E3BBF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Lack of real-time validation (pricing, SLA, inventory, reconciliation).</w:t>
      </w:r>
    </w:p>
    <w:p w14:paraId="74836931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Weak automation in promotions, KYC, and returns.</w:t>
      </w:r>
    </w:p>
    <w:p w14:paraId="5A4D29C1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Burden on manual QC in content, seller assignment, and tax mapping.</w:t>
      </w:r>
    </w:p>
    <w:p w14:paraId="092E8C19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Missing audit trails and inconsistent log retention.</w:t>
      </w:r>
    </w:p>
    <w:p w14:paraId="1F646F76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Incomplete security hardening for critical APIs.</w:t>
      </w:r>
    </w:p>
    <w:p w14:paraId="4AECCE76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400" w:leftChars="0" w:right="0" w:rightChars="0"/>
        <w:jc w:val="left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</w:pPr>
    </w:p>
    <w:p w14:paraId="40522FEA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400" w:leftChars="0" w:right="0" w:rightChars="0"/>
        <w:jc w:val="left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</w:pPr>
    </w:p>
    <w:p w14:paraId="75DC80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pacing w:val="0"/>
          <w:sz w:val="24"/>
          <w:szCs w:val="24"/>
        </w:rPr>
        <w:t>5. Recommendations</w:t>
      </w:r>
    </w:p>
    <w:p w14:paraId="6C5EB731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Implement real-time price validation and SLA refresh mechanisms.</w:t>
      </w:r>
    </w:p>
    <w:p w14:paraId="66F35050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Enforce platform-wide idempotency and session recovery for payments.</w:t>
      </w:r>
    </w:p>
    <w:p w14:paraId="78C2A3B7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Standardize address verification and courier serviceability sync.</w:t>
      </w:r>
    </w:p>
    <w:p w14:paraId="2A7C80DE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Introduce automated promo rule testing and invoice validation.</w:t>
      </w:r>
    </w:p>
    <w:p w14:paraId="090DED5E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Deploy mandatory API logging, rate limiting, and HMAC signing.</w:t>
      </w:r>
    </w:p>
    <w:p w14:paraId="28EF9E08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Strengthen KYC automation and seller verification workflows.</w:t>
      </w:r>
    </w:p>
    <w:p w14:paraId="151C2E11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Improve ETA accuracy with fallback estimators and API latency monitoring.</w:t>
      </w:r>
    </w:p>
    <w:p w14:paraId="2771CFA8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400" w:leftChars="0" w:right="0" w:right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</w:p>
    <w:p w14:paraId="5222610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pacing w:val="0"/>
          <w:sz w:val="24"/>
          <w:szCs w:val="24"/>
        </w:rPr>
        <w:t>6. Expected Impact</w:t>
      </w:r>
    </w:p>
    <w:p w14:paraId="5E0EA45C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hanging="420" w:firstLineChars="0"/>
        <w:jc w:val="left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Reduced financial leakage from pricing, tax, and payment errors.</w:t>
      </w:r>
    </w:p>
    <w:p w14:paraId="31919309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Improved checkout reliability and user experience.</w:t>
      </w:r>
    </w:p>
    <w:p w14:paraId="0C7786BD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Stronger compliance alignment (GST, KYC, PCI-DSS).</w:t>
      </w:r>
    </w:p>
    <w:p w14:paraId="7FE9551A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Faster detection of reconciliation mismatches and failed transactions.</w:t>
      </w:r>
    </w:p>
    <w:p w14:paraId="436BC7B8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Higher marketplace trust through seller governance controls.</w:t>
      </w:r>
    </w:p>
    <w:p w14:paraId="6BAC50AB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820" w:leftChars="0" w:hanging="420" w:firstLineChars="0"/>
        <w:jc w:val="left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Enhanced security posture for high-risk API endpoints.</w:t>
      </w:r>
    </w:p>
    <w:p w14:paraId="766B58FF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400" w:leftChars="0" w:right="0" w:rightChars="0"/>
        <w:jc w:val="left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</w:pPr>
    </w:p>
    <w:p w14:paraId="0D75EC9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pacing w:val="0"/>
          <w:sz w:val="24"/>
          <w:szCs w:val="24"/>
        </w:rPr>
        <w:t>7. Conclusion</w:t>
      </w:r>
    </w:p>
    <w:p w14:paraId="51CE5F6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0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The assessment reveals that Flipkart maintains a strong foundational checkout system but requires real-time monitoring, stronger automation, and tighter security controls to reach a fully mature governance and audit standard.</w:t>
      </w: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  <w:lang w:val="en-I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The recommended actions</w:t>
      </w: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  <w:lang w:val="en-I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0"/>
          <w:szCs w:val="20"/>
        </w:rPr>
        <w:t>would significantly enhance operational accuracy, compliance integrity, and user trust.</w:t>
      </w:r>
    </w:p>
    <w:p w14:paraId="5E5DC1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rPr>
          <w:rFonts w:hint="default" w:ascii="Times New Roman" w:hAnsi="Times New Roman" w:cs="Times New Roman"/>
          <w:sz w:val="20"/>
          <w:szCs w:val="20"/>
        </w:rPr>
      </w:pPr>
    </w:p>
    <w:sectPr>
      <w:pgSz w:w="11906" w:h="16838"/>
      <w:pgMar w:top="816" w:right="816" w:bottom="816" w:left="816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7906D8"/>
    <w:multiLevelType w:val="singleLevel"/>
    <w:tmpl w:val="E97906D8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3CD712CB"/>
    <w:multiLevelType w:val="singleLevel"/>
    <w:tmpl w:val="3CD712CB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625" w:leftChars="0" w:hanging="425" w:firstLineChars="0"/>
      </w:pPr>
      <w:rPr>
        <w:rFonts w:hint="default"/>
      </w:rPr>
    </w:lvl>
  </w:abstractNum>
  <w:abstractNum w:abstractNumId="2">
    <w:nsid w:val="654C6D83"/>
    <w:multiLevelType w:val="singleLevel"/>
    <w:tmpl w:val="654C6D8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811BCB"/>
    <w:rsid w:val="5781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2026-02-04T10:18:00Z</dcterms:created>
  <dc:creator>Shivkanya Balamurugan</dc:creator>
  <cp:lastModifiedBy>Shivkanya Balamurugan</cp:lastModifiedBy>
  <dcterms:modified xsi:type="dcterms:W3CDTF">2026-02-04T10:29:29Z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F2875FA5163A4D7C94AF51D5664CCE4F_11</vt:lpwstr>
  </property>
</Properties>
</file>