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color w:val="2A336B"/>
          <w:sz w:val="28"/>
        </w:rPr>
        <w:t>Cross-Encoder Reranking Pipeline for Patent Prior-Art Search</w:t>
      </w:r>
    </w:p>
    <w:p>
      <w:pPr>
        <w:spacing w:after="20"/>
        <w:jc w:val="center"/>
      </w:pPr>
      <w:r>
        <w:rPr>
          <w:i/>
          <w:sz w:val="18"/>
        </w:rPr>
        <w:t>Information Retrieval &amp; Web Search Laboratory</w:t>
      </w:r>
    </w:p>
    <w:p>
      <w:pPr>
        <w:spacing w:after="120"/>
        <w:jc w:val="center"/>
      </w:pPr>
      <w:r>
        <w:rPr>
          <w:b/>
          <w:sz w:val="18"/>
        </w:rPr>
        <w:t>Roll Numbers: 22PD32, 22PD12   |   Team members: Shivnaran S, Diravina E I</w:t>
      </w:r>
    </w:p>
    <w:p>
      <w:pPr>
        <w:spacing w:before="140" w:after="40"/>
      </w:pPr>
      <w:r>
        <w:rPr>
          <w:b/>
          <w:color w:val="2A336B"/>
          <w:sz w:val="18"/>
        </w:rPr>
        <w:t>PROBLEM STATEMENT</w:t>
      </w:r>
    </w:p>
    <w:p>
      <w:pPr>
        <w:spacing w:after="40" w:line="240" w:lineRule="auto"/>
      </w:pPr>
      <w:r>
        <w:rPr>
          <w:sz w:val="19"/>
        </w:rPr>
        <w:t>Before a patent is granted, an examiner must find prior art: earlier documents that already disclose the claimed invention. Missing it leads to invalid patents and costly litigation. Three things make the retrieval hard. Queries are patent claims, not keywords (average 64 words of technical and legal prose); applicants coin their own terminology, so two documents describing the same mechanism may share almost no vocabulary, which defeats lexical matching; and the most accurate model, a cross-encoder, must read the query and a document together, so it cannot be applied to a whole collection. Given a claim as the query, rank earlier documents so that the prior art an examiner would cite appears as high as possible.</w:t>
      </w:r>
    </w:p>
    <w:p>
      <w:pPr>
        <w:spacing w:before="140" w:after="40"/>
      </w:pPr>
      <w:r>
        <w:rPr>
          <w:b/>
          <w:color w:val="2A336B"/>
          <w:sz w:val="18"/>
        </w:rPr>
        <w:t>OBJECTIVE</w:t>
      </w:r>
    </w:p>
    <w:p>
      <w:pPr>
        <w:spacing w:after="40" w:line="240" w:lineRule="auto"/>
      </w:pPr>
      <w:r>
        <w:rPr>
          <w:sz w:val="19"/>
        </w:rPr>
        <w:t>Build and evaluate a two-stage retrieve-and-rerank pipeline: a fast high-recall first stage narrows the collection to a shortlist, and a high-precision transformer reranks only that shortlist. Compare lexical, dense and hybrid first stages fairly; fine-tune a cross-encoder using examiner citations and mined hard negatives; and quantify through ablations and error analysis what each component contributes and what it costs in latency.</w:t>
      </w:r>
    </w:p>
    <w:p>
      <w:pPr>
        <w:spacing w:before="140" w:after="40"/>
      </w:pPr>
      <w:r>
        <w:rPr>
          <w:b/>
          <w:color w:val="2A336B"/>
          <w:sz w:val="18"/>
        </w:rPr>
        <w:t>DATASET USED</w:t>
      </w:r>
    </w:p>
    <w:p>
      <w:pPr>
        <w:spacing w:after="40" w:line="240" w:lineRule="auto"/>
      </w:pPr>
      <w:r>
        <w:rPr>
          <w:sz w:val="19"/>
        </w:rPr>
        <w:t>PatentMatch, derived from European Patent Office examiner search reports. When an examiner rejects a claim for lack of novelty, the report cites the exact paragraph that disclosed it; those citations are used directly as relevance judgements, so the ground truth is expert human judgement. The collection has 11,849 prior-art passages, 14,297 claim queries and 14,650 judgements, plus 246 passages examiners inspected and rejected, which serve as gold-standard hard negatives. Because near-duplicate claims of one application cite the same prior art, a random split would leak; we assign whole connected components of the query-document graph to one split (10,005 train / 1,431 dev / 2,861 test), so no test query shares a relevant document with any training query. HUPD was dropped: it has no citation field and the PatentsView API is no longer openly reachable, so labels cannot be derived from it.</w:t>
      </w:r>
    </w:p>
    <w:p>
      <w:pPr>
        <w:spacing w:before="140" w:after="40"/>
      </w:pPr>
      <w:r>
        <w:rPr>
          <w:b/>
          <w:color w:val="2A336B"/>
          <w:sz w:val="18"/>
        </w:rPr>
        <w:t>METHODS / ALGORITHMS USED</w:t>
      </w:r>
    </w:p>
    <w:p>
      <w:pPr>
        <w:pStyle w:val="ListBullet"/>
        <w:spacing w:after="40" w:line="240" w:lineRule="auto"/>
        <w:ind w:left="280"/>
      </w:pPr>
      <w:r>
        <w:rPr>
          <w:sz w:val="19"/>
        </w:rPr>
        <w:t>Preprocessing: tokenisation, English and patent-specific stopword removal (wherein, comprising, said), Porter stemming, applied identically to queries and documents.</w:t>
      </w:r>
    </w:p>
    <w:p>
      <w:pPr>
        <w:pStyle w:val="ListBullet"/>
        <w:spacing w:after="40" w:line="240" w:lineRule="auto"/>
        <w:ind w:left="280"/>
      </w:pPr>
      <w:r>
        <w:rPr>
          <w:sz w:val="19"/>
        </w:rPr>
        <w:t>Stage 1 (recall): TF-IDF with SMART ltc weighting and cosine; Okapi BM25 implemented from scratch with per-term score attribution; a dense bi-encoder (all-MiniLM-L6-v2, mean pooling) in a FAISS IndexFlatIP for exact cosine search; and a hybrid fusing BM25 and dense rankings by Reciprocal Rank Fusion, which uses ranks only and so needs no score calibration.</w:t>
      </w:r>
    </w:p>
    <w:p>
      <w:pPr>
        <w:pStyle w:val="ListBullet"/>
        <w:spacing w:after="40" w:line="240" w:lineRule="auto"/>
        <w:ind w:left="280"/>
      </w:pPr>
      <w:r>
        <w:rPr>
          <w:sz w:val="19"/>
        </w:rPr>
        <w:t>Stage 2 (precision): a pairwise Learning-to-Rank model over nine ranking features with a RankNet loss written in numpy, as a cheap control; and a cross-encoder (ms-marco-MiniLM-L-6-v2) zero-shot and then fine-tuned on PatentMatch. Long passages are truncated or scored by MaxP over overlapping windows.</w:t>
      </w:r>
    </w:p>
    <w:p>
      <w:pPr>
        <w:pStyle w:val="ListBullet"/>
        <w:spacing w:after="40" w:line="240" w:lineRule="auto"/>
        <w:ind w:left="280"/>
      </w:pPr>
      <w:r>
        <w:rPr>
          <w:sz w:val="19"/>
        </w:rPr>
        <w:t>Hard negative mining: the real first stage is run on each training query and its top-ranked non-cited documents become negatives, sampled across the pool, so the reranker trains on the decisions it faces at inference.</w:t>
      </w:r>
    </w:p>
    <w:p>
      <w:pPr>
        <w:pStyle w:val="ListBullet"/>
        <w:spacing w:after="40" w:line="240" w:lineRule="auto"/>
        <w:ind w:left="280"/>
      </w:pPr>
      <w:r>
        <w:rPr>
          <w:sz w:val="19"/>
        </w:rPr>
        <w:t>Evaluation: Recall@k, Precision@k, MRR, MAP, nDCG@k from scratch, with a paired randomisation test and per-stage latency. Demonstrated through a seven-page Streamlit application and verified by 41 tests against hand-computed values.</w:t>
      </w:r>
    </w:p>
    <w:p>
      <w:pPr>
        <w:spacing w:before="140" w:after="40"/>
      </w:pPr>
      <w:r>
        <w:rPr>
          <w:b/>
          <w:color w:val="2A336B"/>
          <w:sz w:val="18"/>
        </w:rPr>
        <w:t>RESULTS (METRICS USED)</w:t>
      </w:r>
    </w:p>
    <w:p>
      <w:pPr>
        <w:spacing w:after="60"/>
      </w:pPr>
      <w:r>
        <w:rPr>
          <w:b/>
          <w:color w:val="2A336B"/>
          <w:sz w:val="18"/>
        </w:rPr>
        <w:t>Final scores (Hybrid + Learning-to-Rank):   nDCG@10 = 0.1119   |   MRR = 0.0921   |   MAP = 0.0918   |   Recall@100 = 0.4200</w:t>
      </w:r>
    </w:p>
    <w:tbl>
      <w:tblPr>
        <w:tblStyle w:val="LightGrid-Accent1"/>
        <w:tblW w:type="auto" w:w="0"/>
        <w:tblLayout w:type="fixed"/>
        <w:tblLook w:firstColumn="1" w:firstRow="1" w:lastColumn="0" w:lastRow="0" w:noHBand="0" w:noVBand="1" w:val="04A0"/>
      </w:tblPr>
      <w:tblGrid>
        <w:gridCol w:w="1509"/>
        <w:gridCol w:w="1509"/>
        <w:gridCol w:w="1509"/>
        <w:gridCol w:w="1509"/>
        <w:gridCol w:w="1509"/>
        <w:gridCol w:w="1509"/>
        <w:gridCol w:w="1509"/>
      </w:tblGrid>
      <w:tr>
        <w:tc>
          <w:tcPr>
            <w:tcW w:type="dxa" w:w="2640"/>
          </w:tcPr>
          <w:p>
            <w:pPr>
              <w:spacing w:after="0" w:before="0"/>
            </w:pPr>
            <w:r/>
            <w:r>
              <w:rPr>
                <w:b/>
                <w:sz w:val="16"/>
              </w:rPr>
              <w:t>Method</w:t>
            </w:r>
          </w:p>
        </w:tc>
        <w:tc>
          <w:tcPr>
            <w:tcW w:type="dxa" w:w="1040"/>
          </w:tcPr>
          <w:p>
            <w:pPr>
              <w:spacing w:after="0" w:before="0"/>
            </w:pPr>
            <w:r/>
            <w:r>
              <w:rPr>
                <w:b/>
                <w:sz w:val="16"/>
              </w:rPr>
              <w:t>nDCG@10</w:t>
            </w:r>
          </w:p>
        </w:tc>
        <w:tc>
          <w:tcPr>
            <w:tcW w:type="dxa" w:w="880"/>
          </w:tcPr>
          <w:p>
            <w:pPr>
              <w:spacing w:after="0" w:before="0"/>
            </w:pPr>
            <w:r/>
            <w:r>
              <w:rPr>
                <w:b/>
                <w:sz w:val="16"/>
              </w:rPr>
              <w:t>MRR</w:t>
            </w:r>
          </w:p>
        </w:tc>
        <w:tc>
          <w:tcPr>
            <w:tcW w:type="dxa" w:w="880"/>
          </w:tcPr>
          <w:p>
            <w:pPr>
              <w:spacing w:after="0" w:before="0"/>
            </w:pPr>
            <w:r/>
            <w:r>
              <w:rPr>
                <w:b/>
                <w:sz w:val="16"/>
              </w:rPr>
              <w:t>MAP</w:t>
            </w:r>
          </w:p>
        </w:tc>
        <w:tc>
          <w:tcPr>
            <w:tcW w:type="dxa" w:w="1120"/>
          </w:tcPr>
          <w:p>
            <w:pPr>
              <w:spacing w:after="0" w:before="0"/>
            </w:pPr>
            <w:r/>
            <w:r>
              <w:rPr>
                <w:b/>
                <w:sz w:val="16"/>
              </w:rPr>
              <w:t>R@10</w:t>
            </w:r>
          </w:p>
        </w:tc>
        <w:tc>
          <w:tcPr>
            <w:tcW w:type="dxa" w:w="1200"/>
          </w:tcPr>
          <w:p>
            <w:pPr>
              <w:spacing w:after="0" w:before="0"/>
            </w:pPr>
            <w:r/>
            <w:r>
              <w:rPr>
                <w:b/>
                <w:sz w:val="16"/>
              </w:rPr>
              <w:t>R@100</w:t>
            </w:r>
          </w:p>
        </w:tc>
        <w:tc>
          <w:tcPr>
            <w:tcW w:type="dxa" w:w="880"/>
          </w:tcPr>
          <w:p>
            <w:pPr>
              <w:spacing w:after="0" w:before="0"/>
            </w:pPr>
            <w:r/>
            <w:r>
              <w:rPr>
                <w:b/>
                <w:sz w:val="16"/>
              </w:rPr>
              <w:t>ms/q</w:t>
            </w:r>
          </w:p>
        </w:tc>
      </w:tr>
      <w:tr>
        <w:tc>
          <w:tcPr>
            <w:tcW w:type="dxa" w:w="2640"/>
          </w:tcPr>
          <w:p>
            <w:pPr>
              <w:spacing w:after="0" w:before="0"/>
            </w:pPr>
            <w:r/>
            <w:r>
              <w:rPr>
                <w:b w:val="0"/>
                <w:sz w:val="16"/>
              </w:rPr>
              <w:t>TF-IDF</w:t>
            </w:r>
          </w:p>
        </w:tc>
        <w:tc>
          <w:tcPr>
            <w:tcW w:type="dxa" w:w="1040"/>
          </w:tcPr>
          <w:p>
            <w:pPr>
              <w:spacing w:after="0" w:before="0"/>
            </w:pPr>
            <w:r/>
            <w:r>
              <w:rPr>
                <w:b w:val="0"/>
                <w:sz w:val="16"/>
              </w:rPr>
              <w:t>0.0854</w:t>
            </w:r>
          </w:p>
        </w:tc>
        <w:tc>
          <w:tcPr>
            <w:tcW w:type="dxa" w:w="880"/>
          </w:tcPr>
          <w:p>
            <w:pPr>
              <w:spacing w:after="0" w:before="0"/>
            </w:pPr>
            <w:r/>
            <w:r>
              <w:rPr>
                <w:b w:val="0"/>
                <w:sz w:val="16"/>
              </w:rPr>
              <w:t>0.0681</w:t>
            </w:r>
          </w:p>
        </w:tc>
        <w:tc>
          <w:tcPr>
            <w:tcW w:type="dxa" w:w="880"/>
          </w:tcPr>
          <w:p>
            <w:pPr>
              <w:spacing w:after="0" w:before="0"/>
            </w:pPr>
            <w:r/>
            <w:r>
              <w:rPr>
                <w:b w:val="0"/>
                <w:sz w:val="16"/>
              </w:rPr>
              <w:t>0.0661</w:t>
            </w:r>
          </w:p>
        </w:tc>
        <w:tc>
          <w:tcPr>
            <w:tcW w:type="dxa" w:w="1120"/>
          </w:tcPr>
          <w:p>
            <w:pPr>
              <w:spacing w:after="0" w:before="0"/>
            </w:pPr>
            <w:r/>
            <w:r>
              <w:rPr>
                <w:b w:val="0"/>
                <w:sz w:val="16"/>
              </w:rPr>
              <w:t>0.1675</w:t>
            </w:r>
          </w:p>
        </w:tc>
        <w:tc>
          <w:tcPr>
            <w:tcW w:type="dxa" w:w="1200"/>
          </w:tcPr>
          <w:p>
            <w:pPr>
              <w:spacing w:after="0" w:before="0"/>
            </w:pPr>
            <w:r/>
            <w:r>
              <w:rPr>
                <w:b w:val="0"/>
                <w:sz w:val="16"/>
              </w:rPr>
              <w:t>0.3450</w:t>
            </w:r>
          </w:p>
        </w:tc>
        <w:tc>
          <w:tcPr>
            <w:tcW w:type="dxa" w:w="880"/>
          </w:tcPr>
          <w:p>
            <w:pPr>
              <w:spacing w:after="0" w:before="0"/>
            </w:pPr>
            <w:r/>
            <w:r>
              <w:rPr>
                <w:b w:val="0"/>
                <w:sz w:val="16"/>
              </w:rPr>
              <w:t>3</w:t>
            </w:r>
          </w:p>
        </w:tc>
      </w:tr>
      <w:tr>
        <w:tc>
          <w:tcPr>
            <w:tcW w:type="dxa" w:w="2640"/>
          </w:tcPr>
          <w:p>
            <w:pPr>
              <w:spacing w:after="0" w:before="0"/>
            </w:pPr>
            <w:r/>
            <w:r>
              <w:rPr>
                <w:b w:val="0"/>
                <w:sz w:val="16"/>
              </w:rPr>
              <w:t>BM25</w:t>
            </w:r>
          </w:p>
        </w:tc>
        <w:tc>
          <w:tcPr>
            <w:tcW w:type="dxa" w:w="1040"/>
          </w:tcPr>
          <w:p>
            <w:pPr>
              <w:spacing w:after="0" w:before="0"/>
            </w:pPr>
            <w:r/>
            <w:r>
              <w:rPr>
                <w:b w:val="0"/>
                <w:sz w:val="16"/>
              </w:rPr>
              <w:t>0.0988</w:t>
            </w:r>
          </w:p>
        </w:tc>
        <w:tc>
          <w:tcPr>
            <w:tcW w:type="dxa" w:w="880"/>
          </w:tcPr>
          <w:p>
            <w:pPr>
              <w:spacing w:after="0" w:before="0"/>
            </w:pPr>
            <w:r/>
            <w:r>
              <w:rPr>
                <w:b w:val="0"/>
                <w:sz w:val="16"/>
              </w:rPr>
              <w:t>0.0893</w:t>
            </w:r>
          </w:p>
        </w:tc>
        <w:tc>
          <w:tcPr>
            <w:tcW w:type="dxa" w:w="880"/>
          </w:tcPr>
          <w:p>
            <w:pPr>
              <w:spacing w:after="0" w:before="0"/>
            </w:pPr>
            <w:r/>
            <w:r>
              <w:rPr>
                <w:b w:val="0"/>
                <w:sz w:val="16"/>
              </w:rPr>
              <w:t>0.0884</w:t>
            </w:r>
          </w:p>
        </w:tc>
        <w:tc>
          <w:tcPr>
            <w:tcW w:type="dxa" w:w="1120"/>
          </w:tcPr>
          <w:p>
            <w:pPr>
              <w:spacing w:after="0" w:before="0"/>
            </w:pPr>
            <w:r/>
            <w:r>
              <w:rPr>
                <w:b w:val="0"/>
                <w:sz w:val="16"/>
              </w:rPr>
              <w:t>0.1475</w:t>
            </w:r>
          </w:p>
        </w:tc>
        <w:tc>
          <w:tcPr>
            <w:tcW w:type="dxa" w:w="1200"/>
          </w:tcPr>
          <w:p>
            <w:pPr>
              <w:spacing w:after="0" w:before="0"/>
            </w:pPr>
            <w:r/>
            <w:r>
              <w:rPr>
                <w:b w:val="0"/>
                <w:sz w:val="16"/>
              </w:rPr>
              <w:t>0.3125</w:t>
            </w:r>
          </w:p>
        </w:tc>
        <w:tc>
          <w:tcPr>
            <w:tcW w:type="dxa" w:w="880"/>
          </w:tcPr>
          <w:p>
            <w:pPr>
              <w:spacing w:after="0" w:before="0"/>
            </w:pPr>
            <w:r/>
            <w:r>
              <w:rPr>
                <w:b w:val="0"/>
                <w:sz w:val="16"/>
              </w:rPr>
              <w:t>1</w:t>
            </w:r>
          </w:p>
        </w:tc>
      </w:tr>
      <w:tr>
        <w:tc>
          <w:tcPr>
            <w:tcW w:type="dxa" w:w="2640"/>
          </w:tcPr>
          <w:p>
            <w:pPr>
              <w:spacing w:after="0" w:before="0"/>
            </w:pPr>
            <w:r/>
            <w:r>
              <w:rPr>
                <w:b w:val="0"/>
                <w:sz w:val="16"/>
              </w:rPr>
              <w:t>Dense bi-encoder</w:t>
            </w:r>
          </w:p>
        </w:tc>
        <w:tc>
          <w:tcPr>
            <w:tcW w:type="dxa" w:w="1040"/>
          </w:tcPr>
          <w:p>
            <w:pPr>
              <w:spacing w:after="0" w:before="0"/>
            </w:pPr>
            <w:r/>
            <w:r>
              <w:rPr>
                <w:b w:val="0"/>
                <w:sz w:val="16"/>
              </w:rPr>
              <w:t>0.0755</w:t>
            </w:r>
          </w:p>
        </w:tc>
        <w:tc>
          <w:tcPr>
            <w:tcW w:type="dxa" w:w="880"/>
          </w:tcPr>
          <w:p>
            <w:pPr>
              <w:spacing w:after="0" w:before="0"/>
            </w:pPr>
            <w:r/>
            <w:r>
              <w:rPr>
                <w:b w:val="0"/>
                <w:sz w:val="16"/>
              </w:rPr>
              <w:t>0.0608</w:t>
            </w:r>
          </w:p>
        </w:tc>
        <w:tc>
          <w:tcPr>
            <w:tcW w:type="dxa" w:w="880"/>
          </w:tcPr>
          <w:p>
            <w:pPr>
              <w:spacing w:after="0" w:before="0"/>
            </w:pPr>
            <w:r/>
            <w:r>
              <w:rPr>
                <w:b w:val="0"/>
                <w:sz w:val="16"/>
              </w:rPr>
              <w:t>0.0609</w:t>
            </w:r>
          </w:p>
        </w:tc>
        <w:tc>
          <w:tcPr>
            <w:tcW w:type="dxa" w:w="1120"/>
          </w:tcPr>
          <w:p>
            <w:pPr>
              <w:spacing w:after="0" w:before="0"/>
            </w:pPr>
            <w:r/>
            <w:r>
              <w:rPr>
                <w:b w:val="0"/>
                <w:sz w:val="16"/>
              </w:rPr>
              <w:t>0.1500</w:t>
            </w:r>
          </w:p>
        </w:tc>
        <w:tc>
          <w:tcPr>
            <w:tcW w:type="dxa" w:w="1200"/>
          </w:tcPr>
          <w:p>
            <w:pPr>
              <w:spacing w:after="0" w:before="0"/>
            </w:pPr>
            <w:r/>
            <w:r>
              <w:rPr>
                <w:b w:val="0"/>
                <w:sz w:val="16"/>
              </w:rPr>
              <w:t>0.3750</w:t>
            </w:r>
          </w:p>
        </w:tc>
        <w:tc>
          <w:tcPr>
            <w:tcW w:type="dxa" w:w="880"/>
          </w:tcPr>
          <w:p>
            <w:pPr>
              <w:spacing w:after="0" w:before="0"/>
            </w:pPr>
            <w:r/>
            <w:r>
              <w:rPr>
                <w:b w:val="0"/>
                <w:sz w:val="16"/>
              </w:rPr>
              <w:t>29</w:t>
            </w:r>
          </w:p>
        </w:tc>
      </w:tr>
      <w:tr>
        <w:tc>
          <w:tcPr>
            <w:tcW w:type="dxa" w:w="2640"/>
          </w:tcPr>
          <w:p>
            <w:pPr>
              <w:spacing w:after="0" w:before="0"/>
            </w:pPr>
            <w:r/>
            <w:r>
              <w:rPr>
                <w:b w:val="0"/>
                <w:sz w:val="16"/>
              </w:rPr>
              <w:t>Hybrid (RRF)</w:t>
            </w:r>
          </w:p>
        </w:tc>
        <w:tc>
          <w:tcPr>
            <w:tcW w:type="dxa" w:w="1040"/>
          </w:tcPr>
          <w:p>
            <w:pPr>
              <w:spacing w:after="0" w:before="0"/>
            </w:pPr>
            <w:r/>
            <w:r>
              <w:rPr>
                <w:b w:val="0"/>
                <w:sz w:val="16"/>
              </w:rPr>
              <w:t>0.1087</w:t>
            </w:r>
          </w:p>
        </w:tc>
        <w:tc>
          <w:tcPr>
            <w:tcW w:type="dxa" w:w="880"/>
          </w:tcPr>
          <w:p>
            <w:pPr>
              <w:spacing w:after="0" w:before="0"/>
            </w:pPr>
            <w:r/>
            <w:r>
              <w:rPr>
                <w:b w:val="0"/>
                <w:sz w:val="16"/>
              </w:rPr>
              <w:t>0.0903</w:t>
            </w:r>
          </w:p>
        </w:tc>
        <w:tc>
          <w:tcPr>
            <w:tcW w:type="dxa" w:w="880"/>
          </w:tcPr>
          <w:p>
            <w:pPr>
              <w:spacing w:after="0" w:before="0"/>
            </w:pPr>
            <w:r/>
            <w:r>
              <w:rPr>
                <w:b w:val="0"/>
                <w:sz w:val="16"/>
              </w:rPr>
              <w:t>0.0902</w:t>
            </w:r>
          </w:p>
        </w:tc>
        <w:tc>
          <w:tcPr>
            <w:tcW w:type="dxa" w:w="1120"/>
          </w:tcPr>
          <w:p>
            <w:pPr>
              <w:spacing w:after="0" w:before="0"/>
            </w:pPr>
            <w:r/>
            <w:r>
              <w:rPr>
                <w:b w:val="0"/>
                <w:sz w:val="16"/>
              </w:rPr>
              <w:t>0.1925</w:t>
            </w:r>
          </w:p>
        </w:tc>
        <w:tc>
          <w:tcPr>
            <w:tcW w:type="dxa" w:w="1200"/>
          </w:tcPr>
          <w:p>
            <w:pPr>
              <w:spacing w:after="0" w:before="0"/>
            </w:pPr>
            <w:r/>
            <w:r>
              <w:rPr>
                <w:b w:val="0"/>
                <w:sz w:val="16"/>
              </w:rPr>
              <w:t>0.4200</w:t>
            </w:r>
          </w:p>
        </w:tc>
        <w:tc>
          <w:tcPr>
            <w:tcW w:type="dxa" w:w="880"/>
          </w:tcPr>
          <w:p>
            <w:pPr>
              <w:spacing w:after="0" w:before="0"/>
            </w:pPr>
            <w:r/>
            <w:r>
              <w:rPr>
                <w:b w:val="0"/>
                <w:sz w:val="16"/>
              </w:rPr>
              <w:t>29</w:t>
            </w:r>
          </w:p>
        </w:tc>
      </w:tr>
      <w:tr>
        <w:tc>
          <w:tcPr>
            <w:tcW w:type="dxa" w:w="2640"/>
          </w:tcPr>
          <w:p>
            <w:pPr>
              <w:spacing w:after="0" w:before="0"/>
            </w:pPr>
            <w:r/>
            <w:r>
              <w:rPr>
                <w:b/>
                <w:sz w:val="16"/>
              </w:rPr>
              <w:t>Hybrid + Learning-to-Rank</w:t>
            </w:r>
          </w:p>
        </w:tc>
        <w:tc>
          <w:tcPr>
            <w:tcW w:type="dxa" w:w="1040"/>
          </w:tcPr>
          <w:p>
            <w:pPr>
              <w:spacing w:after="0" w:before="0"/>
            </w:pPr>
            <w:r/>
            <w:r>
              <w:rPr>
                <w:b/>
                <w:sz w:val="16"/>
              </w:rPr>
              <w:t>0.1119</w:t>
            </w:r>
          </w:p>
        </w:tc>
        <w:tc>
          <w:tcPr>
            <w:tcW w:type="dxa" w:w="880"/>
          </w:tcPr>
          <w:p>
            <w:pPr>
              <w:spacing w:after="0" w:before="0"/>
            </w:pPr>
            <w:r/>
            <w:r>
              <w:rPr>
                <w:b/>
                <w:sz w:val="16"/>
              </w:rPr>
              <w:t>0.0921</w:t>
            </w:r>
          </w:p>
        </w:tc>
        <w:tc>
          <w:tcPr>
            <w:tcW w:type="dxa" w:w="880"/>
          </w:tcPr>
          <w:p>
            <w:pPr>
              <w:spacing w:after="0" w:before="0"/>
            </w:pPr>
            <w:r/>
            <w:r>
              <w:rPr>
                <w:b/>
                <w:sz w:val="16"/>
              </w:rPr>
              <w:t>0.0918</w:t>
            </w:r>
          </w:p>
        </w:tc>
        <w:tc>
          <w:tcPr>
            <w:tcW w:type="dxa" w:w="1120"/>
          </w:tcPr>
          <w:p>
            <w:pPr>
              <w:spacing w:after="0" w:before="0"/>
            </w:pPr>
            <w:r/>
            <w:r>
              <w:rPr>
                <w:b/>
                <w:sz w:val="16"/>
              </w:rPr>
              <w:t>0.2000</w:t>
            </w:r>
          </w:p>
        </w:tc>
        <w:tc>
          <w:tcPr>
            <w:tcW w:type="dxa" w:w="1200"/>
          </w:tcPr>
          <w:p>
            <w:pPr>
              <w:spacing w:after="0" w:before="0"/>
            </w:pPr>
            <w:r/>
            <w:r>
              <w:rPr>
                <w:b/>
                <w:sz w:val="16"/>
              </w:rPr>
              <w:t>0.4200</w:t>
            </w:r>
          </w:p>
        </w:tc>
        <w:tc>
          <w:tcPr>
            <w:tcW w:type="dxa" w:w="880"/>
          </w:tcPr>
          <w:p>
            <w:pPr>
              <w:spacing w:after="0" w:before="0"/>
            </w:pPr>
            <w:r/>
            <w:r>
              <w:rPr>
                <w:b/>
                <w:sz w:val="16"/>
              </w:rPr>
              <w:t>64</w:t>
            </w:r>
          </w:p>
        </w:tc>
      </w:tr>
      <w:tr>
        <w:tc>
          <w:tcPr>
            <w:tcW w:type="dxa" w:w="2640"/>
          </w:tcPr>
          <w:p>
            <w:pPr>
              <w:spacing w:after="0" w:before="0"/>
            </w:pPr>
            <w:r/>
            <w:r>
              <w:rPr>
                <w:b w:val="0"/>
                <w:sz w:val="16"/>
              </w:rPr>
              <w:t>Hybrid + cross-encoder</w:t>
            </w:r>
          </w:p>
        </w:tc>
        <w:tc>
          <w:tcPr>
            <w:tcW w:type="dxa" w:w="1040"/>
          </w:tcPr>
          <w:p>
            <w:pPr>
              <w:spacing w:after="0" w:before="0"/>
            </w:pPr>
            <w:r/>
            <w:r>
              <w:rPr>
                <w:b w:val="0"/>
                <w:sz w:val="16"/>
              </w:rPr>
              <w:t>0.0758</w:t>
            </w:r>
          </w:p>
        </w:tc>
        <w:tc>
          <w:tcPr>
            <w:tcW w:type="dxa" w:w="880"/>
          </w:tcPr>
          <w:p>
            <w:pPr>
              <w:spacing w:after="0" w:before="0"/>
            </w:pPr>
            <w:r/>
            <w:r>
              <w:rPr>
                <w:b w:val="0"/>
                <w:sz w:val="16"/>
              </w:rPr>
              <w:t>0.0671</w:t>
            </w:r>
          </w:p>
        </w:tc>
        <w:tc>
          <w:tcPr>
            <w:tcW w:type="dxa" w:w="880"/>
          </w:tcPr>
          <w:p>
            <w:pPr>
              <w:spacing w:after="0" w:before="0"/>
            </w:pPr>
            <w:r/>
            <w:r>
              <w:rPr>
                <w:b w:val="0"/>
                <w:sz w:val="16"/>
              </w:rPr>
              <w:t>0.0668</w:t>
            </w:r>
          </w:p>
        </w:tc>
        <w:tc>
          <w:tcPr>
            <w:tcW w:type="dxa" w:w="1120"/>
          </w:tcPr>
          <w:p>
            <w:pPr>
              <w:spacing w:after="0" w:before="0"/>
            </w:pPr>
            <w:r/>
            <w:r>
              <w:rPr>
                <w:b w:val="0"/>
                <w:sz w:val="16"/>
              </w:rPr>
              <w:t>0.1325</w:t>
            </w:r>
          </w:p>
        </w:tc>
        <w:tc>
          <w:tcPr>
            <w:tcW w:type="dxa" w:w="1200"/>
          </w:tcPr>
          <w:p>
            <w:pPr>
              <w:spacing w:after="0" w:before="0"/>
            </w:pPr>
            <w:r/>
            <w:r>
              <w:rPr>
                <w:b w:val="0"/>
                <w:sz w:val="16"/>
              </w:rPr>
              <w:t>0.4200</w:t>
            </w:r>
          </w:p>
        </w:tc>
        <w:tc>
          <w:tcPr>
            <w:tcW w:type="dxa" w:w="880"/>
          </w:tcPr>
          <w:p>
            <w:pPr>
              <w:spacing w:after="0" w:before="0"/>
            </w:pPr>
            <w:r/>
            <w:r>
              <w:rPr>
                <w:b w:val="0"/>
                <w:sz w:val="16"/>
              </w:rPr>
              <w:t>4675</w:t>
            </w:r>
          </w:p>
        </w:tc>
      </w:tr>
      <w:tr>
        <w:tc>
          <w:tcPr>
            <w:tcW w:type="dxa" w:w="2640"/>
          </w:tcPr>
          <w:p>
            <w:pPr>
              <w:spacing w:after="0" w:before="0"/>
            </w:pPr>
            <w:r/>
            <w:r>
              <w:rPr>
                <w:b w:val="0"/>
                <w:sz w:val="16"/>
              </w:rPr>
              <w:t>Hybrid + cross-encoder (fine-tuned)</w:t>
            </w:r>
          </w:p>
        </w:tc>
        <w:tc>
          <w:tcPr>
            <w:tcW w:type="dxa" w:w="1040"/>
          </w:tcPr>
          <w:p>
            <w:pPr>
              <w:spacing w:after="0" w:before="0"/>
            </w:pPr>
            <w:r/>
            <w:r>
              <w:rPr>
                <w:b w:val="0"/>
                <w:sz w:val="16"/>
              </w:rPr>
              <w:t>0.1088</w:t>
            </w:r>
          </w:p>
        </w:tc>
        <w:tc>
          <w:tcPr>
            <w:tcW w:type="dxa" w:w="880"/>
          </w:tcPr>
          <w:p>
            <w:pPr>
              <w:spacing w:after="0" w:before="0"/>
            </w:pPr>
            <w:r/>
            <w:r>
              <w:rPr>
                <w:b w:val="0"/>
                <w:sz w:val="16"/>
              </w:rPr>
              <w:t>0.0923</w:t>
            </w:r>
          </w:p>
        </w:tc>
        <w:tc>
          <w:tcPr>
            <w:tcW w:type="dxa" w:w="880"/>
          </w:tcPr>
          <w:p>
            <w:pPr>
              <w:spacing w:after="0" w:before="0"/>
            </w:pPr>
            <w:r/>
            <w:r>
              <w:rPr>
                <w:b w:val="0"/>
                <w:sz w:val="16"/>
              </w:rPr>
              <w:t>0.0924</w:t>
            </w:r>
          </w:p>
        </w:tc>
        <w:tc>
          <w:tcPr>
            <w:tcW w:type="dxa" w:w="1120"/>
          </w:tcPr>
          <w:p>
            <w:pPr>
              <w:spacing w:after="0" w:before="0"/>
            </w:pPr>
            <w:r/>
            <w:r>
              <w:rPr>
                <w:b w:val="0"/>
                <w:sz w:val="16"/>
              </w:rPr>
              <w:t>0.1875</w:t>
            </w:r>
          </w:p>
        </w:tc>
        <w:tc>
          <w:tcPr>
            <w:tcW w:type="dxa" w:w="1200"/>
          </w:tcPr>
          <w:p>
            <w:pPr>
              <w:spacing w:after="0" w:before="0"/>
            </w:pPr>
            <w:r/>
            <w:r>
              <w:rPr>
                <w:b w:val="0"/>
                <w:sz w:val="16"/>
              </w:rPr>
              <w:t>0.4200</w:t>
            </w:r>
          </w:p>
        </w:tc>
        <w:tc>
          <w:tcPr>
            <w:tcW w:type="dxa" w:w="880"/>
          </w:tcPr>
          <w:p>
            <w:pPr>
              <w:spacing w:after="0" w:before="0"/>
            </w:pPr>
            <w:r/>
            <w:r>
              <w:rPr>
                <w:b w:val="0"/>
                <w:sz w:val="16"/>
              </w:rPr>
              <w:t>4783</w:t>
            </w:r>
          </w:p>
        </w:tc>
      </w:tr>
    </w:tbl>
    <w:p>
      <w:pPr>
        <w:spacing w:after="20"/>
      </w:pPr>
    </w:p>
    <w:p>
      <w:pPr>
        <w:spacing w:after="40" w:line="240" w:lineRule="auto"/>
      </w:pPr>
      <w:r>
        <w:rPr>
          <w:sz w:val="19"/>
        </w:rPr>
        <w:t>Primary metric nDCG@10: the best configuration, Hybrid + Learning-to-Rank, reaches 0.1119 against 0.0988 for BM25, a relative change of +13.3%. MRR moves from 0.0893 to 0.0921 and MAP from 0.0884 to 0.0918. A paired randomisation test gives p = 0.1835, so on this query sample the nDCG gain is NOT statistically significant; we report it as measured rather than overstating it. The clearest result is at the first stage: hybrid fusion lifts Recall@100 to 0.4200, +34.4% over BM25 (p = 0.0002, significant) and above dense retrieval (0.3750) too, so the two retrievers fail on different queries. Since reranking cannot recover what stage 1 missed, that recall is the ceiling stage 2 works within.</w:t>
      </w:r>
    </w:p>
    <w:p>
      <w:pPr>
        <w:spacing w:after="40" w:line="240" w:lineRule="auto"/>
      </w:pPr>
      <w:r>
        <w:rPr>
          <w:sz w:val="19"/>
        </w:rPr>
        <w:t>Evaluated on 200 held-out test queries over 11,849 documents. At 47.5 ms per document, scoring all 11,849 for one query would take ~563 s; reranking the top 100 takes 4.8 s, 118x faster — the cascade's quantitative justification. Absolute scores are modest by nature: claim-to-prior-art pairs share very little vocabulary, and many relevant patents are never cited, so unlabelled correct answers count as errors. The comparison between methods is the meaningful result.</w:t>
      </w:r>
    </w:p>
    <w:sectPr w:rsidR="00FC693F" w:rsidRPr="0006063C" w:rsidSect="00034616">
      <w:pgSz w:w="12240" w:h="15840"/>
      <w:pgMar w:top="640" w:right="840" w:bottom="560" w:left="8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0" w:before="0" w:line="240" w:lineRule="auto"/>
    </w:pPr>
    <w:rPr>
      <w:rFonts w:ascii="Calibri" w:hAnsi="Calibri" w:eastAsia="Calibri"/>
      <w:color w:val="1A1A1A"/>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