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before="0" w:after="660" w:lineRule="exact" w:line="312"/>
      </w:pPr>
      <w:r>
        <w:rPr>
          <w:rFonts w:ascii="Arial" w:hAnsi="Arial"/>
          <w:b w:val="0"/>
          <w:color w:val="E53624"/>
          <w:sz w:val="26"/>
        </w:rPr>
        <w:t>GENES &amp; HEREDITY / CLASSROOM PROJECT</w:t>
      </w:r>
    </w:p>
    <w:p>
      <w:pPr>
        <w:pStyle w:val="Title"/>
        <w:keepLines/>
        <w:spacing w:before="0" w:after="300" w:lineRule="exact" w:line="1880"/>
      </w:pPr>
      <w:r>
        <w:rPr>
          <w:rFonts w:ascii="Arial" w:hAnsi="Arial"/>
          <w:b w:val="0"/>
          <w:color w:val="181818"/>
          <w:sz w:val="156"/>
        </w:rPr>
        <w:t>MutaSense</w:t>
      </w:r>
    </w:p>
    <w:p>
      <w:pPr>
        <w:keepLines/>
        <w:spacing w:before="0" w:after="400" w:lineRule="exact" w:line="720"/>
      </w:pPr>
      <w:r>
        <w:rPr>
          <w:rFonts w:ascii="Arial" w:hAnsi="Arial"/>
          <w:b w:val="0"/>
          <w:color w:val="E53624"/>
          <w:sz w:val="60"/>
        </w:rPr>
        <w:t>What can one DNA change do?</w:t>
      </w:r>
    </w:p>
    <w:p>
      <w:pPr>
        <w:keepLines/>
        <w:spacing w:before="0" w:after="240" w:lineRule="exact" w:line="480"/>
      </w:pPr>
      <w:r>
        <w:rPr>
          <w:rFonts w:ascii="Arial" w:hAnsi="Arial"/>
          <w:b w:val="0"/>
          <w:color w:val="181818"/>
          <w:sz w:val="40"/>
        </w:rPr>
        <w:t>Compare two DNA sequences. Follow the evidence.</w:t>
      </w:r>
    </w:p>
    <w:p>
      <w:pPr>
        <w:keepLines/>
        <w:spacing w:before="160" w:after="360" w:lineRule="exact" w:line="20"/>
        <w:pBdr>
          <w:bottom w:val="single" w:sz="4" w:space="1" w:color="D9D9D9"/>
        </w:pBdr>
      </w:pPr>
      <w:r>
        <w:rPr>
          <w:rFonts w:ascii="Arial" w:hAnsi="Arial"/>
          <w:b w:val="0"/>
          <w:color w:val="181818"/>
          <w:sz w:val="2"/>
        </w:rPr>
      </w:r>
    </w:p>
    <w:p>
      <w:pPr>
        <w:keepLines/>
        <w:spacing w:before="0" w:after="380" w:lineRule="exact" w:line="312"/>
      </w:pPr>
      <w:r>
        <w:rPr>
          <w:rFonts w:ascii="Arial" w:hAnsi="Arial"/>
          <w:b w:val="0"/>
          <w:color w:val="E53624"/>
          <w:sz w:val="26"/>
        </w:rPr>
        <w:t>01 / A SMALL CHANGE</w:t>
      </w:r>
    </w:p>
    <w:p>
      <w:pPr>
        <w:keepLines/>
        <w:tabs>
          <w:tab w:pos="4500" w:val="left"/>
          <w:tab w:pos="7020" w:val="left"/>
        </w:tabs>
        <w:spacing w:before="0" w:after="120" w:lineRule="exact" w:line="1440"/>
      </w:pPr>
      <w:r>
        <w:rPr>
          <w:rFonts w:ascii="Arial" w:hAnsi="Arial"/>
          <w:b w:val="0"/>
          <w:color w:val="181818"/>
          <w:sz w:val="116"/>
        </w:rPr>
        <w:t>GAG</w:t>
      </w:r>
      <w:r>
        <w:rPr>
          <w:color w:val="E53624"/>
          <w:sz w:val="96"/>
        </w:rPr>
        <w:tab/>
        <w:t>→</w:t>
      </w:r>
      <w:r>
        <w:rPr>
          <w:sz w:val="116"/>
        </w:rPr>
        <w:tab/>
        <w:t>GTG</w:t>
      </w:r>
    </w:p>
    <w:p>
      <w:pPr>
        <w:keepLines/>
        <w:tabs>
          <w:tab w:pos="7020" w:val="left"/>
        </w:tabs>
        <w:spacing w:before="0" w:after="500" w:lineRule="exact" w:line="384"/>
      </w:pPr>
      <w:r>
        <w:rPr>
          <w:rFonts w:ascii="Arial" w:hAnsi="Arial"/>
          <w:b w:val="0"/>
          <w:color w:val="181818"/>
          <w:sz w:val="32"/>
        </w:rPr>
        <w:t>Normal coding DNA</w:t>
        <w:tab/>
        <w:t>Changed coding DNA</w:t>
      </w:r>
    </w:p>
    <w:p>
      <w:pPr>
        <w:keepLines/>
        <w:spacing w:before="0" w:after="240" w:lineRule="exact" w:line="504"/>
      </w:pPr>
      <w:r>
        <w:rPr>
          <w:rFonts w:ascii="Arial" w:hAnsi="Arial"/>
          <w:b w:val="0"/>
          <w:color w:val="181818"/>
          <w:sz w:val="42"/>
        </w:rPr>
        <w:t>RNA: GAG → GUG</w:t>
      </w:r>
    </w:p>
    <w:p>
      <w:pPr>
        <w:keepLines/>
        <w:spacing w:before="0" w:after="380" w:lineRule="exact" w:line="504"/>
      </w:pPr>
      <w:r>
        <w:rPr>
          <w:rFonts w:ascii="Arial" w:hAnsi="Arial"/>
          <w:b w:val="0"/>
          <w:color w:val="181818"/>
          <w:sz w:val="42"/>
        </w:rPr>
        <w:t>Protein building block: glutamate → valine</w:t>
      </w:r>
    </w:p>
    <w:p>
      <w:pPr>
        <w:keepLines/>
        <w:spacing w:before="0" w:after="240" w:lineRule="exact" w:line="560"/>
      </w:pPr>
      <w:r>
        <w:rPr>
          <w:rFonts w:ascii="Arial" w:hAnsi="Arial"/>
          <w:b w:val="0"/>
          <w:color w:val="181818"/>
          <w:sz w:val="38"/>
        </w:rPr>
        <w:t>This known HBB change affects hemoglobin,</w:t>
        <w:br/>
        <w:t>the protein that carries oxygen in red blood cells.</w:t>
      </w:r>
    </w:p>
    <w:p>
      <w:pPr>
        <w:keepLines/>
        <w:spacing w:before="160" w:after="360" w:lineRule="exact" w:line="20"/>
        <w:pBdr>
          <w:bottom w:val="single" w:sz="4" w:space="1" w:color="D9D9D9"/>
        </w:pBdr>
      </w:pPr>
      <w:r>
        <w:rPr>
          <w:rFonts w:ascii="Arial" w:hAnsi="Arial"/>
          <w:b w:val="0"/>
          <w:color w:val="181818"/>
          <w:sz w:val="2"/>
        </w:rPr>
      </w:r>
    </w:p>
    <w:p>
      <w:pPr>
        <w:keepLines/>
        <w:spacing w:before="0" w:after="440" w:lineRule="exact" w:line="312"/>
      </w:pPr>
      <w:r>
        <w:rPr>
          <w:rFonts w:ascii="Arial" w:hAnsi="Arial"/>
          <w:b w:val="0"/>
          <w:color w:val="E53624"/>
          <w:sz w:val="26"/>
        </w:rPr>
        <w:t>02 / FOLLOW SIX STEPS</w:t>
      </w:r>
    </w:p>
    <w:p>
      <w:pPr>
        <w:keepLines/>
        <w:tabs>
          <w:tab w:pos="7620" w:val="left"/>
        </w:tabs>
        <w:spacing w:before="0" w:after="300" w:lineRule="exact" w:line="580"/>
      </w:pPr>
      <w:r>
        <w:rPr>
          <w:rFonts w:ascii="Arial" w:hAnsi="Arial"/>
          <w:b w:val="0"/>
          <w:color w:val="181818"/>
          <w:sz w:val="40"/>
        </w:rPr>
      </w:r>
      <w:r>
        <w:rPr>
          <w:color w:val="E53624"/>
          <w:sz w:val="46"/>
        </w:rPr>
        <w:t>1</w:t>
      </w:r>
      <w:r>
        <w:rPr>
          <w:sz w:val="40"/>
        </w:rPr>
        <w:t xml:space="preserve">  Enter DNA</w:t>
      </w:r>
      <w:r>
        <w:tab/>
      </w:r>
      <w:r>
        <w:rPr>
          <w:color w:val="E53624"/>
          <w:sz w:val="46"/>
        </w:rPr>
        <w:t>4</w:t>
      </w:r>
      <w:r>
        <w:rPr>
          <w:sz w:val="40"/>
        </w:rPr>
        <w:t xml:space="preserve">  Find sources (optional)</w:t>
      </w:r>
    </w:p>
    <w:p>
      <w:pPr>
        <w:keepLines/>
        <w:tabs>
          <w:tab w:pos="7620" w:val="left"/>
        </w:tabs>
        <w:spacing w:before="0" w:after="300" w:lineRule="exact" w:line="580"/>
      </w:pPr>
      <w:r>
        <w:rPr>
          <w:rFonts w:ascii="Arial" w:hAnsi="Arial"/>
          <w:b w:val="0"/>
          <w:color w:val="181818"/>
          <w:sz w:val="40"/>
        </w:rPr>
      </w:r>
      <w:r>
        <w:rPr>
          <w:color w:val="E53624"/>
          <w:sz w:val="46"/>
        </w:rPr>
        <w:t>2</w:t>
      </w:r>
      <w:r>
        <w:rPr>
          <w:sz w:val="40"/>
        </w:rPr>
        <w:t xml:space="preserve">  Check sequence results</w:t>
      </w:r>
      <w:r>
        <w:tab/>
      </w:r>
      <w:r>
        <w:rPr>
          <w:color w:val="E53624"/>
          <w:sz w:val="46"/>
        </w:rPr>
        <w:t>5</w:t>
      </w:r>
      <w:r>
        <w:rPr>
          <w:sz w:val="40"/>
        </w:rPr>
        <w:t xml:space="preserve">  Review the explanation</w:t>
      </w:r>
    </w:p>
    <w:p>
      <w:pPr>
        <w:keepLines/>
        <w:tabs>
          <w:tab w:pos="7620" w:val="left"/>
        </w:tabs>
        <w:spacing w:before="0" w:after="300" w:lineRule="exact" w:line="580"/>
      </w:pPr>
      <w:r>
        <w:rPr>
          <w:rFonts w:ascii="Arial" w:hAnsi="Arial"/>
          <w:b w:val="0"/>
          <w:color w:val="181818"/>
          <w:sz w:val="40"/>
        </w:rPr>
      </w:r>
      <w:r>
        <w:rPr>
          <w:color w:val="E53624"/>
          <w:sz w:val="46"/>
        </w:rPr>
        <w:t>3</w:t>
      </w:r>
      <w:r>
        <w:rPr>
          <w:sz w:val="40"/>
        </w:rPr>
        <w:t xml:space="preserve">  Add family facts (optional)</w:t>
      </w:r>
      <w:r>
        <w:tab/>
      </w:r>
      <w:r>
        <w:rPr>
          <w:color w:val="E53624"/>
          <w:sz w:val="46"/>
        </w:rPr>
        <w:t>6</w:t>
      </w:r>
      <w:r>
        <w:rPr>
          <w:sz w:val="40"/>
        </w:rPr>
        <w:t xml:space="preserve">  Ask a follow-up</w:t>
      </w:r>
    </w:p>
    <w:p>
      <w:pPr>
        <w:keepLines/>
        <w:spacing w:before="60" w:after="360" w:lineRule="exact" w:line="20"/>
        <w:pBdr>
          <w:bottom w:val="single" w:sz="4" w:space="1" w:color="D9D9D9"/>
        </w:pBdr>
      </w:pPr>
      <w:r>
        <w:rPr>
          <w:rFonts w:ascii="Arial" w:hAnsi="Arial"/>
          <w:b w:val="0"/>
          <w:color w:val="181818"/>
          <w:sz w:val="2"/>
        </w:rPr>
      </w:r>
    </w:p>
    <w:p>
      <w:pPr>
        <w:keepLines/>
        <w:spacing w:before="0" w:after="420" w:lineRule="exact" w:line="312"/>
      </w:pPr>
      <w:r>
        <w:rPr>
          <w:rFonts w:ascii="Arial" w:hAnsi="Arial"/>
          <w:b w:val="0"/>
          <w:color w:val="E53624"/>
          <w:sz w:val="26"/>
        </w:rPr>
        <w:t>03 / KEEP FACTS AND EXPLANATIONS SEPARATE</w:t>
      </w:r>
    </w:p>
    <w:p>
      <w:pPr>
        <w:keepLines/>
        <w:spacing w:before="0" w:after="160" w:lineRule="exact" w:line="456"/>
      </w:pPr>
      <w:r>
        <w:rPr>
          <w:rFonts w:ascii="Arial" w:hAnsi="Arial"/>
          <w:b w:val="0"/>
          <w:color w:val="181818"/>
          <w:sz w:val="38"/>
        </w:rPr>
        <w:t>Code compares letters and translates three-letter groups.</w:t>
      </w:r>
    </w:p>
    <w:p>
      <w:pPr>
        <w:keepLines/>
        <w:spacing w:before="0" w:after="160" w:lineRule="exact" w:line="456"/>
      </w:pPr>
      <w:r>
        <w:rPr>
          <w:rFonts w:ascii="Arial" w:hAnsi="Arial"/>
          <w:b w:val="0"/>
          <w:color w:val="181818"/>
          <w:sz w:val="38"/>
        </w:rPr>
        <w:t>The model explains the evidence. Open citations to check it.</w:t>
      </w:r>
    </w:p>
    <w:p>
      <w:pPr>
        <w:keepLines/>
        <w:spacing w:before="0" w:after="160" w:lineRule="exact" w:line="456"/>
      </w:pPr>
      <w:r>
        <w:rPr>
          <w:rFonts w:ascii="Arial" w:hAnsi="Arial"/>
          <w:b w:val="0"/>
          <w:color w:val="181818"/>
          <w:sz w:val="38"/>
        </w:rPr>
        <w:t>Try a fictional family: Aa × Aa gives AA 25%, Aa 50%, aa 25%.</w:t>
      </w:r>
    </w:p>
    <w:p>
      <w:pPr>
        <w:keepLines/>
        <w:spacing w:before="0" w:after="220" w:lineRule="exact" w:line="432"/>
      </w:pPr>
      <w:r>
        <w:rPr>
          <w:rFonts w:ascii="Arial" w:hAnsi="Arial"/>
          <w:b w:val="0"/>
          <w:color w:val="181818"/>
          <w:sz w:val="36"/>
        </w:rPr>
        <w:t>Each pregnancy is independent in this simple teaching model.</w:t>
      </w:r>
    </w:p>
    <w:p>
      <w:pPr>
        <w:keepLines/>
        <w:spacing w:before="140" w:after="360" w:lineRule="exact" w:line="20"/>
        <w:pBdr>
          <w:bottom w:val="single" w:sz="4" w:space="1" w:color="D9D9D9"/>
        </w:pBdr>
      </w:pPr>
      <w:r>
        <w:rPr>
          <w:rFonts w:ascii="Arial" w:hAnsi="Arial"/>
          <w:b w:val="0"/>
          <w:color w:val="181818"/>
          <w:sz w:val="2"/>
        </w:rPr>
      </w:r>
    </w:p>
    <w:p>
      <w:pPr>
        <w:keepLines/>
        <w:spacing w:before="0" w:after="140" w:lineRule="exact" w:line="480"/>
      </w:pPr>
      <w:r>
        <w:rPr>
          <w:rFonts w:ascii="Arial" w:hAnsi="Arial"/>
          <w:b/>
          <w:color w:val="181818"/>
          <w:sz w:val="40"/>
        </w:rPr>
        <w:t>Not a substitute for professional laboratory experiments.</w:t>
      </w:r>
    </w:p>
    <w:p>
      <w:pPr>
        <w:keepLines/>
        <w:spacing w:before="0" w:after="140" w:lineRule="exact" w:line="432"/>
      </w:pPr>
      <w:r>
        <w:rPr>
          <w:rFonts w:ascii="Arial" w:hAnsi="Arial"/>
          <w:b w:val="0"/>
          <w:color w:val="181818"/>
          <w:sz w:val="36"/>
        </w:rPr>
        <w:t>A short DNA fragment cannot diagnose a person.</w:t>
      </w:r>
    </w:p>
    <w:p>
      <w:pPr>
        <w:keepLines/>
        <w:spacing w:before="0" w:after="400" w:lineRule="exact" w:line="432"/>
      </w:pPr>
      <w:r>
        <w:rPr>
          <w:rFonts w:ascii="Arial" w:hAnsi="Arial"/>
          <w:b w:val="0"/>
          <w:color w:val="181818"/>
          <w:sz w:val="36"/>
        </w:rPr>
        <w:t>Model answers can be wrong. Check the evidence.</w:t>
      </w:r>
    </w:p>
    <w:sectPr w:rsidR="00FC693F" w:rsidRPr="0006063C" w:rsidSect="00034616">
      <w:pgSz w:w="16838" w:h="23811"/>
      <w:pgMar w:top="900" w:right="1040" w:bottom="760" w:left="10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color w:val="1818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181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18181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MutaSense classroom poster</dc:title>
  <dc:subject>Exploring DNA changes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