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val="0"/>
          <w:i w:val="0"/>
          <w:color w:val="555F70"/>
          <w:sz w:val="30"/>
        </w:rPr>
        <w:t>Applied Deep Learning</w:t>
      </w:r>
    </w:p>
    <w:p>
      <w:pPr>
        <w:spacing w:after="600"/>
        <w:jc w:val="center"/>
      </w:pPr>
      <w:r>
        <w:rPr>
          <w:b w:val="0"/>
          <w:i w:val="0"/>
          <w:color w:val="555F70"/>
          <w:sz w:val="24"/>
        </w:rPr>
        <w:t>Semester VII, 2026-27  ·  Assignment 2</w:t>
      </w:r>
    </w:p>
    <w:p>
      <w:pPr>
        <w:spacing w:after="120"/>
        <w:jc w:val="center"/>
      </w:pPr>
      <w:r>
        <w:rPr>
          <w:b/>
          <w:i w:val="0"/>
          <w:color w:val="1F4FD8"/>
          <w:sz w:val="52"/>
        </w:rPr>
        <w:t>Securities Market Sentiment Analysis (SMSA)</w:t>
      </w:r>
    </w:p>
    <w:p>
      <w:pPr>
        <w:spacing w:after="680"/>
        <w:jc w:val="center"/>
      </w:pPr>
      <w:r>
        <w:rPr>
          <w:b w:val="0"/>
          <w:i w:val="0"/>
          <w:sz w:val="25"/>
        </w:rPr>
        <w:t>A Flask web application that uses a pre-trained LLM and prompt engineering to determine the market sentiment expressed in financial text</w:t>
      </w:r>
    </w:p>
    <w:p>
      <w:pPr>
        <w:spacing w:after="480"/>
        <w:jc w:val="center"/>
      </w:pPr>
      <w:r>
        <w:rPr>
          <w:b/>
          <w:i w:val="0"/>
          <w:sz w:val="30"/>
        </w:rPr>
        <w:t>Project Report</w:t>
      </w:r>
    </w:p>
    <w:p>
      <w:pPr>
        <w:spacing w:after="120"/>
        <w:jc w:val="center"/>
      </w:pPr>
      <w:r>
        <w:rPr>
          <w:b/>
          <w:i w:val="0"/>
          <w:sz w:val="26"/>
        </w:rPr>
        <w:t>Group 3</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680"/>
            <w:shd w:val="clear" w:color="auto" w:fill="1F4FD8"/>
          </w:tcPr>
          <w:p>
            <w:r/>
            <w:r>
              <w:rPr>
                <w:b/>
                <w:color w:val="FFFFFF"/>
                <w:sz w:val="22"/>
              </w:rPr>
              <w:t>#</w:t>
            </w:r>
          </w:p>
        </w:tc>
        <w:tc>
          <w:tcPr>
            <w:tcW w:type="dxa" w:w="2381"/>
            <w:shd w:val="clear" w:color="auto" w:fill="1F4FD8"/>
          </w:tcPr>
          <w:p>
            <w:r/>
            <w:r>
              <w:rPr>
                <w:b/>
                <w:color w:val="FFFFFF"/>
                <w:sz w:val="22"/>
              </w:rPr>
              <w:t>Reg. No.</w:t>
            </w:r>
          </w:p>
        </w:tc>
        <w:tc>
          <w:tcPr>
            <w:tcW w:type="dxa" w:w="3742"/>
            <w:shd w:val="clear" w:color="auto" w:fill="1F4FD8"/>
          </w:tcPr>
          <w:p>
            <w:r/>
            <w:r>
              <w:rPr>
                <w:b/>
                <w:color w:val="FFFFFF"/>
                <w:sz w:val="22"/>
              </w:rPr>
              <w:t>Name</w:t>
            </w:r>
          </w:p>
        </w:tc>
      </w:tr>
      <w:tr>
        <w:tc>
          <w:tcPr>
            <w:tcW w:type="dxa" w:w="680"/>
          </w:tcPr>
          <w:p>
            <w:pPr>
              <w:spacing w:after="0" w:line="240" w:lineRule="auto"/>
            </w:pPr>
            <w:r/>
            <w:r>
              <w:rPr>
                <w:sz w:val="22"/>
              </w:rPr>
              <w:t>1</w:t>
            </w:r>
          </w:p>
        </w:tc>
        <w:tc>
          <w:tcPr>
            <w:tcW w:type="dxa" w:w="2381"/>
          </w:tcPr>
          <w:p>
            <w:pPr>
              <w:spacing w:after="0" w:line="240" w:lineRule="auto"/>
            </w:pPr>
            <w:r/>
            <w:r>
              <w:rPr>
                <w:sz w:val="22"/>
              </w:rPr>
              <w:t>2023UG000108</w:t>
            </w:r>
          </w:p>
        </w:tc>
        <w:tc>
          <w:tcPr>
            <w:tcW w:type="dxa" w:w="3742"/>
          </w:tcPr>
          <w:p>
            <w:pPr>
              <w:spacing w:after="0" w:line="240" w:lineRule="auto"/>
            </w:pPr>
            <w:r/>
            <w:r>
              <w:rPr>
                <w:sz w:val="22"/>
              </w:rPr>
              <w:t>Sania Vallikar</w:t>
            </w:r>
          </w:p>
        </w:tc>
      </w:tr>
      <w:tr>
        <w:tc>
          <w:tcPr>
            <w:tcW w:type="dxa" w:w="680"/>
            <w:shd w:val="clear" w:color="auto" w:fill="F3F6FB"/>
          </w:tcPr>
          <w:p>
            <w:pPr>
              <w:spacing w:after="0" w:line="240" w:lineRule="auto"/>
            </w:pPr>
            <w:r/>
            <w:r>
              <w:rPr>
                <w:sz w:val="22"/>
              </w:rPr>
              <w:t>2</w:t>
            </w:r>
          </w:p>
        </w:tc>
        <w:tc>
          <w:tcPr>
            <w:tcW w:type="dxa" w:w="2381"/>
            <w:shd w:val="clear" w:color="auto" w:fill="F3F6FB"/>
          </w:tcPr>
          <w:p>
            <w:pPr>
              <w:spacing w:after="0" w:line="240" w:lineRule="auto"/>
            </w:pPr>
            <w:r/>
            <w:r>
              <w:rPr>
                <w:sz w:val="22"/>
              </w:rPr>
              <w:t>2023UG000109</w:t>
            </w:r>
          </w:p>
        </w:tc>
        <w:tc>
          <w:tcPr>
            <w:tcW w:type="dxa" w:w="3742"/>
            <w:shd w:val="clear" w:color="auto" w:fill="F3F6FB"/>
          </w:tcPr>
          <w:p>
            <w:pPr>
              <w:spacing w:after="0" w:line="240" w:lineRule="auto"/>
            </w:pPr>
            <w:r/>
            <w:r>
              <w:rPr>
                <w:sz w:val="22"/>
              </w:rPr>
              <w:t>Shivshankar Mule</w:t>
            </w:r>
          </w:p>
        </w:tc>
      </w:tr>
      <w:tr>
        <w:tc>
          <w:tcPr>
            <w:tcW w:type="dxa" w:w="680"/>
          </w:tcPr>
          <w:p>
            <w:pPr>
              <w:spacing w:after="0" w:line="240" w:lineRule="auto"/>
            </w:pPr>
            <w:r/>
            <w:r>
              <w:rPr>
                <w:sz w:val="22"/>
              </w:rPr>
              <w:t>3</w:t>
            </w:r>
          </w:p>
        </w:tc>
        <w:tc>
          <w:tcPr>
            <w:tcW w:type="dxa" w:w="2381"/>
          </w:tcPr>
          <w:p>
            <w:pPr>
              <w:spacing w:after="0" w:line="240" w:lineRule="auto"/>
            </w:pPr>
            <w:r/>
            <w:r>
              <w:rPr>
                <w:sz w:val="22"/>
              </w:rPr>
              <w:t>2023UG000110</w:t>
            </w:r>
          </w:p>
        </w:tc>
        <w:tc>
          <w:tcPr>
            <w:tcW w:type="dxa" w:w="3742"/>
          </w:tcPr>
          <w:p>
            <w:pPr>
              <w:spacing w:after="0" w:line="240" w:lineRule="auto"/>
            </w:pPr>
            <w:r/>
            <w:r>
              <w:rPr>
                <w:sz w:val="22"/>
              </w:rPr>
              <w:t>Shruti Sen</w:t>
            </w:r>
          </w:p>
        </w:tc>
      </w:tr>
      <w:tr>
        <w:tc>
          <w:tcPr>
            <w:tcW w:type="dxa" w:w="680"/>
            <w:shd w:val="clear" w:color="auto" w:fill="F3F6FB"/>
          </w:tcPr>
          <w:p>
            <w:pPr>
              <w:spacing w:after="0" w:line="240" w:lineRule="auto"/>
            </w:pPr>
            <w:r/>
            <w:r>
              <w:rPr>
                <w:sz w:val="22"/>
              </w:rPr>
              <w:t>4</w:t>
            </w:r>
          </w:p>
        </w:tc>
        <w:tc>
          <w:tcPr>
            <w:tcW w:type="dxa" w:w="2381"/>
            <w:shd w:val="clear" w:color="auto" w:fill="F3F6FB"/>
          </w:tcPr>
          <w:p>
            <w:pPr>
              <w:spacing w:after="0" w:line="240" w:lineRule="auto"/>
            </w:pPr>
            <w:r/>
            <w:r>
              <w:rPr>
                <w:sz w:val="22"/>
              </w:rPr>
              <w:t>2023UG000111</w:t>
            </w:r>
          </w:p>
        </w:tc>
        <w:tc>
          <w:tcPr>
            <w:tcW w:type="dxa" w:w="3742"/>
            <w:shd w:val="clear" w:color="auto" w:fill="F3F6FB"/>
          </w:tcPr>
          <w:p>
            <w:pPr>
              <w:spacing w:after="0" w:line="240" w:lineRule="auto"/>
            </w:pPr>
            <w:r/>
            <w:r>
              <w:rPr>
                <w:sz w:val="22"/>
              </w:rPr>
              <w:t>Sreeja S.</w:t>
            </w:r>
          </w:p>
        </w:tc>
      </w:tr>
      <w:tr>
        <w:tc>
          <w:tcPr>
            <w:tcW w:type="dxa" w:w="680"/>
          </w:tcPr>
          <w:p>
            <w:pPr>
              <w:spacing w:after="0" w:line="240" w:lineRule="auto"/>
            </w:pPr>
            <w:r/>
            <w:r>
              <w:rPr>
                <w:sz w:val="22"/>
              </w:rPr>
              <w:t>5</w:t>
            </w:r>
          </w:p>
        </w:tc>
        <w:tc>
          <w:tcPr>
            <w:tcW w:type="dxa" w:w="2381"/>
          </w:tcPr>
          <w:p>
            <w:pPr>
              <w:spacing w:after="0" w:line="240" w:lineRule="auto"/>
            </w:pPr>
            <w:r/>
            <w:r>
              <w:rPr>
                <w:sz w:val="22"/>
              </w:rPr>
              <w:t>2023UG000112</w:t>
            </w:r>
          </w:p>
        </w:tc>
        <w:tc>
          <w:tcPr>
            <w:tcW w:type="dxa" w:w="3742"/>
          </w:tcPr>
          <w:p>
            <w:pPr>
              <w:spacing w:after="0" w:line="240" w:lineRule="auto"/>
            </w:pPr>
            <w:r/>
            <w:r>
              <w:rPr>
                <w:sz w:val="22"/>
              </w:rPr>
              <w:t>Suresh Chandra Kandpal</w:t>
            </w:r>
          </w:p>
        </w:tc>
      </w:tr>
    </w:tbl>
    <w:p>
      <w:pPr>
        <w:spacing w:after="40"/>
      </w:pPr>
    </w:p>
    <w:p/>
    <w:p>
      <w:pPr>
        <w:spacing w:after="40"/>
        <w:jc w:val="center"/>
      </w:pPr>
      <w:r>
        <w:rPr>
          <w:b w:val="0"/>
          <w:i w:val="0"/>
          <w:sz w:val="22"/>
        </w:rPr>
        <w:t>Domain: Securities Market / Financial Markets</w:t>
      </w:r>
    </w:p>
    <w:p>
      <w:pPr>
        <w:spacing w:after="40"/>
        <w:jc w:val="center"/>
      </w:pPr>
      <w:r>
        <w:rPr>
          <w:b w:val="0"/>
          <w:i w:val="0"/>
          <w:sz w:val="22"/>
        </w:rPr>
        <w:t>Course instructor: Narayana Maddala</w:t>
      </w:r>
    </w:p>
    <w:p>
      <w:pPr>
        <w:jc w:val="center"/>
      </w:pPr>
      <w:r>
        <w:rPr>
          <w:b w:val="0"/>
          <w:i w:val="0"/>
          <w:sz w:val="22"/>
        </w:rPr>
        <w:t>Submission: October 2026</w:t>
      </w:r>
    </w:p>
    <w:p>
      <w:r>
        <w:br w:type="page"/>
      </w:r>
    </w:p>
    <w:p>
      <w:pPr>
        <w:pStyle w:val="Heading1"/>
      </w:pPr>
      <w:r>
        <w:t>Contents</w:t>
      </w:r>
    </w:p>
    <w:p>
      <w:pPr>
        <w:spacing w:after="40"/>
      </w:pPr>
      <w:r>
        <w:rPr>
          <w:b w:val="0"/>
          <w:i w:val="0"/>
        </w:rPr>
        <w:t>1.  Introduction and objective</w:t>
      </w:r>
    </w:p>
    <w:p>
      <w:pPr>
        <w:spacing w:after="40"/>
      </w:pPr>
      <w:r>
        <w:rPr>
          <w:b w:val="0"/>
          <w:i w:val="0"/>
        </w:rPr>
        <w:t>2.  System overview</w:t>
      </w:r>
    </w:p>
    <w:p>
      <w:pPr>
        <w:spacing w:after="40"/>
      </w:pPr>
      <w:r>
        <w:rPr>
          <w:b w:val="0"/>
          <w:i w:val="0"/>
        </w:rPr>
        <w:t>3.  Database structure</w:t>
      </w:r>
    </w:p>
    <w:p>
      <w:pPr>
        <w:spacing w:after="40"/>
      </w:pPr>
      <w:r>
        <w:rPr>
          <w:b w:val="0"/>
          <w:i w:val="0"/>
        </w:rPr>
        <w:t>4.  Key components of the system</w:t>
      </w:r>
    </w:p>
    <w:p>
      <w:pPr>
        <w:spacing w:after="40"/>
      </w:pPr>
      <w:r>
        <w:rPr>
          <w:b w:val="0"/>
          <w:i w:val="0"/>
        </w:rPr>
        <w:t xml:space="preserve">      4.1  Frontend</w:t>
      </w:r>
    </w:p>
    <w:p>
      <w:pPr>
        <w:spacing w:after="40"/>
      </w:pPr>
      <w:r>
        <w:rPr>
          <w:b w:val="0"/>
          <w:i w:val="0"/>
        </w:rPr>
        <w:t xml:space="preserve">      4.2  Backend</w:t>
      </w:r>
    </w:p>
    <w:p>
      <w:pPr>
        <w:spacing w:after="40"/>
      </w:pPr>
      <w:r>
        <w:rPr>
          <w:b w:val="0"/>
          <w:i w:val="0"/>
        </w:rPr>
        <w:t>5.  LLM integration details</w:t>
      </w:r>
    </w:p>
    <w:p>
      <w:pPr>
        <w:spacing w:after="40"/>
      </w:pPr>
      <w:r>
        <w:rPr>
          <w:b w:val="0"/>
          <w:i w:val="0"/>
        </w:rPr>
        <w:t>6.  Test data set</w:t>
      </w:r>
    </w:p>
    <w:p>
      <w:pPr>
        <w:spacing w:after="40"/>
      </w:pPr>
      <w:r>
        <w:rPr>
          <w:b w:val="0"/>
          <w:i w:val="0"/>
        </w:rPr>
        <w:t>7.  Test results</w:t>
      </w:r>
    </w:p>
    <w:p>
      <w:pPr>
        <w:spacing w:after="40"/>
      </w:pPr>
      <w:r>
        <w:rPr>
          <w:b w:val="0"/>
          <w:i w:val="0"/>
        </w:rPr>
        <w:t>8.  Limitations, conclusion and future work</w:t>
      </w:r>
    </w:p>
    <w:p>
      <w:pPr>
        <w:spacing w:after="40"/>
      </w:pPr>
      <w:r>
        <w:rPr>
          <w:b w:val="0"/>
          <w:i w:val="0"/>
        </w:rPr>
        <w:t>Appendix A.  How to run the system</w:t>
      </w:r>
    </w:p>
    <w:p>
      <w:pPr>
        <w:spacing w:after="40"/>
      </w:pPr>
      <w:r>
        <w:rPr>
          <w:b w:val="0"/>
          <w:i w:val="0"/>
        </w:rPr>
        <w:t>Appendix B.  Test data set with the predictions of every model</w:t>
      </w:r>
    </w:p>
    <w:p/>
    <w:p>
      <w:pPr>
        <w:pStyle w:val="Heading2"/>
      </w:pPr>
      <w:r>
        <w:t>Summary of what was built</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175"/>
            <w:shd w:val="clear" w:color="auto" w:fill="1F4FD8"/>
          </w:tcPr>
          <w:p>
            <w:r/>
            <w:r>
              <w:rPr>
                <w:b/>
                <w:color w:val="FFFFFF"/>
                <w:sz w:val="19"/>
              </w:rPr>
              <w:t>Assignment requirement</w:t>
            </w:r>
          </w:p>
        </w:tc>
        <w:tc>
          <w:tcPr>
            <w:tcW w:type="dxa" w:w="6236"/>
            <w:shd w:val="clear" w:color="auto" w:fill="1F4FD8"/>
          </w:tcPr>
          <w:p>
            <w:r/>
            <w:r>
              <w:rPr>
                <w:b/>
                <w:color w:val="FFFFFF"/>
                <w:sz w:val="19"/>
              </w:rPr>
              <w:t>What we delivered</w:t>
            </w:r>
          </w:p>
        </w:tc>
      </w:tr>
      <w:tr>
        <w:tc>
          <w:tcPr>
            <w:tcW w:type="dxa" w:w="3175"/>
          </w:tcPr>
          <w:p>
            <w:pPr>
              <w:spacing w:after="0" w:line="240" w:lineRule="auto"/>
            </w:pPr>
            <w:r/>
            <w:r>
              <w:rPr>
                <w:b/>
                <w:sz w:val="19"/>
              </w:rPr>
              <w:t>Task 1 – test data set of at least 50 financial texts of five types</w:t>
            </w:r>
          </w:p>
        </w:tc>
        <w:tc>
          <w:tcPr>
            <w:tcW w:type="dxa" w:w="6236"/>
          </w:tcPr>
          <w:p>
            <w:pPr>
              <w:spacing w:after="0" w:line="240" w:lineRule="auto"/>
            </w:pPr>
            <w:r/>
            <w:r>
              <w:rPr>
                <w:sz w:val="19"/>
              </w:rPr>
              <w:t>60 labelled texts: 12 each of financial news, company announcements, analyst commentary, investor comments and social-media comments, balanced across Positive / Negative / Neutral.</w:t>
            </w:r>
          </w:p>
        </w:tc>
      </w:tr>
      <w:tr>
        <w:tc>
          <w:tcPr>
            <w:tcW w:type="dxa" w:w="3175"/>
            <w:shd w:val="clear" w:color="auto" w:fill="F3F6FB"/>
          </w:tcPr>
          <w:p>
            <w:pPr>
              <w:spacing w:after="0" w:line="240" w:lineRule="auto"/>
            </w:pPr>
            <w:r/>
            <w:r>
              <w:rPr>
                <w:b/>
                <w:sz w:val="19"/>
              </w:rPr>
              <w:t>Task 2 – frontend in Python or HTML &amp; CSS</w:t>
            </w:r>
          </w:p>
        </w:tc>
        <w:tc>
          <w:tcPr>
            <w:tcW w:type="dxa" w:w="6236"/>
            <w:shd w:val="clear" w:color="auto" w:fill="F3F6FB"/>
          </w:tcPr>
          <w:p>
            <w:pPr>
              <w:spacing w:after="0" w:line="240" w:lineRule="auto"/>
            </w:pPr>
            <w:r/>
            <w:r>
              <w:rPr>
                <w:sz w:val="19"/>
              </w:rPr>
              <w:t>HTML + CSS + JavaScript frontend with four pages: Analyse, History, Dashboard, Test Results.</w:t>
            </w:r>
          </w:p>
        </w:tc>
      </w:tr>
      <w:tr>
        <w:tc>
          <w:tcPr>
            <w:tcW w:type="dxa" w:w="3175"/>
          </w:tcPr>
          <w:p>
            <w:pPr>
              <w:spacing w:after="0" w:line="240" w:lineRule="auto"/>
            </w:pPr>
            <w:r/>
            <w:r>
              <w:rPr>
                <w:b/>
                <w:sz w:val="19"/>
              </w:rPr>
              <w:t>Task 3 – Flask backend integrated with a pre-trained LLM</w:t>
            </w:r>
          </w:p>
        </w:tc>
        <w:tc>
          <w:tcPr>
            <w:tcW w:type="dxa" w:w="6236"/>
          </w:tcPr>
          <w:p>
            <w:pPr>
              <w:spacing w:after="0" w:line="240" w:lineRule="auto"/>
            </w:pPr>
            <w:r/>
            <w:r>
              <w:rPr>
                <w:sz w:val="19"/>
              </w:rPr>
              <w:t>Flask REST API with 13 endpoints. Pre-trained models: gpt-oss-120b through the Groq API (default), Google Gemini as automatic fallback, Qwen2.5-1.5B-Instruct and FinBERT running locally. If Groq fails, Gemini answers; if both cloud APIs fail, the local model answers.</w:t>
            </w:r>
          </w:p>
        </w:tc>
      </w:tr>
      <w:tr>
        <w:tc>
          <w:tcPr>
            <w:tcW w:type="dxa" w:w="3175"/>
            <w:shd w:val="clear" w:color="auto" w:fill="F3F6FB"/>
          </w:tcPr>
          <w:p>
            <w:pPr>
              <w:spacing w:after="0" w:line="240" w:lineRule="auto"/>
            </w:pPr>
            <w:r/>
            <w:r>
              <w:rPr>
                <w:b/>
                <w:sz w:val="19"/>
              </w:rPr>
              <w:t>Task 4 – database structure for the LLM responses</w:t>
            </w:r>
          </w:p>
        </w:tc>
        <w:tc>
          <w:tcPr>
            <w:tcW w:type="dxa" w:w="6236"/>
            <w:shd w:val="clear" w:color="auto" w:fill="F3F6FB"/>
          </w:tcPr>
          <w:p>
            <w:pPr>
              <w:spacing w:after="0" w:line="240" w:lineRule="auto"/>
            </w:pPr>
            <w:r/>
            <w:r>
              <w:rPr>
                <w:sz w:val="19"/>
              </w:rPr>
              <w:t>Normalised SQLite database with 7 tables and 1 view; every request and LLM response is stored in one transaction.</w:t>
            </w:r>
          </w:p>
        </w:tc>
      </w:tr>
      <w:tr>
        <w:tc>
          <w:tcPr>
            <w:tcW w:type="dxa" w:w="3175"/>
          </w:tcPr>
          <w:p>
            <w:pPr>
              <w:spacing w:after="0" w:line="240" w:lineRule="auto"/>
            </w:pPr>
            <w:r/>
            <w:r>
              <w:rPr>
                <w:b/>
                <w:sz w:val="19"/>
              </w:rPr>
              <w:t>Deliverable 1(d) – test results</w:t>
            </w:r>
          </w:p>
        </w:tc>
        <w:tc>
          <w:tcPr>
            <w:tcW w:type="dxa" w:w="6236"/>
          </w:tcPr>
          <w:p>
            <w:pPr>
              <w:spacing w:after="0" w:line="240" w:lineRule="auto"/>
            </w:pPr>
            <w:r/>
            <w:r>
              <w:rPr>
                <w:sz w:val="19"/>
              </w:rPr>
              <w:t>Default configuration: 58/60 correct (96.7%). Local LLM with the engineered prompt: 60/60 (100.0%); zero-shot prompt: 58/60 (96.7%); FinBERT baseline: 50/60 (83.3%).</w:t>
            </w:r>
          </w:p>
        </w:tc>
      </w:tr>
    </w:tbl>
    <w:p>
      <w:pPr>
        <w:spacing w:after="40"/>
      </w:pPr>
    </w:p>
    <w:p>
      <w:r>
        <w:br w:type="page"/>
      </w:r>
    </w:p>
    <w:p>
      <w:pPr>
        <w:pStyle w:val="Heading1"/>
      </w:pPr>
      <w:r>
        <w:t>1. Introduction and objective</w:t>
      </w:r>
    </w:p>
    <w:p>
      <w:r>
        <w:rPr>
          <w:b w:val="0"/>
          <w:i w:val="0"/>
        </w:rPr>
        <w:t xml:space="preserve">Prices in the securities market react to information: quarterly results, regulatory actions, analyst ratings, and increasingly the mood of investors on social media. The objective of this assignment is to build a Python web application that accepts such financial text and uses a Transformer / large language model (LLM) to determine the </w:t>
      </w:r>
      <w:r>
        <w:rPr>
          <w:b/>
          <w:i w:val="0"/>
        </w:rPr>
        <w:t>market sentiment</w:t>
      </w:r>
      <w:r>
        <w:rPr>
          <w:b w:val="0"/>
          <w:i w:val="0"/>
        </w:rPr>
        <w:t xml:space="preserve"> it expresses about a company: </w:t>
      </w:r>
      <w:r>
        <w:rPr>
          <w:b/>
          <w:i w:val="0"/>
        </w:rPr>
        <w:t>Positive</w:t>
      </w:r>
      <w:r>
        <w:rPr>
          <w:b w:val="0"/>
          <w:i w:val="0"/>
        </w:rPr>
        <w:t xml:space="preserve">, </w:t>
      </w:r>
      <w:r>
        <w:rPr>
          <w:b/>
          <w:i w:val="0"/>
        </w:rPr>
        <w:t>Negative</w:t>
      </w:r>
      <w:r>
        <w:rPr>
          <w:b w:val="0"/>
          <w:i w:val="0"/>
        </w:rPr>
        <w:t xml:space="preserve"> or </w:t>
      </w:r>
      <w:r>
        <w:rPr>
          <w:b/>
          <w:i w:val="0"/>
        </w:rPr>
        <w:t>Neutral</w:t>
      </w:r>
      <w:r>
        <w:rPr>
          <w:b w:val="0"/>
          <w:i w:val="0"/>
        </w:rPr>
        <w:t>.</w:t>
      </w:r>
    </w:p>
    <w:p>
      <w:r>
        <w:rPr>
          <w:b w:val="0"/>
          <w:i w:val="0"/>
        </w:rPr>
        <w:t>The example given in the assignment is reproduced exactly by the system:</w:t>
      </w:r>
    </w:p>
    <w:p>
      <w:pPr>
        <w:spacing w:after="0" w:line="240" w:lineRule="auto"/>
        <w:ind w:left="170"/>
        <w:shd w:val="clear" w:color="auto" w:fill="F1F3F7"/>
      </w:pPr>
      <w:r>
        <w:rPr>
          <w:rFonts w:ascii="Menlo" w:hAnsi="Menlo" w:eastAsia="Menlo"/>
          <w:sz w:val="17"/>
        </w:rPr>
        <w:t>Input : "The M/s XYZ Limited reported strong quarterly earnings, with revenue increasing</w:t>
      </w:r>
    </w:p>
    <w:p>
      <w:pPr>
        <w:spacing w:after="0" w:line="240" w:lineRule="auto"/>
        <w:ind w:left="170"/>
        <w:shd w:val="clear" w:color="auto" w:fill="F1F3F7"/>
      </w:pPr>
      <w:r>
        <w:rPr>
          <w:rFonts w:ascii="Menlo" w:hAnsi="Menlo" w:eastAsia="Menlo"/>
          <w:sz w:val="17"/>
        </w:rPr>
        <w:t xml:space="preserve">         significantly. Analysts expressed optimism about future growth."</w:t>
      </w:r>
    </w:p>
    <w:p>
      <w:pPr>
        <w:spacing w:after="0" w:line="240" w:lineRule="auto"/>
        <w:ind w:left="170"/>
        <w:shd w:val="clear" w:color="auto" w:fill="F1F3F7"/>
      </w:pPr>
      <w:r>
        <w:rPr>
          <w:rFonts w:ascii="Menlo" w:hAnsi="Menlo" w:eastAsia="Menlo"/>
          <w:sz w:val="17"/>
        </w:rPr>
        <w:t>Output: Positive   (company detected: XYZ Limited)</w:t>
      </w:r>
    </w:p>
    <w:p>
      <w:pPr>
        <w:spacing w:after="40"/>
      </w:pPr>
    </w:p>
    <w:p>
      <w:r>
        <w:rPr>
          <w:b w:val="0"/>
          <w:i w:val="0"/>
        </w:rPr>
        <w:t>The work covers the four required tasks: (1) a test data set of financial texts, (2) a frontend that accepts the text, (3) a Flask backend that passes the text to a pre-trained LLM through an engineered prompt and stores the response, and (4) a database structure for those responses. The report follows the order of the expected deliverables: database structure (Section 3), key components (Section 4), LLM integration (Section 5) and test results (Sections 6 and 7).</w:t>
      </w:r>
    </w:p>
    <w:p>
      <w:pPr>
        <w:pStyle w:val="Heading1"/>
      </w:pPr>
      <w:r>
        <w:t>2. System overview</w:t>
      </w:r>
    </w:p>
    <w:p>
      <w:r>
        <w:rPr>
          <w:b w:val="0"/>
          <w:i w:val="0"/>
        </w:rPr>
        <w:t>SMSA is a three-tier application. The browser talks to the Flask backend only through JSON REST calls; the backend builds the prompt, calls the selected LLM, converts the answer into a common result format and writes it to SQLite.</w:t>
      </w:r>
    </w:p>
    <w:p>
      <w:pPr>
        <w:keepNext/>
        <w:jc w:val="center"/>
      </w:pPr>
      <w:r>
        <w:drawing>
          <wp:inline xmlns:a="http://schemas.openxmlformats.org/drawingml/2006/main" xmlns:pic="http://schemas.openxmlformats.org/drawingml/2006/picture">
            <wp:extent cx="5832000" cy="301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32000" cy="3013200"/>
                    </a:xfrm>
                    <a:prstGeom prst="rect"/>
                  </pic:spPr>
                </pic:pic>
              </a:graphicData>
            </a:graphic>
          </wp:inline>
        </w:drawing>
      </w:r>
    </w:p>
    <w:p>
      <w:pPr>
        <w:spacing w:after="200"/>
        <w:jc w:val="center"/>
      </w:pPr>
      <w:r>
        <w:rPr>
          <w:b w:val="0"/>
          <w:i/>
          <w:color w:val="555F70"/>
          <w:sz w:val="18"/>
        </w:rPr>
        <w:t>Figure 1: System architecture</w:t>
      </w:r>
    </w:p>
    <w:p>
      <w:pPr>
        <w:pStyle w:val="Heading2"/>
      </w:pPr>
      <w:r>
        <w:t>Request flow</w:t>
      </w:r>
    </w:p>
    <w:p>
      <w:pPr>
        <w:pStyle w:val="ListNumber"/>
        <w:spacing w:after="40"/>
      </w:pPr>
      <w:r>
        <w:rPr>
          <w:b w:val="0"/>
        </w:rPr>
        <w:t xml:space="preserve">The user types or pastes a financial text on the Analyse page, optionally gives the company name and text type, and presses </w:t>
      </w:r>
      <w:r>
        <w:rPr>
          <w:b/>
        </w:rPr>
        <w:t>Analyse sentiment</w:t>
      </w:r>
      <w:r>
        <w:rPr>
          <w:b w:val="0"/>
        </w:rPr>
        <w:t>.</w:t>
      </w:r>
    </w:p>
    <w:p>
      <w:pPr>
        <w:pStyle w:val="ListNumber"/>
        <w:spacing w:after="40"/>
      </w:pPr>
      <w:r>
        <w:rPr>
          <w:b w:val="0"/>
        </w:rPr>
        <w:t xml:space="preserve">JavaScript sends the form as JSON to </w:t>
      </w:r>
      <w:r>
        <w:rPr>
          <w:b/>
        </w:rPr>
        <w:t>POST /api/analyze</w:t>
      </w:r>
      <w:r>
        <w:rPr>
          <w:b w:val="0"/>
        </w:rPr>
        <w:t>.</w:t>
      </w:r>
    </w:p>
    <w:p>
      <w:pPr>
        <w:pStyle w:val="ListNumber"/>
        <w:spacing w:after="40"/>
      </w:pPr>
      <w:r>
        <w:rPr>
          <w:b w:val="0"/>
        </w:rPr>
        <w:t>The backend validates the input (length, text type, model name) and returns a clear error message with HTTP 400 if it is invalid.</w:t>
      </w:r>
    </w:p>
    <w:p>
      <w:pPr>
        <w:pStyle w:val="ListNumber"/>
        <w:spacing w:after="40"/>
      </w:pPr>
      <w:r>
        <w:rPr>
          <w:b w:val="0"/>
        </w:rPr>
        <w:t>The LLM integration layer builds the prompt (role, label definitions, domain rules, few-shot examples, output format) and calls the selected model.</w:t>
      </w:r>
    </w:p>
    <w:p>
      <w:pPr>
        <w:pStyle w:val="ListNumber"/>
        <w:spacing w:after="40"/>
      </w:pPr>
      <w:r>
        <w:rPr>
          <w:b w:val="0"/>
        </w:rPr>
        <w:t>The answer is converted to a common structure: sentiment, probability of each label, confidence, score, detected company, key factors and one-sentence reasoning.</w:t>
      </w:r>
    </w:p>
    <w:p>
      <w:pPr>
        <w:pStyle w:val="ListNumber"/>
        <w:spacing w:after="40"/>
      </w:pPr>
      <w:r>
        <w:rPr>
          <w:b w:val="0"/>
        </w:rPr>
        <w:t>The request and the LLM response are stored in the database in a single transaction, and the stored record is returned to the browser, which displays it.</w:t>
      </w:r>
    </w:p>
    <w:p>
      <w:pPr>
        <w:pStyle w:val="Heading2"/>
      </w:pPr>
      <w:r>
        <w:t>Technology stack</w:t>
      </w:r>
    </w:p>
    <w:p>
      <w:pPr>
        <w:keepNext/>
        <w:spacing w:after="60"/>
      </w:pPr>
      <w:r>
        <w:rPr>
          <w:b/>
          <w:i w:val="0"/>
          <w:color w:val="555F70"/>
          <w:sz w:val="19"/>
        </w:rPr>
        <w:t>Table 1: Technology stack</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474"/>
            <w:shd w:val="clear" w:color="auto" w:fill="1F4FD8"/>
          </w:tcPr>
          <w:p>
            <w:r/>
            <w:r>
              <w:rPr>
                <w:b/>
                <w:color w:val="FFFFFF"/>
                <w:sz w:val="18"/>
              </w:rPr>
              <w:t>Layer</w:t>
            </w:r>
          </w:p>
        </w:tc>
        <w:tc>
          <w:tcPr>
            <w:tcW w:type="dxa" w:w="3515"/>
            <w:shd w:val="clear" w:color="auto" w:fill="1F4FD8"/>
          </w:tcPr>
          <w:p>
            <w:r/>
            <w:r>
              <w:rPr>
                <w:b/>
                <w:color w:val="FFFFFF"/>
                <w:sz w:val="18"/>
              </w:rPr>
              <w:t>Technology</w:t>
            </w:r>
          </w:p>
        </w:tc>
        <w:tc>
          <w:tcPr>
            <w:tcW w:type="dxa" w:w="4422"/>
            <w:shd w:val="clear" w:color="auto" w:fill="1F4FD8"/>
          </w:tcPr>
          <w:p>
            <w:r/>
            <w:r>
              <w:rPr>
                <w:b/>
                <w:color w:val="FFFFFF"/>
                <w:sz w:val="18"/>
              </w:rPr>
              <w:t>Purpose</w:t>
            </w:r>
          </w:p>
        </w:tc>
      </w:tr>
      <w:tr>
        <w:tc>
          <w:tcPr>
            <w:tcW w:type="dxa" w:w="1474"/>
          </w:tcPr>
          <w:p>
            <w:pPr>
              <w:spacing w:after="0" w:line="240" w:lineRule="auto"/>
            </w:pPr>
            <w:r/>
            <w:r>
              <w:rPr>
                <w:b/>
                <w:sz w:val="18"/>
              </w:rPr>
              <w:t>Frontend</w:t>
            </w:r>
          </w:p>
        </w:tc>
        <w:tc>
          <w:tcPr>
            <w:tcW w:type="dxa" w:w="3515"/>
          </w:tcPr>
          <w:p>
            <w:pPr>
              <w:spacing w:after="0" w:line="240" w:lineRule="auto"/>
            </w:pPr>
            <w:r/>
            <w:r>
              <w:rPr>
                <w:sz w:val="18"/>
              </w:rPr>
              <w:t>HTML5, CSS3, vanilla JavaScript (fetch API), Jinja2 templates</w:t>
            </w:r>
          </w:p>
        </w:tc>
        <w:tc>
          <w:tcPr>
            <w:tcW w:type="dxa" w:w="4422"/>
          </w:tcPr>
          <w:p>
            <w:pPr>
              <w:spacing w:after="0" w:line="240" w:lineRule="auto"/>
            </w:pPr>
            <w:r/>
            <w:r>
              <w:rPr>
                <w:sz w:val="18"/>
              </w:rPr>
              <w:t>Input form, result display, history, dashboard, test results. No external libraries, so it works offline.</w:t>
            </w:r>
          </w:p>
        </w:tc>
      </w:tr>
      <w:tr>
        <w:tc>
          <w:tcPr>
            <w:tcW w:type="dxa" w:w="1474"/>
            <w:shd w:val="clear" w:color="auto" w:fill="F3F6FB"/>
          </w:tcPr>
          <w:p>
            <w:pPr>
              <w:spacing w:after="0" w:line="240" w:lineRule="auto"/>
            </w:pPr>
            <w:r/>
            <w:r>
              <w:rPr>
                <w:b/>
                <w:sz w:val="18"/>
              </w:rPr>
              <w:t>Backend</w:t>
            </w:r>
          </w:p>
        </w:tc>
        <w:tc>
          <w:tcPr>
            <w:tcW w:type="dxa" w:w="3515"/>
            <w:shd w:val="clear" w:color="auto" w:fill="F3F6FB"/>
          </w:tcPr>
          <w:p>
            <w:pPr>
              <w:spacing w:after="0" w:line="240" w:lineRule="auto"/>
            </w:pPr>
            <w:r/>
            <w:r>
              <w:rPr>
                <w:sz w:val="18"/>
              </w:rPr>
              <w:t>Python 3, Flask 3</w:t>
            </w:r>
          </w:p>
        </w:tc>
        <w:tc>
          <w:tcPr>
            <w:tcW w:type="dxa" w:w="4422"/>
            <w:shd w:val="clear" w:color="auto" w:fill="F3F6FB"/>
          </w:tcPr>
          <w:p>
            <w:pPr>
              <w:spacing w:after="0" w:line="240" w:lineRule="auto"/>
            </w:pPr>
            <w:r/>
            <w:r>
              <w:rPr>
                <w:sz w:val="18"/>
              </w:rPr>
              <w:t>Page routes and REST API, validation, error handling.</w:t>
            </w:r>
          </w:p>
        </w:tc>
      </w:tr>
      <w:tr>
        <w:tc>
          <w:tcPr>
            <w:tcW w:type="dxa" w:w="1474"/>
          </w:tcPr>
          <w:p>
            <w:pPr>
              <w:spacing w:after="0" w:line="240" w:lineRule="auto"/>
            </w:pPr>
            <w:r/>
            <w:r>
              <w:rPr>
                <w:b/>
                <w:sz w:val="18"/>
              </w:rPr>
              <w:t>LLM (default)</w:t>
            </w:r>
          </w:p>
        </w:tc>
        <w:tc>
          <w:tcPr>
            <w:tcW w:type="dxa" w:w="3515"/>
          </w:tcPr>
          <w:p>
            <w:pPr>
              <w:spacing w:after="0" w:line="240" w:lineRule="auto"/>
            </w:pPr>
            <w:r/>
            <w:r>
              <w:rPr>
                <w:sz w:val="18"/>
              </w:rPr>
              <w:t>openai/gpt-oss-120b served by the Groq API (groq Python SDK)</w:t>
            </w:r>
          </w:p>
        </w:tc>
        <w:tc>
          <w:tcPr>
            <w:tcW w:type="dxa" w:w="4422"/>
          </w:tcPr>
          <w:p>
            <w:pPr>
              <w:spacing w:after="0" w:line="240" w:lineRule="auto"/>
            </w:pPr>
            <w:r/>
            <w:r>
              <w:rPr>
                <w:sz w:val="18"/>
              </w:rPr>
              <w:t>Pre-trained open-weight 120-billion-parameter LLM; JSON-schema-constrained output.</w:t>
            </w:r>
          </w:p>
        </w:tc>
      </w:tr>
      <w:tr>
        <w:tc>
          <w:tcPr>
            <w:tcW w:type="dxa" w:w="1474"/>
            <w:shd w:val="clear" w:color="auto" w:fill="F3F6FB"/>
          </w:tcPr>
          <w:p>
            <w:pPr>
              <w:spacing w:after="0" w:line="240" w:lineRule="auto"/>
            </w:pPr>
            <w:r/>
            <w:r>
              <w:rPr>
                <w:b/>
                <w:sz w:val="18"/>
              </w:rPr>
              <w:t>LLM (fallback)</w:t>
            </w:r>
          </w:p>
        </w:tc>
        <w:tc>
          <w:tcPr>
            <w:tcW w:type="dxa" w:w="3515"/>
            <w:shd w:val="clear" w:color="auto" w:fill="F3F6FB"/>
          </w:tcPr>
          <w:p>
            <w:pPr>
              <w:spacing w:after="0" w:line="240" w:lineRule="auto"/>
            </w:pPr>
            <w:r/>
            <w:r>
              <w:rPr>
                <w:sz w:val="18"/>
              </w:rPr>
              <w:t>Google Gemini API (google-genai SDK), model gemini-3.5-flash</w:t>
            </w:r>
          </w:p>
        </w:tc>
        <w:tc>
          <w:tcPr>
            <w:tcW w:type="dxa" w:w="4422"/>
            <w:shd w:val="clear" w:color="auto" w:fill="F3F6FB"/>
          </w:tcPr>
          <w:p>
            <w:pPr>
              <w:spacing w:after="0" w:line="240" w:lineRule="auto"/>
            </w:pPr>
            <w:r/>
            <w:r>
              <w:rPr>
                <w:sz w:val="18"/>
              </w:rPr>
              <w:t>Answers automatically when the Groq API is unavailable.</w:t>
            </w:r>
          </w:p>
        </w:tc>
      </w:tr>
      <w:tr>
        <w:tc>
          <w:tcPr>
            <w:tcW w:type="dxa" w:w="1474"/>
          </w:tcPr>
          <w:p>
            <w:pPr>
              <w:spacing w:after="0" w:line="240" w:lineRule="auto"/>
            </w:pPr>
            <w:r/>
            <w:r>
              <w:rPr>
                <w:b/>
                <w:sz w:val="18"/>
              </w:rPr>
              <w:t>LLM (local)</w:t>
            </w:r>
          </w:p>
        </w:tc>
        <w:tc>
          <w:tcPr>
            <w:tcW w:type="dxa" w:w="3515"/>
          </w:tcPr>
          <w:p>
            <w:pPr>
              <w:spacing w:after="0" w:line="240" w:lineRule="auto"/>
            </w:pPr>
            <w:r/>
            <w:r>
              <w:rPr>
                <w:sz w:val="18"/>
              </w:rPr>
              <w:t>Qwen/Qwen2.5-1.5B-Instruct with Hugging Face Transformers + PyTorch</w:t>
            </w:r>
          </w:p>
        </w:tc>
        <w:tc>
          <w:tcPr>
            <w:tcW w:type="dxa" w:w="4422"/>
          </w:tcPr>
          <w:p>
            <w:pPr>
              <w:spacing w:after="0" w:line="240" w:lineRule="auto"/>
            </w:pPr>
            <w:r/>
            <w:r>
              <w:rPr>
                <w:sz w:val="18"/>
              </w:rPr>
              <w:t>Pre-trained instruction-tuned LLM running on the laptop; works without internet.</w:t>
            </w:r>
          </w:p>
        </w:tc>
      </w:tr>
      <w:tr>
        <w:tc>
          <w:tcPr>
            <w:tcW w:type="dxa" w:w="1474"/>
            <w:shd w:val="clear" w:color="auto" w:fill="F3F6FB"/>
          </w:tcPr>
          <w:p>
            <w:pPr>
              <w:spacing w:after="0" w:line="240" w:lineRule="auto"/>
            </w:pPr>
            <w:r/>
            <w:r>
              <w:rPr>
                <w:b/>
                <w:sz w:val="18"/>
              </w:rPr>
              <w:t>Baseline</w:t>
            </w:r>
          </w:p>
        </w:tc>
        <w:tc>
          <w:tcPr>
            <w:tcW w:type="dxa" w:w="3515"/>
            <w:shd w:val="clear" w:color="auto" w:fill="F3F6FB"/>
          </w:tcPr>
          <w:p>
            <w:pPr>
              <w:spacing w:after="0" w:line="240" w:lineRule="auto"/>
            </w:pPr>
            <w:r/>
            <w:r>
              <w:rPr>
                <w:sz w:val="18"/>
              </w:rPr>
              <w:t>ProsusAI/finbert</w:t>
            </w:r>
          </w:p>
        </w:tc>
        <w:tc>
          <w:tcPr>
            <w:tcW w:type="dxa" w:w="4422"/>
            <w:shd w:val="clear" w:color="auto" w:fill="F3F6FB"/>
          </w:tcPr>
          <w:p>
            <w:pPr>
              <w:spacing w:after="0" w:line="240" w:lineRule="auto"/>
            </w:pPr>
            <w:r/>
            <w:r>
              <w:rPr>
                <w:sz w:val="18"/>
              </w:rPr>
              <w:t>BERT further trained on financial text; 3-class sentiment classifier.</w:t>
            </w:r>
          </w:p>
        </w:tc>
      </w:tr>
      <w:tr>
        <w:tc>
          <w:tcPr>
            <w:tcW w:type="dxa" w:w="1474"/>
          </w:tcPr>
          <w:p>
            <w:pPr>
              <w:spacing w:after="0" w:line="240" w:lineRule="auto"/>
            </w:pPr>
            <w:r/>
            <w:r>
              <w:rPr>
                <w:b/>
                <w:sz w:val="18"/>
              </w:rPr>
              <w:t>Database</w:t>
            </w:r>
          </w:p>
        </w:tc>
        <w:tc>
          <w:tcPr>
            <w:tcW w:type="dxa" w:w="3515"/>
          </w:tcPr>
          <w:p>
            <w:pPr>
              <w:spacing w:after="0" w:line="240" w:lineRule="auto"/>
            </w:pPr>
            <w:r/>
            <w:r>
              <w:rPr>
                <w:sz w:val="18"/>
              </w:rPr>
              <w:t>SQLite 3 (sqlite3 module)</w:t>
            </w:r>
          </w:p>
        </w:tc>
        <w:tc>
          <w:tcPr>
            <w:tcW w:type="dxa" w:w="4422"/>
          </w:tcPr>
          <w:p>
            <w:pPr>
              <w:spacing w:after="0" w:line="240" w:lineRule="auto"/>
            </w:pPr>
            <w:r/>
            <w:r>
              <w:rPr>
                <w:sz w:val="18"/>
              </w:rPr>
              <w:t>Stores requests, LLM responses, models, test data set and test runs.</w:t>
            </w:r>
          </w:p>
        </w:tc>
      </w:tr>
      <w:tr>
        <w:tc>
          <w:tcPr>
            <w:tcW w:type="dxa" w:w="1474"/>
            <w:shd w:val="clear" w:color="auto" w:fill="F3F6FB"/>
          </w:tcPr>
          <w:p>
            <w:pPr>
              <w:spacing w:after="0" w:line="240" w:lineRule="auto"/>
            </w:pPr>
            <w:r/>
            <w:r>
              <w:rPr>
                <w:b/>
                <w:sz w:val="18"/>
              </w:rPr>
              <w:t>Evaluation</w:t>
            </w:r>
          </w:p>
        </w:tc>
        <w:tc>
          <w:tcPr>
            <w:tcW w:type="dxa" w:w="3515"/>
            <w:shd w:val="clear" w:color="auto" w:fill="F3F6FB"/>
          </w:tcPr>
          <w:p>
            <w:pPr>
              <w:spacing w:after="0" w:line="240" w:lineRule="auto"/>
            </w:pPr>
            <w:r/>
            <w:r>
              <w:rPr>
                <w:sz w:val="18"/>
              </w:rPr>
              <w:t>scikit-learn, matplotlib</w:t>
            </w:r>
          </w:p>
        </w:tc>
        <w:tc>
          <w:tcPr>
            <w:tcW w:type="dxa" w:w="4422"/>
            <w:shd w:val="clear" w:color="auto" w:fill="F3F6FB"/>
          </w:tcPr>
          <w:p>
            <w:pPr>
              <w:spacing w:after="0" w:line="240" w:lineRule="auto"/>
            </w:pPr>
            <w:r/>
            <w:r>
              <w:rPr>
                <w:sz w:val="18"/>
              </w:rPr>
              <w:t>Accuracy, precision / recall / F1, confusion matrices.</w:t>
            </w:r>
          </w:p>
        </w:tc>
      </w:tr>
    </w:tbl>
    <w:p>
      <w:pPr>
        <w:spacing w:after="40"/>
      </w:pPr>
    </w:p>
    <w:p>
      <w:pPr>
        <w:pStyle w:val="Heading1"/>
      </w:pPr>
      <w:r>
        <w:t>3. Database structure</w:t>
      </w:r>
    </w:p>
    <w:p>
      <w:r>
        <w:rPr>
          <w:b w:val="0"/>
          <w:i w:val="0"/>
        </w:rPr>
        <w:t xml:space="preserve">The database is a single SQLite file, </w:t>
      </w:r>
      <w:r>
        <w:rPr>
          <w:b/>
          <w:i w:val="0"/>
        </w:rPr>
        <w:t>database/smsa.db</w:t>
      </w:r>
      <w:r>
        <w:rPr>
          <w:b w:val="0"/>
          <w:i w:val="0"/>
        </w:rPr>
        <w:t xml:space="preserve">, created from </w:t>
      </w:r>
      <w:r>
        <w:rPr>
          <w:b/>
          <w:i w:val="0"/>
        </w:rPr>
        <w:t>database/schema.sql</w:t>
      </w:r>
      <w:r>
        <w:rPr>
          <w:b w:val="0"/>
          <w:i w:val="0"/>
        </w:rPr>
        <w:t xml:space="preserve"> when the application starts. SQLite was chosen because it needs no server, is part of the Python standard library and the whole database can be submitted as one file. The design is normalised: a request, the response to it, the company it concerns and the model that produced it are separate entities linked by foreign keys.</w:t>
      </w:r>
    </w:p>
    <w:p>
      <w:pPr>
        <w:keepNext/>
        <w:jc w:val="center"/>
      </w:pPr>
      <w:r>
        <w:drawing>
          <wp:inline xmlns:a="http://schemas.openxmlformats.org/drawingml/2006/main" xmlns:pic="http://schemas.openxmlformats.org/drawingml/2006/picture">
            <wp:extent cx="5903999" cy="3275767"/>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903999" cy="3275767"/>
                    </a:xfrm>
                    <a:prstGeom prst="rect"/>
                  </pic:spPr>
                </pic:pic>
              </a:graphicData>
            </a:graphic>
          </wp:inline>
        </w:drawing>
      </w:r>
    </w:p>
    <w:p>
      <w:pPr>
        <w:spacing w:after="200"/>
        <w:jc w:val="center"/>
      </w:pPr>
      <w:r>
        <w:rPr>
          <w:b w:val="0"/>
          <w:i/>
          <w:color w:val="555F70"/>
          <w:sz w:val="18"/>
        </w:rPr>
        <w:t>Figure 2: Entity-relationship diagram</w:t>
      </w:r>
    </w:p>
    <w:p>
      <w:pPr>
        <w:keepNext/>
        <w:spacing w:after="60"/>
      </w:pPr>
      <w:r>
        <w:rPr>
          <w:b/>
          <w:i w:val="0"/>
          <w:color w:val="555F70"/>
          <w:sz w:val="19"/>
        </w:rPr>
        <w:t>Table 2: Tables of the database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928"/>
            <w:shd w:val="clear" w:color="auto" w:fill="1F4FD8"/>
          </w:tcPr>
          <w:p>
            <w:r/>
            <w:r>
              <w:rPr>
                <w:b/>
                <w:color w:val="FFFFFF"/>
                <w:sz w:val="18"/>
              </w:rPr>
              <w:t>Table</w:t>
            </w:r>
          </w:p>
        </w:tc>
        <w:tc>
          <w:tcPr>
            <w:tcW w:type="dxa" w:w="6463"/>
            <w:shd w:val="clear" w:color="auto" w:fill="1F4FD8"/>
          </w:tcPr>
          <w:p>
            <w:r/>
            <w:r>
              <w:rPr>
                <w:b/>
                <w:color w:val="FFFFFF"/>
                <w:sz w:val="18"/>
              </w:rPr>
              <w:t>Purpose</w:t>
            </w:r>
          </w:p>
        </w:tc>
        <w:tc>
          <w:tcPr>
            <w:tcW w:type="dxa" w:w="1020"/>
            <w:shd w:val="clear" w:color="auto" w:fill="1F4FD8"/>
          </w:tcPr>
          <w:p>
            <w:r/>
            <w:r>
              <w:rPr>
                <w:b/>
                <w:color w:val="FFFFFF"/>
                <w:sz w:val="18"/>
              </w:rPr>
              <w:t>Rows now</w:t>
            </w:r>
          </w:p>
        </w:tc>
      </w:tr>
      <w:tr>
        <w:tc>
          <w:tcPr>
            <w:tcW w:type="dxa" w:w="1928"/>
          </w:tcPr>
          <w:p>
            <w:pPr>
              <w:spacing w:after="0" w:line="240" w:lineRule="auto"/>
            </w:pPr>
            <w:r/>
            <w:r>
              <w:rPr>
                <w:b/>
                <w:sz w:val="18"/>
              </w:rPr>
              <w:t>companies</w:t>
            </w:r>
          </w:p>
        </w:tc>
        <w:tc>
          <w:tcPr>
            <w:tcW w:type="dxa" w:w="6463"/>
          </w:tcPr>
          <w:p>
            <w:pPr>
              <w:spacing w:after="0" w:line="240" w:lineRule="auto"/>
            </w:pPr>
            <w:r/>
            <w:r>
              <w:rPr>
                <w:sz w:val="18"/>
              </w:rPr>
              <w:t>Master list of companies. A company typed by the user or detected by the LLM is inserted once and reused.</w:t>
            </w:r>
          </w:p>
        </w:tc>
        <w:tc>
          <w:tcPr>
            <w:tcW w:type="dxa" w:w="1020"/>
          </w:tcPr>
          <w:p>
            <w:pPr>
              <w:spacing w:after="0" w:line="240" w:lineRule="auto"/>
            </w:pPr>
            <w:r/>
            <w:r>
              <w:rPr>
                <w:sz w:val="18"/>
              </w:rPr>
              <w:t>29</w:t>
            </w:r>
          </w:p>
        </w:tc>
      </w:tr>
      <w:tr>
        <w:tc>
          <w:tcPr>
            <w:tcW w:type="dxa" w:w="1928"/>
            <w:shd w:val="clear" w:color="auto" w:fill="F3F6FB"/>
          </w:tcPr>
          <w:p>
            <w:pPr>
              <w:spacing w:after="0" w:line="240" w:lineRule="auto"/>
            </w:pPr>
            <w:r/>
            <w:r>
              <w:rPr>
                <w:b/>
                <w:sz w:val="18"/>
              </w:rPr>
              <w:t>llm_models</w:t>
            </w:r>
          </w:p>
        </w:tc>
        <w:tc>
          <w:tcPr>
            <w:tcW w:type="dxa" w:w="6463"/>
            <w:shd w:val="clear" w:color="auto" w:fill="F3F6FB"/>
          </w:tcPr>
          <w:p>
            <w:pPr>
              <w:spacing w:after="0" w:line="240" w:lineRule="auto"/>
            </w:pPr>
            <w:r/>
            <w:r>
              <w:rPr>
                <w:sz w:val="18"/>
              </w:rPr>
              <w:t>Every engine / model / prompt-version combination that produced a result, so each stored response is traceable to the exact model and prompt.</w:t>
            </w:r>
          </w:p>
        </w:tc>
        <w:tc>
          <w:tcPr>
            <w:tcW w:type="dxa" w:w="1020"/>
            <w:shd w:val="clear" w:color="auto" w:fill="F3F6FB"/>
          </w:tcPr>
          <w:p>
            <w:pPr>
              <w:spacing w:after="0" w:line="240" w:lineRule="auto"/>
            </w:pPr>
            <w:r/>
            <w:r>
              <w:rPr>
                <w:sz w:val="18"/>
              </w:rPr>
              <w:t>5</w:t>
            </w:r>
          </w:p>
        </w:tc>
      </w:tr>
      <w:tr>
        <w:tc>
          <w:tcPr>
            <w:tcW w:type="dxa" w:w="1928"/>
          </w:tcPr>
          <w:p>
            <w:pPr>
              <w:spacing w:after="0" w:line="240" w:lineRule="auto"/>
            </w:pPr>
            <w:r/>
            <w:r>
              <w:rPr>
                <w:b/>
                <w:sz w:val="18"/>
              </w:rPr>
              <w:t>analysis_requests</w:t>
            </w:r>
          </w:p>
        </w:tc>
        <w:tc>
          <w:tcPr>
            <w:tcW w:type="dxa" w:w="6463"/>
          </w:tcPr>
          <w:p>
            <w:pPr>
              <w:spacing w:after="0" w:line="240" w:lineRule="auto"/>
            </w:pPr>
            <w:r/>
            <w:r>
              <w:rPr>
                <w:sz w:val="18"/>
              </w:rPr>
              <w:t>Each financial text submitted: the text, its type, where it came from (web, api, test) and when.</w:t>
            </w:r>
          </w:p>
        </w:tc>
        <w:tc>
          <w:tcPr>
            <w:tcW w:type="dxa" w:w="1020"/>
          </w:tcPr>
          <w:p>
            <w:pPr>
              <w:spacing w:after="0" w:line="240" w:lineRule="auto"/>
            </w:pPr>
            <w:r/>
            <w:r>
              <w:rPr>
                <w:sz w:val="18"/>
              </w:rPr>
              <w:t>361</w:t>
            </w:r>
          </w:p>
        </w:tc>
      </w:tr>
      <w:tr>
        <w:tc>
          <w:tcPr>
            <w:tcW w:type="dxa" w:w="1928"/>
            <w:shd w:val="clear" w:color="auto" w:fill="F3F6FB"/>
          </w:tcPr>
          <w:p>
            <w:pPr>
              <w:spacing w:after="0" w:line="240" w:lineRule="auto"/>
            </w:pPr>
            <w:r/>
            <w:r>
              <w:rPr>
                <w:b/>
                <w:sz w:val="18"/>
              </w:rPr>
              <w:t>sentiment_results</w:t>
            </w:r>
          </w:p>
        </w:tc>
        <w:tc>
          <w:tcPr>
            <w:tcW w:type="dxa" w:w="6463"/>
            <w:shd w:val="clear" w:color="auto" w:fill="F3F6FB"/>
          </w:tcPr>
          <w:p>
            <w:pPr>
              <w:spacing w:after="0" w:line="240" w:lineRule="auto"/>
            </w:pPr>
            <w:r/>
            <w:r>
              <w:rPr>
                <w:sz w:val="18"/>
              </w:rPr>
              <w:t>The market-sentiment response of the LLM for one request.</w:t>
            </w:r>
          </w:p>
        </w:tc>
        <w:tc>
          <w:tcPr>
            <w:tcW w:type="dxa" w:w="1020"/>
            <w:shd w:val="clear" w:color="auto" w:fill="F3F6FB"/>
          </w:tcPr>
          <w:p>
            <w:pPr>
              <w:spacing w:after="0" w:line="240" w:lineRule="auto"/>
            </w:pPr>
            <w:r/>
            <w:r>
              <w:rPr>
                <w:sz w:val="18"/>
              </w:rPr>
              <w:t>361</w:t>
            </w:r>
          </w:p>
        </w:tc>
      </w:tr>
      <w:tr>
        <w:tc>
          <w:tcPr>
            <w:tcW w:type="dxa" w:w="1928"/>
          </w:tcPr>
          <w:p>
            <w:pPr>
              <w:spacing w:after="0" w:line="240" w:lineRule="auto"/>
            </w:pPr>
            <w:r/>
            <w:r>
              <w:rPr>
                <w:b/>
                <w:sz w:val="18"/>
              </w:rPr>
              <w:t>test_dataset</w:t>
            </w:r>
          </w:p>
        </w:tc>
        <w:tc>
          <w:tcPr>
            <w:tcW w:type="dxa" w:w="6463"/>
          </w:tcPr>
          <w:p>
            <w:pPr>
              <w:spacing w:after="0" w:line="240" w:lineRule="auto"/>
            </w:pPr>
            <w:r/>
            <w:r>
              <w:rPr>
                <w:sz w:val="18"/>
              </w:rPr>
              <w:t>The labelled test data set (loaded from data/test_dataset.csv).</w:t>
            </w:r>
          </w:p>
        </w:tc>
        <w:tc>
          <w:tcPr>
            <w:tcW w:type="dxa" w:w="1020"/>
          </w:tcPr>
          <w:p>
            <w:pPr>
              <w:spacing w:after="0" w:line="240" w:lineRule="auto"/>
            </w:pPr>
            <w:r/>
            <w:r>
              <w:rPr>
                <w:sz w:val="18"/>
              </w:rPr>
              <w:t>60</w:t>
            </w:r>
          </w:p>
        </w:tc>
      </w:tr>
      <w:tr>
        <w:tc>
          <w:tcPr>
            <w:tcW w:type="dxa" w:w="1928"/>
            <w:shd w:val="clear" w:color="auto" w:fill="F3F6FB"/>
          </w:tcPr>
          <w:p>
            <w:pPr>
              <w:spacing w:after="0" w:line="240" w:lineRule="auto"/>
            </w:pPr>
            <w:r/>
            <w:r>
              <w:rPr>
                <w:b/>
                <w:sz w:val="18"/>
              </w:rPr>
              <w:t>test_runs</w:t>
            </w:r>
          </w:p>
        </w:tc>
        <w:tc>
          <w:tcPr>
            <w:tcW w:type="dxa" w:w="6463"/>
            <w:shd w:val="clear" w:color="auto" w:fill="F3F6FB"/>
          </w:tcPr>
          <w:p>
            <w:pPr>
              <w:spacing w:after="0" w:line="240" w:lineRule="auto"/>
            </w:pPr>
            <w:r/>
            <w:r>
              <w:rPr>
                <w:sz w:val="18"/>
              </w:rPr>
              <w:t>One row per evaluation of the test data set, with accuracy, macro-F1 and latency.</w:t>
            </w:r>
          </w:p>
        </w:tc>
        <w:tc>
          <w:tcPr>
            <w:tcW w:type="dxa" w:w="1020"/>
            <w:shd w:val="clear" w:color="auto" w:fill="F3F6FB"/>
          </w:tcPr>
          <w:p>
            <w:pPr>
              <w:spacing w:after="0" w:line="240" w:lineRule="auto"/>
            </w:pPr>
            <w:r/>
            <w:r>
              <w:rPr>
                <w:sz w:val="18"/>
              </w:rPr>
              <w:t>7</w:t>
            </w:r>
          </w:p>
        </w:tc>
      </w:tr>
      <w:tr>
        <w:tc>
          <w:tcPr>
            <w:tcW w:type="dxa" w:w="1928"/>
          </w:tcPr>
          <w:p>
            <w:pPr>
              <w:spacing w:after="0" w:line="240" w:lineRule="auto"/>
            </w:pPr>
            <w:r/>
            <w:r>
              <w:rPr>
                <w:b/>
                <w:sz w:val="18"/>
              </w:rPr>
              <w:t>test_run_items</w:t>
            </w:r>
          </w:p>
        </w:tc>
        <w:tc>
          <w:tcPr>
            <w:tcW w:type="dxa" w:w="6463"/>
          </w:tcPr>
          <w:p>
            <w:pPr>
              <w:spacing w:after="0" w:line="240" w:lineRule="auto"/>
            </w:pPr>
            <w:r/>
            <w:r>
              <w:rPr>
                <w:sz w:val="18"/>
              </w:rPr>
              <w:t>Prediction versus expected label for each test text in a run.</w:t>
            </w:r>
          </w:p>
        </w:tc>
        <w:tc>
          <w:tcPr>
            <w:tcW w:type="dxa" w:w="1020"/>
          </w:tcPr>
          <w:p>
            <w:pPr>
              <w:spacing w:after="0" w:line="240" w:lineRule="auto"/>
            </w:pPr>
            <w:r/>
            <w:r>
              <w:rPr>
                <w:sz w:val="18"/>
              </w:rPr>
              <w:t>350</w:t>
            </w:r>
          </w:p>
        </w:tc>
      </w:tr>
    </w:tbl>
    <w:p>
      <w:pPr>
        <w:spacing w:after="40"/>
      </w:pPr>
    </w:p>
    <w:p>
      <w:pPr>
        <w:pStyle w:val="Heading2"/>
      </w:pPr>
      <w:r>
        <w:t>3.1 Table sentiment_results (the LLM response)</w:t>
      </w:r>
    </w:p>
    <w:p>
      <w:pPr>
        <w:keepNext/>
        <w:spacing w:after="60"/>
      </w:pPr>
      <w:r>
        <w:rPr>
          <w:b/>
          <w:i w:val="0"/>
          <w:color w:val="555F70"/>
          <w:sz w:val="19"/>
        </w:rPr>
        <w:t>Table 3: Columns of sentiment_results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835"/>
            <w:shd w:val="clear" w:color="auto" w:fill="1F4FD8"/>
          </w:tcPr>
          <w:p>
            <w:r/>
            <w:r>
              <w:rPr>
                <w:b/>
                <w:color w:val="FFFFFF"/>
                <w:sz w:val="18"/>
              </w:rPr>
              <w:t>Column</w:t>
            </w:r>
          </w:p>
        </w:tc>
        <w:tc>
          <w:tcPr>
            <w:tcW w:type="dxa" w:w="1134"/>
            <w:shd w:val="clear" w:color="auto" w:fill="1F4FD8"/>
          </w:tcPr>
          <w:p>
            <w:r/>
            <w:r>
              <w:rPr>
                <w:b/>
                <w:color w:val="FFFFFF"/>
                <w:sz w:val="18"/>
              </w:rPr>
              <w:t>Type</w:t>
            </w:r>
          </w:p>
        </w:tc>
        <w:tc>
          <w:tcPr>
            <w:tcW w:type="dxa" w:w="5443"/>
            <w:shd w:val="clear" w:color="auto" w:fill="1F4FD8"/>
          </w:tcPr>
          <w:p>
            <w:r/>
            <w:r>
              <w:rPr>
                <w:b/>
                <w:color w:val="FFFFFF"/>
                <w:sz w:val="18"/>
              </w:rPr>
              <w:t>Constraint / meaning</w:t>
            </w:r>
          </w:p>
        </w:tc>
      </w:tr>
      <w:tr>
        <w:tc>
          <w:tcPr>
            <w:tcW w:type="dxa" w:w="2835"/>
          </w:tcPr>
          <w:p>
            <w:pPr>
              <w:spacing w:after="0" w:line="240" w:lineRule="auto"/>
            </w:pPr>
            <w:r/>
            <w:r>
              <w:rPr>
                <w:b/>
                <w:sz w:val="18"/>
              </w:rPr>
              <w:t>result_id</w:t>
            </w:r>
          </w:p>
        </w:tc>
        <w:tc>
          <w:tcPr>
            <w:tcW w:type="dxa" w:w="1134"/>
          </w:tcPr>
          <w:p>
            <w:pPr>
              <w:spacing w:after="0" w:line="240" w:lineRule="auto"/>
            </w:pPr>
            <w:r/>
            <w:r>
              <w:rPr>
                <w:sz w:val="18"/>
              </w:rPr>
              <w:t>INTEGER</w:t>
            </w:r>
          </w:p>
        </w:tc>
        <w:tc>
          <w:tcPr>
            <w:tcW w:type="dxa" w:w="5443"/>
          </w:tcPr>
          <w:p>
            <w:pPr>
              <w:spacing w:after="0" w:line="240" w:lineRule="auto"/>
            </w:pPr>
            <w:r/>
            <w:r>
              <w:rPr>
                <w:sz w:val="18"/>
              </w:rPr>
              <w:t>Primary key, auto-increment.</w:t>
            </w:r>
          </w:p>
        </w:tc>
      </w:tr>
      <w:tr>
        <w:tc>
          <w:tcPr>
            <w:tcW w:type="dxa" w:w="2835"/>
            <w:shd w:val="clear" w:color="auto" w:fill="F3F6FB"/>
          </w:tcPr>
          <w:p>
            <w:pPr>
              <w:spacing w:after="0" w:line="240" w:lineRule="auto"/>
            </w:pPr>
            <w:r/>
            <w:r>
              <w:rPr>
                <w:b/>
                <w:sz w:val="18"/>
              </w:rPr>
              <w:t>request_id</w:t>
            </w:r>
          </w:p>
        </w:tc>
        <w:tc>
          <w:tcPr>
            <w:tcW w:type="dxa" w:w="1134"/>
            <w:shd w:val="clear" w:color="auto" w:fill="F3F6FB"/>
          </w:tcPr>
          <w:p>
            <w:pPr>
              <w:spacing w:after="0" w:line="240" w:lineRule="auto"/>
            </w:pPr>
            <w:r/>
            <w:r>
              <w:rPr>
                <w:sz w:val="18"/>
              </w:rPr>
              <w:t>INTEGER</w:t>
            </w:r>
          </w:p>
        </w:tc>
        <w:tc>
          <w:tcPr>
            <w:tcW w:type="dxa" w:w="5443"/>
            <w:shd w:val="clear" w:color="auto" w:fill="F3F6FB"/>
          </w:tcPr>
          <w:p>
            <w:pPr>
              <w:spacing w:after="0" w:line="240" w:lineRule="auto"/>
            </w:pPr>
            <w:r/>
            <w:r>
              <w:rPr>
                <w:sz w:val="18"/>
              </w:rPr>
              <w:t>Foreign key to analysis_requests, UNIQUE (one response per request), ON DELETE CASCADE.</w:t>
            </w:r>
          </w:p>
        </w:tc>
      </w:tr>
      <w:tr>
        <w:tc>
          <w:tcPr>
            <w:tcW w:type="dxa" w:w="2835"/>
          </w:tcPr>
          <w:p>
            <w:pPr>
              <w:spacing w:after="0" w:line="240" w:lineRule="auto"/>
            </w:pPr>
            <w:r/>
            <w:r>
              <w:rPr>
                <w:b/>
                <w:sz w:val="18"/>
              </w:rPr>
              <w:t>model_id</w:t>
            </w:r>
          </w:p>
        </w:tc>
        <w:tc>
          <w:tcPr>
            <w:tcW w:type="dxa" w:w="1134"/>
          </w:tcPr>
          <w:p>
            <w:pPr>
              <w:spacing w:after="0" w:line="240" w:lineRule="auto"/>
            </w:pPr>
            <w:r/>
            <w:r>
              <w:rPr>
                <w:sz w:val="18"/>
              </w:rPr>
              <w:t>INTEGER</w:t>
            </w:r>
          </w:p>
        </w:tc>
        <w:tc>
          <w:tcPr>
            <w:tcW w:type="dxa" w:w="5443"/>
          </w:tcPr>
          <w:p>
            <w:pPr>
              <w:spacing w:after="0" w:line="240" w:lineRule="auto"/>
            </w:pPr>
            <w:r/>
            <w:r>
              <w:rPr>
                <w:sz w:val="18"/>
              </w:rPr>
              <w:t>Foreign key to llm_models.</w:t>
            </w:r>
          </w:p>
        </w:tc>
      </w:tr>
      <w:tr>
        <w:tc>
          <w:tcPr>
            <w:tcW w:type="dxa" w:w="2835"/>
            <w:shd w:val="clear" w:color="auto" w:fill="F3F6FB"/>
          </w:tcPr>
          <w:p>
            <w:pPr>
              <w:spacing w:after="0" w:line="240" w:lineRule="auto"/>
            </w:pPr>
            <w:r/>
            <w:r>
              <w:rPr>
                <w:b/>
                <w:sz w:val="18"/>
              </w:rPr>
              <w:t>sentiment</w:t>
            </w:r>
          </w:p>
        </w:tc>
        <w:tc>
          <w:tcPr>
            <w:tcW w:type="dxa" w:w="1134"/>
            <w:shd w:val="clear" w:color="auto" w:fill="F3F6FB"/>
          </w:tcPr>
          <w:p>
            <w:pPr>
              <w:spacing w:after="0" w:line="240" w:lineRule="auto"/>
            </w:pPr>
            <w:r/>
            <w:r>
              <w:rPr>
                <w:sz w:val="18"/>
              </w:rPr>
              <w:t>TEXT</w:t>
            </w:r>
          </w:p>
        </w:tc>
        <w:tc>
          <w:tcPr>
            <w:tcW w:type="dxa" w:w="5443"/>
            <w:shd w:val="clear" w:color="auto" w:fill="F3F6FB"/>
          </w:tcPr>
          <w:p>
            <w:pPr>
              <w:spacing w:after="0" w:line="240" w:lineRule="auto"/>
            </w:pPr>
            <w:r/>
            <w:r>
              <w:rPr>
                <w:sz w:val="18"/>
              </w:rPr>
              <w:t>CHECK: one of 'Positive', 'Negative', 'Neutral'.</w:t>
            </w:r>
          </w:p>
        </w:tc>
      </w:tr>
      <w:tr>
        <w:tc>
          <w:tcPr>
            <w:tcW w:type="dxa" w:w="2835"/>
          </w:tcPr>
          <w:p>
            <w:pPr>
              <w:spacing w:after="0" w:line="240" w:lineRule="auto"/>
            </w:pPr>
            <w:r/>
            <w:r>
              <w:rPr>
                <w:b/>
                <w:sz w:val="18"/>
              </w:rPr>
              <w:t>confidence</w:t>
            </w:r>
          </w:p>
        </w:tc>
        <w:tc>
          <w:tcPr>
            <w:tcW w:type="dxa" w:w="1134"/>
          </w:tcPr>
          <w:p>
            <w:pPr>
              <w:spacing w:after="0" w:line="240" w:lineRule="auto"/>
            </w:pPr>
            <w:r/>
            <w:r>
              <w:rPr>
                <w:sz w:val="18"/>
              </w:rPr>
              <w:t>REAL</w:t>
            </w:r>
          </w:p>
        </w:tc>
        <w:tc>
          <w:tcPr>
            <w:tcW w:type="dxa" w:w="5443"/>
          </w:tcPr>
          <w:p>
            <w:pPr>
              <w:spacing w:after="0" w:line="240" w:lineRule="auto"/>
            </w:pPr>
            <w:r/>
            <w:r>
              <w:rPr>
                <w:sz w:val="18"/>
              </w:rPr>
              <w:t>Probability of the chosen label, CHECK between 0 and 1.</w:t>
            </w:r>
          </w:p>
        </w:tc>
      </w:tr>
      <w:tr>
        <w:tc>
          <w:tcPr>
            <w:tcW w:type="dxa" w:w="2835"/>
            <w:shd w:val="clear" w:color="auto" w:fill="F3F6FB"/>
          </w:tcPr>
          <w:p>
            <w:pPr>
              <w:spacing w:after="0" w:line="240" w:lineRule="auto"/>
            </w:pPr>
            <w:r/>
            <w:r>
              <w:rPr>
                <w:b/>
                <w:sz w:val="18"/>
              </w:rPr>
              <w:t>sentiment_score</w:t>
            </w:r>
          </w:p>
        </w:tc>
        <w:tc>
          <w:tcPr>
            <w:tcW w:type="dxa" w:w="1134"/>
            <w:shd w:val="clear" w:color="auto" w:fill="F3F6FB"/>
          </w:tcPr>
          <w:p>
            <w:pPr>
              <w:spacing w:after="0" w:line="240" w:lineRule="auto"/>
            </w:pPr>
            <w:r/>
            <w:r>
              <w:rPr>
                <w:sz w:val="18"/>
              </w:rPr>
              <w:t>REAL</w:t>
            </w:r>
          </w:p>
        </w:tc>
        <w:tc>
          <w:tcPr>
            <w:tcW w:type="dxa" w:w="5443"/>
            <w:shd w:val="clear" w:color="auto" w:fill="F3F6FB"/>
          </w:tcPr>
          <w:p>
            <w:pPr>
              <w:spacing w:after="0" w:line="240" w:lineRule="auto"/>
            </w:pPr>
            <w:r/>
            <w:r>
              <w:rPr>
                <w:sz w:val="18"/>
              </w:rPr>
              <w:t>P(Positive) − P(Negative), CHECK between −1 and +1.</w:t>
            </w:r>
          </w:p>
        </w:tc>
      </w:tr>
      <w:tr>
        <w:tc>
          <w:tcPr>
            <w:tcW w:type="dxa" w:w="2835"/>
          </w:tcPr>
          <w:p>
            <w:pPr>
              <w:spacing w:after="0" w:line="240" w:lineRule="auto"/>
            </w:pPr>
            <w:r/>
            <w:r>
              <w:rPr>
                <w:b/>
                <w:sz w:val="18"/>
              </w:rPr>
              <w:t>prob_positive, prob_negative, prob_neutral</w:t>
            </w:r>
          </w:p>
        </w:tc>
        <w:tc>
          <w:tcPr>
            <w:tcW w:type="dxa" w:w="1134"/>
          </w:tcPr>
          <w:p>
            <w:pPr>
              <w:spacing w:after="0" w:line="240" w:lineRule="auto"/>
            </w:pPr>
            <w:r/>
            <w:r>
              <w:rPr>
                <w:sz w:val="18"/>
              </w:rPr>
              <w:t>REAL</w:t>
            </w:r>
          </w:p>
        </w:tc>
        <w:tc>
          <w:tcPr>
            <w:tcW w:type="dxa" w:w="5443"/>
          </w:tcPr>
          <w:p>
            <w:pPr>
              <w:spacing w:after="0" w:line="240" w:lineRule="auto"/>
            </w:pPr>
            <w:r/>
            <w:r>
              <w:rPr>
                <w:sz w:val="18"/>
              </w:rPr>
              <w:t>Probability of each label.</w:t>
            </w:r>
          </w:p>
        </w:tc>
      </w:tr>
      <w:tr>
        <w:tc>
          <w:tcPr>
            <w:tcW w:type="dxa" w:w="2835"/>
            <w:shd w:val="clear" w:color="auto" w:fill="F3F6FB"/>
          </w:tcPr>
          <w:p>
            <w:pPr>
              <w:spacing w:after="0" w:line="240" w:lineRule="auto"/>
            </w:pPr>
            <w:r/>
            <w:r>
              <w:rPr>
                <w:b/>
                <w:sz w:val="18"/>
              </w:rPr>
              <w:t>detected_company</w:t>
            </w:r>
          </w:p>
        </w:tc>
        <w:tc>
          <w:tcPr>
            <w:tcW w:type="dxa" w:w="1134"/>
            <w:shd w:val="clear" w:color="auto" w:fill="F3F6FB"/>
          </w:tcPr>
          <w:p>
            <w:pPr>
              <w:spacing w:after="0" w:line="240" w:lineRule="auto"/>
            </w:pPr>
            <w:r/>
            <w:r>
              <w:rPr>
                <w:sz w:val="18"/>
              </w:rPr>
              <w:t>TEXT</w:t>
            </w:r>
          </w:p>
        </w:tc>
        <w:tc>
          <w:tcPr>
            <w:tcW w:type="dxa" w:w="5443"/>
            <w:shd w:val="clear" w:color="auto" w:fill="F3F6FB"/>
          </w:tcPr>
          <w:p>
            <w:pPr>
              <w:spacing w:after="0" w:line="240" w:lineRule="auto"/>
            </w:pPr>
            <w:r/>
            <w:r>
              <w:rPr>
                <w:sz w:val="18"/>
              </w:rPr>
              <w:t>Company name identified by the LLM in the text.</w:t>
            </w:r>
          </w:p>
        </w:tc>
      </w:tr>
      <w:tr>
        <w:tc>
          <w:tcPr>
            <w:tcW w:type="dxa" w:w="2835"/>
          </w:tcPr>
          <w:p>
            <w:pPr>
              <w:spacing w:after="0" w:line="240" w:lineRule="auto"/>
            </w:pPr>
            <w:r/>
            <w:r>
              <w:rPr>
                <w:b/>
                <w:sz w:val="18"/>
              </w:rPr>
              <w:t>reasoning</w:t>
            </w:r>
          </w:p>
        </w:tc>
        <w:tc>
          <w:tcPr>
            <w:tcW w:type="dxa" w:w="1134"/>
          </w:tcPr>
          <w:p>
            <w:pPr>
              <w:spacing w:after="0" w:line="240" w:lineRule="auto"/>
            </w:pPr>
            <w:r/>
            <w:r>
              <w:rPr>
                <w:sz w:val="18"/>
              </w:rPr>
              <w:t>TEXT</w:t>
            </w:r>
          </w:p>
        </w:tc>
        <w:tc>
          <w:tcPr>
            <w:tcW w:type="dxa" w:w="5443"/>
          </w:tcPr>
          <w:p>
            <w:pPr>
              <w:spacing w:after="0" w:line="240" w:lineRule="auto"/>
            </w:pPr>
            <w:r/>
            <w:r>
              <w:rPr>
                <w:sz w:val="18"/>
              </w:rPr>
              <w:t>One-sentence explanation written by the LLM.</w:t>
            </w:r>
          </w:p>
        </w:tc>
      </w:tr>
      <w:tr>
        <w:tc>
          <w:tcPr>
            <w:tcW w:type="dxa" w:w="2835"/>
            <w:shd w:val="clear" w:color="auto" w:fill="F3F6FB"/>
          </w:tcPr>
          <w:p>
            <w:pPr>
              <w:spacing w:after="0" w:line="240" w:lineRule="auto"/>
            </w:pPr>
            <w:r/>
            <w:r>
              <w:rPr>
                <w:b/>
                <w:sz w:val="18"/>
              </w:rPr>
              <w:t>key_factors</w:t>
            </w:r>
          </w:p>
        </w:tc>
        <w:tc>
          <w:tcPr>
            <w:tcW w:type="dxa" w:w="1134"/>
            <w:shd w:val="clear" w:color="auto" w:fill="F3F6FB"/>
          </w:tcPr>
          <w:p>
            <w:pPr>
              <w:spacing w:after="0" w:line="240" w:lineRule="auto"/>
            </w:pPr>
            <w:r/>
            <w:r>
              <w:rPr>
                <w:sz w:val="18"/>
              </w:rPr>
              <w:t>TEXT</w:t>
            </w:r>
          </w:p>
        </w:tc>
        <w:tc>
          <w:tcPr>
            <w:tcW w:type="dxa" w:w="5443"/>
            <w:shd w:val="clear" w:color="auto" w:fill="F3F6FB"/>
          </w:tcPr>
          <w:p>
            <w:pPr>
              <w:spacing w:after="0" w:line="240" w:lineRule="auto"/>
            </w:pPr>
            <w:r/>
            <w:r>
              <w:rPr>
                <w:sz w:val="18"/>
              </w:rPr>
              <w:t>JSON array of the drivers of the sentiment.</w:t>
            </w:r>
          </w:p>
        </w:tc>
      </w:tr>
      <w:tr>
        <w:tc>
          <w:tcPr>
            <w:tcW w:type="dxa" w:w="2835"/>
          </w:tcPr>
          <w:p>
            <w:pPr>
              <w:spacing w:after="0" w:line="240" w:lineRule="auto"/>
            </w:pPr>
            <w:r/>
            <w:r>
              <w:rPr>
                <w:b/>
                <w:sz w:val="18"/>
              </w:rPr>
              <w:t>raw_response</w:t>
            </w:r>
          </w:p>
        </w:tc>
        <w:tc>
          <w:tcPr>
            <w:tcW w:type="dxa" w:w="1134"/>
          </w:tcPr>
          <w:p>
            <w:pPr>
              <w:spacing w:after="0" w:line="240" w:lineRule="auto"/>
            </w:pPr>
            <w:r/>
            <w:r>
              <w:rPr>
                <w:sz w:val="18"/>
              </w:rPr>
              <w:t>TEXT</w:t>
            </w:r>
          </w:p>
        </w:tc>
        <w:tc>
          <w:tcPr>
            <w:tcW w:type="dxa" w:w="5443"/>
          </w:tcPr>
          <w:p>
            <w:pPr>
              <w:spacing w:after="0" w:line="240" w:lineRule="auto"/>
            </w:pPr>
            <w:r/>
            <w:r>
              <w:rPr>
                <w:sz w:val="18"/>
              </w:rPr>
              <w:t>Unmodified text returned by the model (audit trail).</w:t>
            </w:r>
          </w:p>
        </w:tc>
      </w:tr>
      <w:tr>
        <w:tc>
          <w:tcPr>
            <w:tcW w:type="dxa" w:w="2835"/>
            <w:shd w:val="clear" w:color="auto" w:fill="F3F6FB"/>
          </w:tcPr>
          <w:p>
            <w:pPr>
              <w:spacing w:after="0" w:line="240" w:lineRule="auto"/>
            </w:pPr>
            <w:r/>
            <w:r>
              <w:rPr>
                <w:b/>
                <w:sz w:val="18"/>
              </w:rPr>
              <w:t>latency_ms</w:t>
            </w:r>
          </w:p>
        </w:tc>
        <w:tc>
          <w:tcPr>
            <w:tcW w:type="dxa" w:w="1134"/>
            <w:shd w:val="clear" w:color="auto" w:fill="F3F6FB"/>
          </w:tcPr>
          <w:p>
            <w:pPr>
              <w:spacing w:after="0" w:line="240" w:lineRule="auto"/>
            </w:pPr>
            <w:r/>
            <w:r>
              <w:rPr>
                <w:sz w:val="18"/>
              </w:rPr>
              <w:t>INTEGER</w:t>
            </w:r>
          </w:p>
        </w:tc>
        <w:tc>
          <w:tcPr>
            <w:tcW w:type="dxa" w:w="5443"/>
            <w:shd w:val="clear" w:color="auto" w:fill="F3F6FB"/>
          </w:tcPr>
          <w:p>
            <w:pPr>
              <w:spacing w:after="0" w:line="240" w:lineRule="auto"/>
            </w:pPr>
            <w:r/>
            <w:r>
              <w:rPr>
                <w:sz w:val="18"/>
              </w:rPr>
              <w:t>Time taken by the model call.</w:t>
            </w:r>
          </w:p>
        </w:tc>
      </w:tr>
      <w:tr>
        <w:tc>
          <w:tcPr>
            <w:tcW w:type="dxa" w:w="2835"/>
          </w:tcPr>
          <w:p>
            <w:pPr>
              <w:spacing w:after="0" w:line="240" w:lineRule="auto"/>
            </w:pPr>
            <w:r/>
            <w:r>
              <w:rPr>
                <w:b/>
                <w:sz w:val="18"/>
              </w:rPr>
              <w:t>fallback_from</w:t>
            </w:r>
          </w:p>
        </w:tc>
        <w:tc>
          <w:tcPr>
            <w:tcW w:type="dxa" w:w="1134"/>
          </w:tcPr>
          <w:p>
            <w:pPr>
              <w:spacing w:after="0" w:line="240" w:lineRule="auto"/>
            </w:pPr>
            <w:r/>
            <w:r>
              <w:rPr>
                <w:sz w:val="18"/>
              </w:rPr>
              <w:t>TEXT</w:t>
            </w:r>
          </w:p>
        </w:tc>
        <w:tc>
          <w:tcPr>
            <w:tcW w:type="dxa" w:w="5443"/>
          </w:tcPr>
          <w:p>
            <w:pPr>
              <w:spacing w:after="0" w:line="240" w:lineRule="auto"/>
            </w:pPr>
            <w:r/>
            <w:r>
              <w:rPr>
                <w:sz w:val="18"/>
              </w:rPr>
              <w:t>Engines that failed before this one answered, with the reason (NULL when the requested engine answered).</w:t>
            </w:r>
          </w:p>
        </w:tc>
      </w:tr>
      <w:tr>
        <w:tc>
          <w:tcPr>
            <w:tcW w:type="dxa" w:w="2835"/>
            <w:shd w:val="clear" w:color="auto" w:fill="F3F6FB"/>
          </w:tcPr>
          <w:p>
            <w:pPr>
              <w:spacing w:after="0" w:line="240" w:lineRule="auto"/>
            </w:pPr>
            <w:r/>
            <w:r>
              <w:rPr>
                <w:b/>
                <w:sz w:val="18"/>
              </w:rPr>
              <w:t>created_at</w:t>
            </w:r>
          </w:p>
        </w:tc>
        <w:tc>
          <w:tcPr>
            <w:tcW w:type="dxa" w:w="1134"/>
            <w:shd w:val="clear" w:color="auto" w:fill="F3F6FB"/>
          </w:tcPr>
          <w:p>
            <w:pPr>
              <w:spacing w:after="0" w:line="240" w:lineRule="auto"/>
            </w:pPr>
            <w:r/>
            <w:r>
              <w:rPr>
                <w:sz w:val="18"/>
              </w:rPr>
              <w:t>TEXT</w:t>
            </w:r>
          </w:p>
        </w:tc>
        <w:tc>
          <w:tcPr>
            <w:tcW w:type="dxa" w:w="5443"/>
            <w:shd w:val="clear" w:color="auto" w:fill="F3F6FB"/>
          </w:tcPr>
          <w:p>
            <w:pPr>
              <w:spacing w:after="0" w:line="240" w:lineRule="auto"/>
            </w:pPr>
            <w:r/>
            <w:r>
              <w:rPr>
                <w:sz w:val="18"/>
              </w:rPr>
              <w:t>Timestamp, default current local time.</w:t>
            </w:r>
          </w:p>
        </w:tc>
      </w:tr>
    </w:tbl>
    <w:p>
      <w:pPr>
        <w:spacing w:after="40"/>
      </w:pPr>
    </w:p>
    <w:p>
      <w:pPr>
        <w:pStyle w:val="Heading2"/>
      </w:pPr>
      <w:r>
        <w:t>3.2 Other tables</w:t>
      </w:r>
    </w:p>
    <w:p>
      <w:pPr>
        <w:keepNext/>
        <w:spacing w:after="60"/>
      </w:pPr>
      <w:r>
        <w:rPr>
          <w:b/>
          <w:i w:val="0"/>
          <w:color w:val="555F70"/>
          <w:sz w:val="19"/>
        </w:rPr>
        <w:t>Table 4: Columns of the remaining tables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928"/>
            <w:shd w:val="clear" w:color="auto" w:fill="1F4FD8"/>
          </w:tcPr>
          <w:p>
            <w:r/>
            <w:r>
              <w:rPr>
                <w:b/>
                <w:color w:val="FFFFFF"/>
                <w:sz w:val="18"/>
              </w:rPr>
              <w:t>Table</w:t>
            </w:r>
          </w:p>
        </w:tc>
        <w:tc>
          <w:tcPr>
            <w:tcW w:type="dxa" w:w="7483"/>
            <w:shd w:val="clear" w:color="auto" w:fill="1F4FD8"/>
          </w:tcPr>
          <w:p>
            <w:r/>
            <w:r>
              <w:rPr>
                <w:b/>
                <w:color w:val="FFFFFF"/>
                <w:sz w:val="18"/>
              </w:rPr>
              <w:t>Columns (PK = primary key, FK = foreign key)</w:t>
            </w:r>
          </w:p>
        </w:tc>
      </w:tr>
      <w:tr>
        <w:tc>
          <w:tcPr>
            <w:tcW w:type="dxa" w:w="1928"/>
          </w:tcPr>
          <w:p>
            <w:pPr>
              <w:spacing w:after="0" w:line="240" w:lineRule="auto"/>
            </w:pPr>
            <w:r/>
            <w:r>
              <w:rPr>
                <w:b/>
                <w:sz w:val="18"/>
              </w:rPr>
              <w:t>companies</w:t>
            </w:r>
          </w:p>
        </w:tc>
        <w:tc>
          <w:tcPr>
            <w:tcW w:type="dxa" w:w="7483"/>
          </w:tcPr>
          <w:p>
            <w:pPr>
              <w:spacing w:after="0" w:line="240" w:lineRule="auto"/>
            </w:pPr>
            <w:r/>
            <w:r>
              <w:rPr>
                <w:sz w:val="18"/>
              </w:rPr>
              <w:t>company_id PK · company_name UNIQUE, case-insensitive · created_at</w:t>
            </w:r>
          </w:p>
        </w:tc>
      </w:tr>
      <w:tr>
        <w:tc>
          <w:tcPr>
            <w:tcW w:type="dxa" w:w="1928"/>
            <w:shd w:val="clear" w:color="auto" w:fill="F3F6FB"/>
          </w:tcPr>
          <w:p>
            <w:pPr>
              <w:spacing w:after="0" w:line="240" w:lineRule="auto"/>
            </w:pPr>
            <w:r/>
            <w:r>
              <w:rPr>
                <w:b/>
                <w:sz w:val="18"/>
              </w:rPr>
              <w:t>llm_models</w:t>
            </w:r>
          </w:p>
        </w:tc>
        <w:tc>
          <w:tcPr>
            <w:tcW w:type="dxa" w:w="7483"/>
            <w:shd w:val="clear" w:color="auto" w:fill="F3F6FB"/>
          </w:tcPr>
          <w:p>
            <w:pPr>
              <w:spacing w:after="0" w:line="240" w:lineRule="auto"/>
            </w:pPr>
            <w:r/>
            <w:r>
              <w:rPr>
                <w:sz w:val="18"/>
              </w:rPr>
              <w:t>model_id PK · engine CHECK in (groq, gemini, llm, finbert) · model_name · prompt_version · description · created_at · UNIQUE (engine, model_name, prompt_version)</w:t>
            </w:r>
          </w:p>
        </w:tc>
      </w:tr>
      <w:tr>
        <w:tc>
          <w:tcPr>
            <w:tcW w:type="dxa" w:w="1928"/>
          </w:tcPr>
          <w:p>
            <w:pPr>
              <w:spacing w:after="0" w:line="240" w:lineRule="auto"/>
            </w:pPr>
            <w:r/>
            <w:r>
              <w:rPr>
                <w:b/>
                <w:sz w:val="18"/>
              </w:rPr>
              <w:t>analysis_requests</w:t>
            </w:r>
          </w:p>
        </w:tc>
        <w:tc>
          <w:tcPr>
            <w:tcW w:type="dxa" w:w="7483"/>
          </w:tcPr>
          <w:p>
            <w:pPr>
              <w:spacing w:after="0" w:line="240" w:lineRule="auto"/>
            </w:pPr>
            <w:r/>
            <w:r>
              <w:rPr>
                <w:sz w:val="18"/>
              </w:rPr>
              <w:t>request_id PK · company_id FK → companies (SET NULL on delete) · input_text NOT NULL · text_type CHECK in (news, announcement, analyst, investor, social, other) · source CHECK in (web, api, test) · client_ip · submitted_at</w:t>
            </w:r>
          </w:p>
        </w:tc>
      </w:tr>
      <w:tr>
        <w:tc>
          <w:tcPr>
            <w:tcW w:type="dxa" w:w="1928"/>
            <w:shd w:val="clear" w:color="auto" w:fill="F3F6FB"/>
          </w:tcPr>
          <w:p>
            <w:pPr>
              <w:spacing w:after="0" w:line="240" w:lineRule="auto"/>
            </w:pPr>
            <w:r/>
            <w:r>
              <w:rPr>
                <w:b/>
                <w:sz w:val="18"/>
              </w:rPr>
              <w:t>test_dataset</w:t>
            </w:r>
          </w:p>
        </w:tc>
        <w:tc>
          <w:tcPr>
            <w:tcW w:type="dxa" w:w="7483"/>
            <w:shd w:val="clear" w:color="auto" w:fill="F3F6FB"/>
          </w:tcPr>
          <w:p>
            <w:pPr>
              <w:spacing w:after="0" w:line="240" w:lineRule="auto"/>
            </w:pPr>
            <w:r/>
            <w:r>
              <w:rPr>
                <w:sz w:val="18"/>
              </w:rPr>
              <w:t>test_id PK · text_type · company_name · input_text · expected_sentiment CHECK in the three labels</w:t>
            </w:r>
          </w:p>
        </w:tc>
      </w:tr>
      <w:tr>
        <w:tc>
          <w:tcPr>
            <w:tcW w:type="dxa" w:w="1928"/>
          </w:tcPr>
          <w:p>
            <w:pPr>
              <w:spacing w:after="0" w:line="240" w:lineRule="auto"/>
            </w:pPr>
            <w:r/>
            <w:r>
              <w:rPr>
                <w:b/>
                <w:sz w:val="18"/>
              </w:rPr>
              <w:t>test_runs</w:t>
            </w:r>
          </w:p>
        </w:tc>
        <w:tc>
          <w:tcPr>
            <w:tcW w:type="dxa" w:w="7483"/>
          </w:tcPr>
          <w:p>
            <w:pPr>
              <w:spacing w:after="0" w:line="240" w:lineRule="auto"/>
            </w:pPr>
            <w:r/>
            <w:r>
              <w:rPr>
                <w:sz w:val="18"/>
              </w:rPr>
              <w:t>run_id PK · model_id FK → llm_models · total_items · correct_items · accuracy · macro_f1 · avg_latency_ms · started_at · finished_at</w:t>
            </w:r>
          </w:p>
        </w:tc>
      </w:tr>
      <w:tr>
        <w:tc>
          <w:tcPr>
            <w:tcW w:type="dxa" w:w="1928"/>
            <w:shd w:val="clear" w:color="auto" w:fill="F3F6FB"/>
          </w:tcPr>
          <w:p>
            <w:pPr>
              <w:spacing w:after="0" w:line="240" w:lineRule="auto"/>
            </w:pPr>
            <w:r/>
            <w:r>
              <w:rPr>
                <w:b/>
                <w:sz w:val="18"/>
              </w:rPr>
              <w:t>test_run_items</w:t>
            </w:r>
          </w:p>
        </w:tc>
        <w:tc>
          <w:tcPr>
            <w:tcW w:type="dxa" w:w="7483"/>
            <w:shd w:val="clear" w:color="auto" w:fill="F3F6FB"/>
          </w:tcPr>
          <w:p>
            <w:pPr>
              <w:spacing w:after="0" w:line="240" w:lineRule="auto"/>
            </w:pPr>
            <w:r/>
            <w:r>
              <w:rPr>
                <w:sz w:val="18"/>
              </w:rPr>
              <w:t>(run_id, test_id) composite PK · run_id FK → test_runs (CASCADE) · test_id FK → test_dataset · result_id FK → sentiment_results · predicted · expected · is_correct CHECK in (0, 1)</w:t>
            </w:r>
          </w:p>
        </w:tc>
      </w:tr>
    </w:tbl>
    <w:p>
      <w:pPr>
        <w:spacing w:after="40"/>
      </w:pPr>
    </w:p>
    <w:p>
      <w:pPr>
        <w:pStyle w:val="Heading2"/>
      </w:pPr>
      <w:r>
        <w:t>3.3 Integrity, indexes and the history view</w:t>
      </w:r>
    </w:p>
    <w:p>
      <w:pPr>
        <w:pStyle w:val="ListBullet"/>
        <w:spacing w:after="40"/>
      </w:pPr>
      <w:r>
        <w:rPr>
          <w:b/>
        </w:rPr>
        <w:t>Referential integrity.</w:t>
      </w:r>
      <w:r>
        <w:rPr>
          <w:b w:val="0"/>
        </w:rPr>
        <w:t xml:space="preserve"> Foreign keys are enforced (PRAGMA foreign_keys = ON). Deleting a request deletes its result (CASCADE); deleting a company keeps the request (SET NULL).</w:t>
      </w:r>
    </w:p>
    <w:p>
      <w:pPr>
        <w:pStyle w:val="ListBullet"/>
        <w:spacing w:after="40"/>
      </w:pPr>
      <w:r>
        <w:rPr>
          <w:b/>
        </w:rPr>
        <w:t>Domain integrity.</w:t>
      </w:r>
      <w:r>
        <w:rPr>
          <w:b w:val="0"/>
        </w:rPr>
        <w:t xml:space="preserve"> CHECK constraints restrict the sentiment to the three valid labels and keep probabilities and scores in range, so an invalid LLM answer can never be stored.</w:t>
      </w:r>
    </w:p>
    <w:p>
      <w:pPr>
        <w:pStyle w:val="ListBullet"/>
        <w:spacing w:after="40"/>
      </w:pPr>
      <w:r>
        <w:rPr>
          <w:b/>
        </w:rPr>
        <w:t>Atomicity.</w:t>
      </w:r>
      <w:r>
        <w:rPr>
          <w:b w:val="0"/>
        </w:rPr>
        <w:t xml:space="preserve"> The company, model, request and result rows of one analysis are written in one transaction in database.save_analysis(); if anything fails, everything is rolled back.</w:t>
      </w:r>
    </w:p>
    <w:p>
      <w:pPr>
        <w:pStyle w:val="ListBullet"/>
        <w:spacing w:after="40"/>
      </w:pPr>
      <w:r>
        <w:rPr>
          <w:b/>
        </w:rPr>
        <w:t>Indexes</w:t>
      </w:r>
      <w:r>
        <w:rPr>
          <w:b w:val="0"/>
        </w:rPr>
        <w:t xml:space="preserve"> on analysis_requests(company_id), analysis_requests(submitted_at), sentiment_results(sentiment) and sentiment_results(model_id) support the filters of the History page.</w:t>
      </w:r>
    </w:p>
    <w:p>
      <w:pPr>
        <w:pStyle w:val="ListBullet"/>
        <w:spacing w:after="40"/>
      </w:pPr>
      <w:r>
        <w:rPr>
          <w:b/>
        </w:rPr>
        <w:t>View v_sentiment_history</w:t>
      </w:r>
      <w:r>
        <w:rPr>
          <w:b w:val="0"/>
        </w:rPr>
        <w:t xml:space="preserve"> joins requests, results, models and companies into one flat row per analysed text. The History page, the CSV export and GET /api/results read from this view.</w:t>
      </w:r>
    </w:p>
    <w:p>
      <w:r>
        <w:rPr>
          <w:b w:val="0"/>
          <w:i w:val="0"/>
        </w:rPr>
        <w:t>Example – what is stored for the assignment's own example (one row of v_sentiment_history):</w:t>
      </w:r>
    </w:p>
    <w:p>
      <w:pPr>
        <w:spacing w:after="0" w:line="240" w:lineRule="auto"/>
        <w:ind w:left="170"/>
        <w:shd w:val="clear" w:color="auto" w:fill="F1F3F7"/>
      </w:pPr>
      <w:r>
        <w:rPr>
          <w:rFonts w:ascii="Menlo" w:hAnsi="Menlo" w:eastAsia="Menlo"/>
          <w:sz w:val="16"/>
        </w:rPr>
        <w:t>result_id       : 224</w:t>
      </w:r>
    </w:p>
    <w:p>
      <w:pPr>
        <w:spacing w:after="0" w:line="240" w:lineRule="auto"/>
        <w:ind w:left="170"/>
        <w:shd w:val="clear" w:color="auto" w:fill="F1F3F7"/>
      </w:pPr>
      <w:r>
        <w:rPr>
          <w:rFonts w:ascii="Menlo" w:hAnsi="Menlo" w:eastAsia="Menlo"/>
          <w:sz w:val="16"/>
        </w:rPr>
        <w:t>submitted_at    : 2026-09-30 22:37:12</w:t>
      </w:r>
    </w:p>
    <w:p>
      <w:pPr>
        <w:spacing w:after="0" w:line="240" w:lineRule="auto"/>
        <w:ind w:left="170"/>
        <w:shd w:val="clear" w:color="auto" w:fill="F1F3F7"/>
      </w:pPr>
      <w:r>
        <w:rPr>
          <w:rFonts w:ascii="Menlo" w:hAnsi="Menlo" w:eastAsia="Menlo"/>
          <w:sz w:val="16"/>
        </w:rPr>
        <w:t>source          : web</w:t>
      </w:r>
    </w:p>
    <w:p>
      <w:pPr>
        <w:spacing w:after="0" w:line="240" w:lineRule="auto"/>
        <w:ind w:left="170"/>
        <w:shd w:val="clear" w:color="auto" w:fill="F1F3F7"/>
      </w:pPr>
      <w:r>
        <w:rPr>
          <w:rFonts w:ascii="Menlo" w:hAnsi="Menlo" w:eastAsia="Menlo"/>
          <w:sz w:val="16"/>
        </w:rPr>
        <w:t>text_type       : news</w:t>
      </w:r>
    </w:p>
    <w:p>
      <w:pPr>
        <w:spacing w:after="0" w:line="240" w:lineRule="auto"/>
        <w:ind w:left="170"/>
        <w:shd w:val="clear" w:color="auto" w:fill="F1F3F7"/>
      </w:pPr>
      <w:r>
        <w:rPr>
          <w:rFonts w:ascii="Menlo" w:hAnsi="Menlo" w:eastAsia="Menlo"/>
          <w:sz w:val="16"/>
        </w:rPr>
        <w:t>company_name    : XYZ Limited</w:t>
      </w:r>
    </w:p>
    <w:p>
      <w:pPr>
        <w:spacing w:after="0" w:line="240" w:lineRule="auto"/>
        <w:ind w:left="170"/>
        <w:shd w:val="clear" w:color="auto" w:fill="F1F3F7"/>
      </w:pPr>
      <w:r>
        <w:rPr>
          <w:rFonts w:ascii="Menlo" w:hAnsi="Menlo" w:eastAsia="Menlo"/>
          <w:sz w:val="16"/>
        </w:rPr>
        <w:t>sentiment       : Positive</w:t>
      </w:r>
    </w:p>
    <w:p>
      <w:pPr>
        <w:spacing w:after="0" w:line="240" w:lineRule="auto"/>
        <w:ind w:left="170"/>
        <w:shd w:val="clear" w:color="auto" w:fill="F1F3F7"/>
      </w:pPr>
      <w:r>
        <w:rPr>
          <w:rFonts w:ascii="Menlo" w:hAnsi="Menlo" w:eastAsia="Menlo"/>
          <w:sz w:val="16"/>
        </w:rPr>
        <w:t>confidence      : 0.7</w:t>
      </w:r>
    </w:p>
    <w:p>
      <w:pPr>
        <w:spacing w:after="0" w:line="240" w:lineRule="auto"/>
        <w:ind w:left="170"/>
        <w:shd w:val="clear" w:color="auto" w:fill="F1F3F7"/>
      </w:pPr>
      <w:r>
        <w:rPr>
          <w:rFonts w:ascii="Menlo" w:hAnsi="Menlo" w:eastAsia="Menlo"/>
          <w:sz w:val="16"/>
        </w:rPr>
        <w:t>sentiment_score : 0.55</w:t>
      </w:r>
    </w:p>
    <w:p>
      <w:pPr>
        <w:spacing w:after="0" w:line="240" w:lineRule="auto"/>
        <w:ind w:left="170"/>
        <w:shd w:val="clear" w:color="auto" w:fill="F1F3F7"/>
      </w:pPr>
      <w:r>
        <w:rPr>
          <w:rFonts w:ascii="Menlo" w:hAnsi="Menlo" w:eastAsia="Menlo"/>
          <w:sz w:val="16"/>
        </w:rPr>
        <w:t>reasoning       : The news highlights robust earnings and a notable rise in revenue, both of which are favorable indicators for the company's financial health. Additionally, analysts' optimism about future growth reinforces a positive market outlook, making the overall sentiment clearly positive.</w:t>
      </w:r>
    </w:p>
    <w:p>
      <w:pPr>
        <w:spacing w:after="0" w:line="240" w:lineRule="auto"/>
        <w:ind w:left="170"/>
        <w:shd w:val="clear" w:color="auto" w:fill="F1F3F7"/>
      </w:pPr>
      <w:r>
        <w:rPr>
          <w:rFonts w:ascii="Menlo" w:hAnsi="Menlo" w:eastAsia="Menlo"/>
          <w:sz w:val="16"/>
        </w:rPr>
        <w:t>key_factors     : ["Strong quarterly earnings", "Significant revenue increase", "Analyst optimism about future growth"]</w:t>
      </w:r>
    </w:p>
    <w:p>
      <w:pPr>
        <w:spacing w:after="0" w:line="240" w:lineRule="auto"/>
        <w:ind w:left="170"/>
        <w:shd w:val="clear" w:color="auto" w:fill="F1F3F7"/>
      </w:pPr>
      <w:r>
        <w:rPr>
          <w:rFonts w:ascii="Menlo" w:hAnsi="Menlo" w:eastAsia="Menlo"/>
          <w:sz w:val="16"/>
        </w:rPr>
        <w:t>latency_ms      : 1205</w:t>
      </w:r>
    </w:p>
    <w:p>
      <w:pPr>
        <w:spacing w:after="0" w:line="240" w:lineRule="auto"/>
        <w:ind w:left="170"/>
        <w:shd w:val="clear" w:color="auto" w:fill="F1F3F7"/>
      </w:pPr>
      <w:r>
        <w:rPr>
          <w:rFonts w:ascii="Menlo" w:hAnsi="Menlo" w:eastAsia="Menlo"/>
          <w:sz w:val="16"/>
        </w:rPr>
        <w:t>engine          : groq</w:t>
      </w:r>
    </w:p>
    <w:p>
      <w:pPr>
        <w:spacing w:after="0" w:line="240" w:lineRule="auto"/>
        <w:ind w:left="170"/>
        <w:shd w:val="clear" w:color="auto" w:fill="F1F3F7"/>
      </w:pPr>
      <w:r>
        <w:rPr>
          <w:rFonts w:ascii="Menlo" w:hAnsi="Menlo" w:eastAsia="Menlo"/>
          <w:sz w:val="16"/>
        </w:rPr>
        <w:t>model_name      : openai/gpt-oss-120b</w:t>
      </w:r>
    </w:p>
    <w:p>
      <w:pPr>
        <w:spacing w:after="0" w:line="240" w:lineRule="auto"/>
        <w:ind w:left="170"/>
        <w:shd w:val="clear" w:color="auto" w:fill="F1F3F7"/>
      </w:pPr>
      <w:r>
        <w:rPr>
          <w:rFonts w:ascii="Menlo" w:hAnsi="Menlo" w:eastAsia="Menlo"/>
          <w:sz w:val="16"/>
        </w:rPr>
        <w:t>prompt_version  : fewshot-v2</w:t>
      </w:r>
    </w:p>
    <w:p>
      <w:pPr>
        <w:spacing w:after="40"/>
      </w:pPr>
    </w:p>
    <w:p>
      <w:pPr>
        <w:pStyle w:val="Heading1"/>
      </w:pPr>
      <w:r>
        <w:t>4. Key components of the system</w:t>
      </w:r>
    </w:p>
    <w:p>
      <w:pPr>
        <w:keepNext/>
        <w:spacing w:after="60"/>
      </w:pPr>
      <w:r>
        <w:rPr>
          <w:b/>
          <w:i w:val="0"/>
          <w:color w:val="555F70"/>
          <w:sz w:val="19"/>
        </w:rPr>
        <w:t>Table 5: Source files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948"/>
            <w:shd w:val="clear" w:color="auto" w:fill="1F4FD8"/>
          </w:tcPr>
          <w:p>
            <w:r/>
            <w:r>
              <w:rPr>
                <w:b/>
                <w:color w:val="FFFFFF"/>
                <w:sz w:val="18"/>
              </w:rPr>
              <w:t>File</w:t>
            </w:r>
          </w:p>
        </w:tc>
        <w:tc>
          <w:tcPr>
            <w:tcW w:type="dxa" w:w="6463"/>
            <w:shd w:val="clear" w:color="auto" w:fill="1F4FD8"/>
          </w:tcPr>
          <w:p>
            <w:r/>
            <w:r>
              <w:rPr>
                <w:b/>
                <w:color w:val="FFFFFF"/>
                <w:sz w:val="18"/>
              </w:rPr>
              <w:t>Role</w:t>
            </w:r>
          </w:p>
        </w:tc>
      </w:tr>
      <w:tr>
        <w:tc>
          <w:tcPr>
            <w:tcW w:type="dxa" w:w="2948"/>
          </w:tcPr>
          <w:p>
            <w:pPr>
              <w:spacing w:after="0" w:line="240" w:lineRule="auto"/>
            </w:pPr>
            <w:r/>
            <w:r>
              <w:rPr>
                <w:b/>
                <w:sz w:val="18"/>
              </w:rPr>
              <w:t>app.py</w:t>
            </w:r>
          </w:p>
        </w:tc>
        <w:tc>
          <w:tcPr>
            <w:tcW w:type="dxa" w:w="6463"/>
          </w:tcPr>
          <w:p>
            <w:pPr>
              <w:spacing w:after="0" w:line="240" w:lineRule="auto"/>
            </w:pPr>
            <w:r/>
            <w:r>
              <w:rPr>
                <w:sz w:val="18"/>
              </w:rPr>
              <w:t>Flask application: page routes, REST API endpoints, input validation, error handlers.</w:t>
            </w:r>
          </w:p>
        </w:tc>
      </w:tr>
      <w:tr>
        <w:tc>
          <w:tcPr>
            <w:tcW w:type="dxa" w:w="2948"/>
            <w:shd w:val="clear" w:color="auto" w:fill="F3F6FB"/>
          </w:tcPr>
          <w:p>
            <w:pPr>
              <w:spacing w:after="0" w:line="240" w:lineRule="auto"/>
            </w:pPr>
            <w:r/>
            <w:r>
              <w:rPr>
                <w:b/>
                <w:sz w:val="18"/>
              </w:rPr>
              <w:t>sentiment_engine.py</w:t>
            </w:r>
          </w:p>
        </w:tc>
        <w:tc>
          <w:tcPr>
            <w:tcW w:type="dxa" w:w="6463"/>
            <w:shd w:val="clear" w:color="auto" w:fill="F3F6FB"/>
          </w:tcPr>
          <w:p>
            <w:pPr>
              <w:spacing w:after="0" w:line="240" w:lineRule="auto"/>
            </w:pPr>
            <w:r/>
            <w:r>
              <w:rPr>
                <w:sz w:val="18"/>
              </w:rPr>
              <w:t>LLM integration: prompts, few-shot examples, the four engines, response parsing.</w:t>
            </w:r>
          </w:p>
        </w:tc>
      </w:tr>
      <w:tr>
        <w:tc>
          <w:tcPr>
            <w:tcW w:type="dxa" w:w="2948"/>
          </w:tcPr>
          <w:p>
            <w:pPr>
              <w:spacing w:after="0" w:line="240" w:lineRule="auto"/>
            </w:pPr>
            <w:r/>
            <w:r>
              <w:rPr>
                <w:b/>
                <w:sz w:val="18"/>
              </w:rPr>
              <w:t>database.py</w:t>
            </w:r>
          </w:p>
        </w:tc>
        <w:tc>
          <w:tcPr>
            <w:tcW w:type="dxa" w:w="6463"/>
          </w:tcPr>
          <w:p>
            <w:pPr>
              <w:spacing w:after="0" w:line="240" w:lineRule="auto"/>
            </w:pPr>
            <w:r/>
            <w:r>
              <w:rPr>
                <w:sz w:val="18"/>
              </w:rPr>
              <w:t>Data-access layer: schema creation, inserts in a transaction, queries, statistics, test runs.</w:t>
            </w:r>
          </w:p>
        </w:tc>
      </w:tr>
      <w:tr>
        <w:tc>
          <w:tcPr>
            <w:tcW w:type="dxa" w:w="2948"/>
            <w:shd w:val="clear" w:color="auto" w:fill="F3F6FB"/>
          </w:tcPr>
          <w:p>
            <w:pPr>
              <w:spacing w:after="0" w:line="240" w:lineRule="auto"/>
            </w:pPr>
            <w:r/>
            <w:r>
              <w:rPr>
                <w:b/>
                <w:sz w:val="18"/>
              </w:rPr>
              <w:t>config.py</w:t>
            </w:r>
          </w:p>
        </w:tc>
        <w:tc>
          <w:tcPr>
            <w:tcW w:type="dxa" w:w="6463"/>
            <w:shd w:val="clear" w:color="auto" w:fill="F3F6FB"/>
          </w:tcPr>
          <w:p>
            <w:pPr>
              <w:spacing w:after="0" w:line="240" w:lineRule="auto"/>
            </w:pPr>
            <w:r/>
            <w:r>
              <w:rPr>
                <w:sz w:val="18"/>
              </w:rPr>
              <w:t>Configuration: model names, default engine, port, limits; loads API keys from the .env file.</w:t>
            </w:r>
          </w:p>
        </w:tc>
      </w:tr>
      <w:tr>
        <w:tc>
          <w:tcPr>
            <w:tcW w:type="dxa" w:w="2948"/>
          </w:tcPr>
          <w:p>
            <w:pPr>
              <w:spacing w:after="0" w:line="240" w:lineRule="auto"/>
            </w:pPr>
            <w:r/>
            <w:r>
              <w:rPr>
                <w:b/>
                <w:sz w:val="18"/>
              </w:rPr>
              <w:t>run_tests.py</w:t>
            </w:r>
          </w:p>
        </w:tc>
        <w:tc>
          <w:tcPr>
            <w:tcW w:type="dxa" w:w="6463"/>
          </w:tcPr>
          <w:p>
            <w:pPr>
              <w:spacing w:after="0" w:line="240" w:lineRule="auto"/>
            </w:pPr>
            <w:r/>
            <w:r>
              <w:rPr>
                <w:sz w:val="18"/>
              </w:rPr>
              <w:t>Sends the test data set through POST /api/analyze and computes the metrics.</w:t>
            </w:r>
          </w:p>
        </w:tc>
      </w:tr>
      <w:tr>
        <w:tc>
          <w:tcPr>
            <w:tcW w:type="dxa" w:w="2948"/>
            <w:shd w:val="clear" w:color="auto" w:fill="F3F6FB"/>
          </w:tcPr>
          <w:p>
            <w:pPr>
              <w:spacing w:after="0" w:line="240" w:lineRule="auto"/>
            </w:pPr>
            <w:r/>
            <w:r>
              <w:rPr>
                <w:b/>
                <w:sz w:val="18"/>
              </w:rPr>
              <w:t>templates/*.html</w:t>
            </w:r>
          </w:p>
        </w:tc>
        <w:tc>
          <w:tcPr>
            <w:tcW w:type="dxa" w:w="6463"/>
            <w:shd w:val="clear" w:color="auto" w:fill="F3F6FB"/>
          </w:tcPr>
          <w:p>
            <w:pPr>
              <w:spacing w:after="0" w:line="240" w:lineRule="auto"/>
            </w:pPr>
            <w:r/>
            <w:r>
              <w:rPr>
                <w:sz w:val="18"/>
              </w:rPr>
              <w:t>Frontend pages (base layout, Analyse, History, Dashboard, Test Results).</w:t>
            </w:r>
          </w:p>
        </w:tc>
      </w:tr>
      <w:tr>
        <w:tc>
          <w:tcPr>
            <w:tcW w:type="dxa" w:w="2948"/>
          </w:tcPr>
          <w:p>
            <w:pPr>
              <w:spacing w:after="0" w:line="240" w:lineRule="auto"/>
            </w:pPr>
            <w:r/>
            <w:r>
              <w:rPr>
                <w:b/>
                <w:sz w:val="18"/>
              </w:rPr>
              <w:t>static/style.css, static/app.js</w:t>
            </w:r>
          </w:p>
        </w:tc>
        <w:tc>
          <w:tcPr>
            <w:tcW w:type="dxa" w:w="6463"/>
          </w:tcPr>
          <w:p>
            <w:pPr>
              <w:spacing w:after="0" w:line="240" w:lineRule="auto"/>
            </w:pPr>
            <w:r/>
            <w:r>
              <w:rPr>
                <w:sz w:val="18"/>
              </w:rPr>
              <w:t>Styling and client-side logic (fetch calls, rendering of results).</w:t>
            </w:r>
          </w:p>
        </w:tc>
      </w:tr>
      <w:tr>
        <w:tc>
          <w:tcPr>
            <w:tcW w:type="dxa" w:w="2948"/>
            <w:shd w:val="clear" w:color="auto" w:fill="F3F6FB"/>
          </w:tcPr>
          <w:p>
            <w:pPr>
              <w:spacing w:after="0" w:line="240" w:lineRule="auto"/>
            </w:pPr>
            <w:r/>
            <w:r>
              <w:rPr>
                <w:b/>
                <w:sz w:val="18"/>
              </w:rPr>
              <w:t>database/schema.sql, database/smsa.db</w:t>
            </w:r>
          </w:p>
        </w:tc>
        <w:tc>
          <w:tcPr>
            <w:tcW w:type="dxa" w:w="6463"/>
            <w:shd w:val="clear" w:color="auto" w:fill="F3F6FB"/>
          </w:tcPr>
          <w:p>
            <w:pPr>
              <w:spacing w:after="0" w:line="240" w:lineRule="auto"/>
            </w:pPr>
            <w:r/>
            <w:r>
              <w:rPr>
                <w:sz w:val="18"/>
              </w:rPr>
              <w:t>Database definition and the database itself.</w:t>
            </w:r>
          </w:p>
        </w:tc>
      </w:tr>
      <w:tr>
        <w:tc>
          <w:tcPr>
            <w:tcW w:type="dxa" w:w="2948"/>
          </w:tcPr>
          <w:p>
            <w:pPr>
              <w:spacing w:after="0" w:line="240" w:lineRule="auto"/>
            </w:pPr>
            <w:r/>
            <w:r>
              <w:rPr>
                <w:b/>
                <w:sz w:val="18"/>
              </w:rPr>
              <w:t>data/test_dataset.csv</w:t>
            </w:r>
          </w:p>
        </w:tc>
        <w:tc>
          <w:tcPr>
            <w:tcW w:type="dxa" w:w="6463"/>
          </w:tcPr>
          <w:p>
            <w:pPr>
              <w:spacing w:after="0" w:line="240" w:lineRule="auto"/>
            </w:pPr>
            <w:r/>
            <w:r>
              <w:rPr>
                <w:sz w:val="18"/>
              </w:rPr>
              <w:t>The 60 labelled test texts.</w:t>
            </w:r>
          </w:p>
        </w:tc>
      </w:tr>
    </w:tbl>
    <w:p>
      <w:pPr>
        <w:spacing w:after="40"/>
      </w:pPr>
    </w:p>
    <w:p>
      <w:pPr>
        <w:pStyle w:val="Heading2"/>
      </w:pPr>
      <w:r>
        <w:t>4.1 Frontend</w:t>
      </w:r>
    </w:p>
    <w:p>
      <w:r>
        <w:rPr>
          <w:b w:val="0"/>
          <w:i w:val="0"/>
        </w:rPr>
        <w:t>The frontend is written in HTML and CSS with a small amount of plain JavaScript; the pages are served by Flask through Jinja2 templates. It has four pages, reachable from the navigation bar.</w:t>
      </w:r>
    </w:p>
    <w:p>
      <w:pPr>
        <w:pStyle w:val="ListBullet"/>
        <w:spacing w:after="40"/>
      </w:pPr>
      <w:r>
        <w:rPr>
          <w:b/>
        </w:rPr>
        <w:t>Analyse</w:t>
      </w:r>
      <w:r>
        <w:rPr>
          <w:b w:val="0"/>
        </w:rPr>
        <w:t xml:space="preserve"> – the input form required by Task 2. A text area for the financial text (10 to 4,000 characters, with a live character counter), an optional company field, the text type, the model and the prompt strategy. </w:t>
      </w:r>
      <w:r>
        <w:rPr>
          <w:b/>
        </w:rPr>
        <w:t>Load a sample</w:t>
      </w:r>
      <w:r>
        <w:rPr>
          <w:b w:val="0"/>
        </w:rPr>
        <w:t xml:space="preserve"> fills the form with a random text from the test data set. The response panel shows the sentiment badge, the detected company, confidence, score, the probability of each label, the key factors and the model's reasoning, and the id under which the result was stored. The five most recent analyses are listed below.</w:t>
      </w:r>
    </w:p>
    <w:p>
      <w:pPr>
        <w:pStyle w:val="ListBullet"/>
        <w:spacing w:after="40"/>
      </w:pPr>
      <w:r>
        <w:rPr>
          <w:b/>
        </w:rPr>
        <w:t>History</w:t>
      </w:r>
      <w:r>
        <w:rPr>
          <w:b w:val="0"/>
        </w:rPr>
        <w:t xml:space="preserve"> – all stored results, read from the database, with search and filters (company, sentiment, text type, source), pagination, a detail dialog, delete and CSV export.</w:t>
      </w:r>
    </w:p>
    <w:p>
      <w:pPr>
        <w:pStyle w:val="ListBullet"/>
        <w:spacing w:after="40"/>
      </w:pPr>
      <w:r>
        <w:rPr>
          <w:b/>
        </w:rPr>
        <w:t>Dashboard</w:t>
      </w:r>
      <w:r>
        <w:rPr>
          <w:b w:val="0"/>
        </w:rPr>
        <w:t xml:space="preserve"> – aggregate statistics computed by SQL: number of texts, sentiment distribution, sentiment by text type, and the average sentiment score per company.</w:t>
      </w:r>
    </w:p>
    <w:p>
      <w:pPr>
        <w:pStyle w:val="ListBullet"/>
        <w:spacing w:after="40"/>
      </w:pPr>
      <w:r>
        <w:rPr>
          <w:b/>
        </w:rPr>
        <w:t>Test Results</w:t>
      </w:r>
      <w:r>
        <w:rPr>
          <w:b w:val="0"/>
        </w:rPr>
        <w:t xml:space="preserve"> – every evaluation run with accuracy and macro-F1, the confusion matrix, accuracy by text type and each prediction next to its expected label.</w:t>
      </w:r>
    </w:p>
    <w:p>
      <w:pPr>
        <w:keepNext/>
        <w:jc w:val="center"/>
      </w:pPr>
      <w:r>
        <w:drawing>
          <wp:inline xmlns:a="http://schemas.openxmlformats.org/drawingml/2006/main" xmlns:pic="http://schemas.openxmlformats.org/drawingml/2006/picture">
            <wp:extent cx="5616000" cy="6441882"/>
            <wp:docPr id="3" name="Picture 3"/>
            <wp:cNvGraphicFramePr>
              <a:graphicFrameLocks noChangeAspect="1"/>
            </wp:cNvGraphicFramePr>
            <a:graphic>
              <a:graphicData uri="http://schemas.openxmlformats.org/drawingml/2006/picture">
                <pic:pic>
                  <pic:nvPicPr>
                    <pic:cNvPr id="0" name="shot_analyze.png"/>
                    <pic:cNvPicPr/>
                  </pic:nvPicPr>
                  <pic:blipFill>
                    <a:blip r:embed="rId12"/>
                    <a:stretch>
                      <a:fillRect/>
                    </a:stretch>
                  </pic:blipFill>
                  <pic:spPr>
                    <a:xfrm>
                      <a:off x="0" y="0"/>
                      <a:ext cx="5616000" cy="6441882"/>
                    </a:xfrm>
                    <a:prstGeom prst="rect"/>
                  </pic:spPr>
                </pic:pic>
              </a:graphicData>
            </a:graphic>
          </wp:inline>
        </w:drawing>
      </w:r>
    </w:p>
    <w:p>
      <w:pPr>
        <w:spacing w:after="200"/>
        <w:jc w:val="center"/>
      </w:pPr>
      <w:r>
        <w:rPr>
          <w:b w:val="0"/>
          <w:i/>
          <w:color w:val="555F70"/>
          <w:sz w:val="18"/>
        </w:rPr>
        <w:t>Figure 3: Analyse page – the assignment's example classified as Positive and stored</w:t>
      </w:r>
    </w:p>
    <w:p>
      <w:pPr>
        <w:keepNext/>
        <w:jc w:val="center"/>
      </w:pPr>
      <w:r>
        <w:drawing>
          <wp:inline xmlns:a="http://schemas.openxmlformats.org/drawingml/2006/main" xmlns:pic="http://schemas.openxmlformats.org/drawingml/2006/picture">
            <wp:extent cx="5616000" cy="4542353"/>
            <wp:docPr id="4" name="Picture 4"/>
            <wp:cNvGraphicFramePr>
              <a:graphicFrameLocks noChangeAspect="1"/>
            </wp:cNvGraphicFramePr>
            <a:graphic>
              <a:graphicData uri="http://schemas.openxmlformats.org/drawingml/2006/picture">
                <pic:pic>
                  <pic:nvPicPr>
                    <pic:cNvPr id="0" name="shot_history.png"/>
                    <pic:cNvPicPr/>
                  </pic:nvPicPr>
                  <pic:blipFill>
                    <a:blip r:embed="rId13"/>
                    <a:stretch>
                      <a:fillRect/>
                    </a:stretch>
                  </pic:blipFill>
                  <pic:spPr>
                    <a:xfrm>
                      <a:off x="0" y="0"/>
                      <a:ext cx="5616000" cy="4542353"/>
                    </a:xfrm>
                    <a:prstGeom prst="rect"/>
                  </pic:spPr>
                </pic:pic>
              </a:graphicData>
            </a:graphic>
          </wp:inline>
        </w:drawing>
      </w:r>
    </w:p>
    <w:p>
      <w:pPr>
        <w:spacing w:after="200"/>
        <w:jc w:val="center"/>
      </w:pPr>
      <w:r>
        <w:rPr>
          <w:b w:val="0"/>
          <w:i/>
          <w:color w:val="555F70"/>
          <w:sz w:val="18"/>
        </w:rPr>
        <w:t>Figure 4: History page – results stored in the database</w:t>
      </w:r>
    </w:p>
    <w:p>
      <w:pPr>
        <w:keepNext/>
        <w:jc w:val="center"/>
      </w:pPr>
      <w:r>
        <w:drawing>
          <wp:inline xmlns:a="http://schemas.openxmlformats.org/drawingml/2006/main" xmlns:pic="http://schemas.openxmlformats.org/drawingml/2006/picture">
            <wp:extent cx="5616000" cy="5368235"/>
            <wp:docPr id="5" name="Picture 5"/>
            <wp:cNvGraphicFramePr>
              <a:graphicFrameLocks noChangeAspect="1"/>
            </wp:cNvGraphicFramePr>
            <a:graphic>
              <a:graphicData uri="http://schemas.openxmlformats.org/drawingml/2006/picture">
                <pic:pic>
                  <pic:nvPicPr>
                    <pic:cNvPr id="0" name="shot_dashboard.png"/>
                    <pic:cNvPicPr/>
                  </pic:nvPicPr>
                  <pic:blipFill>
                    <a:blip r:embed="rId14"/>
                    <a:stretch>
                      <a:fillRect/>
                    </a:stretch>
                  </pic:blipFill>
                  <pic:spPr>
                    <a:xfrm>
                      <a:off x="0" y="0"/>
                      <a:ext cx="5616000" cy="5368235"/>
                    </a:xfrm>
                    <a:prstGeom prst="rect"/>
                  </pic:spPr>
                </pic:pic>
              </a:graphicData>
            </a:graphic>
          </wp:inline>
        </w:drawing>
      </w:r>
    </w:p>
    <w:p>
      <w:pPr>
        <w:spacing w:after="200"/>
        <w:jc w:val="center"/>
      </w:pPr>
      <w:r>
        <w:rPr>
          <w:b w:val="0"/>
          <w:i/>
          <w:color w:val="555F70"/>
          <w:sz w:val="18"/>
        </w:rPr>
        <w:t>Figure 5: Dashboard page – statistics from the database</w:t>
      </w:r>
    </w:p>
    <w:p>
      <w:r>
        <w:rPr>
          <w:b w:val="0"/>
          <w:i w:val="0"/>
        </w:rPr>
        <w:t>Visual design: the interface uses a dark "trading terminal" theme with translucent glass cards and gradient accents. All graphics are drawn with inline SVG and CSS, with no external libraries, so the application also works offline. It includes an animated candlestick chart in the header section, a live ticker tape of the latest sentiments stored in the database, a gauge whose needle swings to the sentiment score, animated probability bars and counters, a donut chart on the dashboard, and a step-by-step progress animation while the LLM is working. Motion is switched off automatically for users whose system asks for reduced motion.</w:t>
      </w:r>
    </w:p>
    <w:p>
      <w:r>
        <w:rPr>
          <w:b w:val="0"/>
          <w:i w:val="0"/>
        </w:rPr>
        <w:t>Client-side behaviour: the form is validated before sending; while the LLM is working the button is disabled and a spinner is shown; errors returned by the backend are displayed under the form; all text coming from the database is HTML-escaped before it is inserted into the page. A status indicator in the header shows whether the models are ready. The layout adapts to narrow screens.</w:t>
      </w:r>
    </w:p>
    <w:p>
      <w:pPr>
        <w:pStyle w:val="Heading2"/>
      </w:pPr>
      <w:r>
        <w:t>4.2 Backend</w:t>
      </w:r>
    </w:p>
    <w:p>
      <w:r>
        <w:rPr>
          <w:b w:val="0"/>
          <w:i w:val="0"/>
        </w:rPr>
        <w:t>The backend is a Flask application. Page routes return HTML; everything else is a JSON REST API under /api. The main endpoint is POST /api/analyze, which receives the financial text from the frontend, passes it to the LLM and stores the response.</w:t>
      </w:r>
    </w:p>
    <w:p>
      <w:pPr>
        <w:keepNext/>
        <w:spacing w:after="60"/>
      </w:pPr>
      <w:r>
        <w:rPr>
          <w:b/>
          <w:i w:val="0"/>
          <w:color w:val="555F70"/>
          <w:sz w:val="19"/>
        </w:rPr>
        <w:t>Table 6: REST API endpoints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964"/>
            <w:shd w:val="clear" w:color="auto" w:fill="1F4FD8"/>
          </w:tcPr>
          <w:p>
            <w:r/>
            <w:r>
              <w:rPr>
                <w:b/>
                <w:color w:val="FFFFFF"/>
                <w:sz w:val="18"/>
              </w:rPr>
              <w:t>Method</w:t>
            </w:r>
          </w:p>
        </w:tc>
        <w:tc>
          <w:tcPr>
            <w:tcW w:type="dxa" w:w="2608"/>
            <w:shd w:val="clear" w:color="auto" w:fill="1F4FD8"/>
          </w:tcPr>
          <w:p>
            <w:r/>
            <w:r>
              <w:rPr>
                <w:b/>
                <w:color w:val="FFFFFF"/>
                <w:sz w:val="18"/>
              </w:rPr>
              <w:t>Endpoint</w:t>
            </w:r>
          </w:p>
        </w:tc>
        <w:tc>
          <w:tcPr>
            <w:tcW w:type="dxa" w:w="5839"/>
            <w:shd w:val="clear" w:color="auto" w:fill="1F4FD8"/>
          </w:tcPr>
          <w:p>
            <w:r/>
            <w:r>
              <w:rPr>
                <w:b/>
                <w:color w:val="FFFFFF"/>
                <w:sz w:val="18"/>
              </w:rPr>
              <w:t>Purpose</w:t>
            </w:r>
          </w:p>
        </w:tc>
      </w:tr>
      <w:tr>
        <w:tc>
          <w:tcPr>
            <w:tcW w:type="dxa" w:w="964"/>
          </w:tcPr>
          <w:p>
            <w:pPr>
              <w:spacing w:after="0" w:line="240" w:lineRule="auto"/>
            </w:pPr>
            <w:r/>
            <w:r>
              <w:rPr>
                <w:sz w:val="18"/>
              </w:rPr>
              <w:t>POST</w:t>
            </w:r>
          </w:p>
        </w:tc>
        <w:tc>
          <w:tcPr>
            <w:tcW w:type="dxa" w:w="2608"/>
          </w:tcPr>
          <w:p>
            <w:pPr>
              <w:spacing w:after="0" w:line="240" w:lineRule="auto"/>
            </w:pPr>
            <w:r/>
            <w:r>
              <w:rPr>
                <w:sz w:val="18"/>
              </w:rPr>
              <w:t>/api/analyze</w:t>
            </w:r>
          </w:p>
        </w:tc>
        <w:tc>
          <w:tcPr>
            <w:tcW w:type="dxa" w:w="5839"/>
          </w:tcPr>
          <w:p>
            <w:pPr>
              <w:spacing w:after="0" w:line="240" w:lineRule="auto"/>
            </w:pPr>
            <w:r/>
            <w:r>
              <w:rPr>
                <w:sz w:val="18"/>
              </w:rPr>
              <w:t>Analyse one text with the LLM, store the request and response, return the stored record (201).</w:t>
            </w:r>
          </w:p>
        </w:tc>
      </w:tr>
      <w:tr>
        <w:tc>
          <w:tcPr>
            <w:tcW w:type="dxa" w:w="964"/>
            <w:shd w:val="clear" w:color="auto" w:fill="F3F6FB"/>
          </w:tcPr>
          <w:p>
            <w:pPr>
              <w:spacing w:after="0" w:line="240" w:lineRule="auto"/>
            </w:pPr>
            <w:r/>
            <w:r>
              <w:rPr>
                <w:sz w:val="18"/>
              </w:rPr>
              <w:t>POST</w:t>
            </w:r>
          </w:p>
        </w:tc>
        <w:tc>
          <w:tcPr>
            <w:tcW w:type="dxa" w:w="2608"/>
            <w:shd w:val="clear" w:color="auto" w:fill="F3F6FB"/>
          </w:tcPr>
          <w:p>
            <w:pPr>
              <w:spacing w:after="0" w:line="240" w:lineRule="auto"/>
            </w:pPr>
            <w:r/>
            <w:r>
              <w:rPr>
                <w:sz w:val="18"/>
              </w:rPr>
              <w:t>/api/analyze/batch</w:t>
            </w:r>
          </w:p>
        </w:tc>
        <w:tc>
          <w:tcPr>
            <w:tcW w:type="dxa" w:w="5839"/>
            <w:shd w:val="clear" w:color="auto" w:fill="F3F6FB"/>
          </w:tcPr>
          <w:p>
            <w:pPr>
              <w:spacing w:after="0" w:line="240" w:lineRule="auto"/>
            </w:pPr>
            <w:r/>
            <w:r>
              <w:rPr>
                <w:sz w:val="18"/>
              </w:rPr>
              <w:t>Analyse 1 to 20 texts in one call.</w:t>
            </w:r>
          </w:p>
        </w:tc>
      </w:tr>
      <w:tr>
        <w:tc>
          <w:tcPr>
            <w:tcW w:type="dxa" w:w="964"/>
          </w:tcPr>
          <w:p>
            <w:pPr>
              <w:spacing w:after="0" w:line="240" w:lineRule="auto"/>
            </w:pPr>
            <w:r/>
            <w:r>
              <w:rPr>
                <w:sz w:val="18"/>
              </w:rPr>
              <w:t>GET</w:t>
            </w:r>
          </w:p>
        </w:tc>
        <w:tc>
          <w:tcPr>
            <w:tcW w:type="dxa" w:w="2608"/>
          </w:tcPr>
          <w:p>
            <w:pPr>
              <w:spacing w:after="0" w:line="240" w:lineRule="auto"/>
            </w:pPr>
            <w:r/>
            <w:r>
              <w:rPr>
                <w:sz w:val="18"/>
              </w:rPr>
              <w:t>/api/results</w:t>
            </w:r>
          </w:p>
        </w:tc>
        <w:tc>
          <w:tcPr>
            <w:tcW w:type="dxa" w:w="5839"/>
          </w:tcPr>
          <w:p>
            <w:pPr>
              <w:spacing w:after="0" w:line="240" w:lineRule="auto"/>
            </w:pPr>
            <w:r/>
            <w:r>
              <w:rPr>
                <w:sz w:val="18"/>
              </w:rPr>
              <w:t>List stored results. Filters: sentiment, company, text_type, source, q (search), limit, offset.</w:t>
            </w:r>
          </w:p>
        </w:tc>
      </w:tr>
      <w:tr>
        <w:tc>
          <w:tcPr>
            <w:tcW w:type="dxa" w:w="964"/>
            <w:shd w:val="clear" w:color="auto" w:fill="F3F6FB"/>
          </w:tcPr>
          <w:p>
            <w:pPr>
              <w:spacing w:after="0" w:line="240" w:lineRule="auto"/>
            </w:pPr>
            <w:r/>
            <w:r>
              <w:rPr>
                <w:sz w:val="18"/>
              </w:rPr>
              <w:t>GET</w:t>
            </w:r>
          </w:p>
        </w:tc>
        <w:tc>
          <w:tcPr>
            <w:tcW w:type="dxa" w:w="2608"/>
            <w:shd w:val="clear" w:color="auto" w:fill="F3F6FB"/>
          </w:tcPr>
          <w:p>
            <w:pPr>
              <w:spacing w:after="0" w:line="240" w:lineRule="auto"/>
            </w:pPr>
            <w:r/>
            <w:r>
              <w:rPr>
                <w:sz w:val="18"/>
              </w:rPr>
              <w:t>/api/results/&lt;id&gt;</w:t>
            </w:r>
          </w:p>
        </w:tc>
        <w:tc>
          <w:tcPr>
            <w:tcW w:type="dxa" w:w="5839"/>
            <w:shd w:val="clear" w:color="auto" w:fill="F3F6FB"/>
          </w:tcPr>
          <w:p>
            <w:pPr>
              <w:spacing w:after="0" w:line="240" w:lineRule="auto"/>
            </w:pPr>
            <w:r/>
            <w:r>
              <w:rPr>
                <w:sz w:val="18"/>
              </w:rPr>
              <w:t>One stored result.</w:t>
            </w:r>
          </w:p>
        </w:tc>
      </w:tr>
      <w:tr>
        <w:tc>
          <w:tcPr>
            <w:tcW w:type="dxa" w:w="964"/>
          </w:tcPr>
          <w:p>
            <w:pPr>
              <w:spacing w:after="0" w:line="240" w:lineRule="auto"/>
            </w:pPr>
            <w:r/>
            <w:r>
              <w:rPr>
                <w:sz w:val="18"/>
              </w:rPr>
              <w:t>DELETE</w:t>
            </w:r>
          </w:p>
        </w:tc>
        <w:tc>
          <w:tcPr>
            <w:tcW w:type="dxa" w:w="2608"/>
          </w:tcPr>
          <w:p>
            <w:pPr>
              <w:spacing w:after="0" w:line="240" w:lineRule="auto"/>
            </w:pPr>
            <w:r/>
            <w:r>
              <w:rPr>
                <w:sz w:val="18"/>
              </w:rPr>
              <w:t>/api/results/&lt;id&gt;</w:t>
            </w:r>
          </w:p>
        </w:tc>
        <w:tc>
          <w:tcPr>
            <w:tcW w:type="dxa" w:w="5839"/>
          </w:tcPr>
          <w:p>
            <w:pPr>
              <w:spacing w:after="0" w:line="240" w:lineRule="auto"/>
            </w:pPr>
            <w:r/>
            <w:r>
              <w:rPr>
                <w:sz w:val="18"/>
              </w:rPr>
              <w:t>Delete a stored result (and its request).</w:t>
            </w:r>
          </w:p>
        </w:tc>
      </w:tr>
      <w:tr>
        <w:tc>
          <w:tcPr>
            <w:tcW w:type="dxa" w:w="964"/>
            <w:shd w:val="clear" w:color="auto" w:fill="F3F6FB"/>
          </w:tcPr>
          <w:p>
            <w:pPr>
              <w:spacing w:after="0" w:line="240" w:lineRule="auto"/>
            </w:pPr>
            <w:r/>
            <w:r>
              <w:rPr>
                <w:sz w:val="18"/>
              </w:rPr>
              <w:t>GET</w:t>
            </w:r>
          </w:p>
        </w:tc>
        <w:tc>
          <w:tcPr>
            <w:tcW w:type="dxa" w:w="2608"/>
            <w:shd w:val="clear" w:color="auto" w:fill="F3F6FB"/>
          </w:tcPr>
          <w:p>
            <w:pPr>
              <w:spacing w:after="0" w:line="240" w:lineRule="auto"/>
            </w:pPr>
            <w:r/>
            <w:r>
              <w:rPr>
                <w:sz w:val="18"/>
              </w:rPr>
              <w:t>/api/results/export.csv</w:t>
            </w:r>
          </w:p>
        </w:tc>
        <w:tc>
          <w:tcPr>
            <w:tcW w:type="dxa" w:w="5839"/>
            <w:shd w:val="clear" w:color="auto" w:fill="F3F6FB"/>
          </w:tcPr>
          <w:p>
            <w:pPr>
              <w:spacing w:after="0" w:line="240" w:lineRule="auto"/>
            </w:pPr>
            <w:r/>
            <w:r>
              <w:rPr>
                <w:sz w:val="18"/>
              </w:rPr>
              <w:t>Download all results as CSV.</w:t>
            </w:r>
          </w:p>
        </w:tc>
      </w:tr>
      <w:tr>
        <w:tc>
          <w:tcPr>
            <w:tcW w:type="dxa" w:w="964"/>
          </w:tcPr>
          <w:p>
            <w:pPr>
              <w:spacing w:after="0" w:line="240" w:lineRule="auto"/>
            </w:pPr>
            <w:r/>
            <w:r>
              <w:rPr>
                <w:sz w:val="18"/>
              </w:rPr>
              <w:t>GET</w:t>
            </w:r>
          </w:p>
        </w:tc>
        <w:tc>
          <w:tcPr>
            <w:tcW w:type="dxa" w:w="2608"/>
          </w:tcPr>
          <w:p>
            <w:pPr>
              <w:spacing w:after="0" w:line="240" w:lineRule="auto"/>
            </w:pPr>
            <w:r/>
            <w:r>
              <w:rPr>
                <w:sz w:val="18"/>
              </w:rPr>
              <w:t>/api/stats</w:t>
            </w:r>
          </w:p>
        </w:tc>
        <w:tc>
          <w:tcPr>
            <w:tcW w:type="dxa" w:w="5839"/>
          </w:tcPr>
          <w:p>
            <w:pPr>
              <w:spacing w:after="0" w:line="240" w:lineRule="auto"/>
            </w:pPr>
            <w:r/>
            <w:r>
              <w:rPr>
                <w:sz w:val="18"/>
              </w:rPr>
              <w:t>Aggregate statistics for the dashboard.</w:t>
            </w:r>
          </w:p>
        </w:tc>
      </w:tr>
      <w:tr>
        <w:tc>
          <w:tcPr>
            <w:tcW w:type="dxa" w:w="964"/>
            <w:shd w:val="clear" w:color="auto" w:fill="F3F6FB"/>
          </w:tcPr>
          <w:p>
            <w:pPr>
              <w:spacing w:after="0" w:line="240" w:lineRule="auto"/>
            </w:pPr>
            <w:r/>
            <w:r>
              <w:rPr>
                <w:sz w:val="18"/>
              </w:rPr>
              <w:t>GET</w:t>
            </w:r>
          </w:p>
        </w:tc>
        <w:tc>
          <w:tcPr>
            <w:tcW w:type="dxa" w:w="2608"/>
            <w:shd w:val="clear" w:color="auto" w:fill="F3F6FB"/>
          </w:tcPr>
          <w:p>
            <w:pPr>
              <w:spacing w:after="0" w:line="240" w:lineRule="auto"/>
            </w:pPr>
            <w:r/>
            <w:r>
              <w:rPr>
                <w:sz w:val="18"/>
              </w:rPr>
              <w:t>/api/companies</w:t>
            </w:r>
          </w:p>
        </w:tc>
        <w:tc>
          <w:tcPr>
            <w:tcW w:type="dxa" w:w="5839"/>
            <w:shd w:val="clear" w:color="auto" w:fill="F3F6FB"/>
          </w:tcPr>
          <w:p>
            <w:pPr>
              <w:spacing w:after="0" w:line="240" w:lineRule="auto"/>
            </w:pPr>
            <w:r/>
            <w:r>
              <w:rPr>
                <w:sz w:val="18"/>
              </w:rPr>
              <w:t>Companies in the database with their number of analyses.</w:t>
            </w:r>
          </w:p>
        </w:tc>
      </w:tr>
      <w:tr>
        <w:tc>
          <w:tcPr>
            <w:tcW w:type="dxa" w:w="964"/>
          </w:tcPr>
          <w:p>
            <w:pPr>
              <w:spacing w:after="0" w:line="240" w:lineRule="auto"/>
            </w:pPr>
            <w:r/>
            <w:r>
              <w:rPr>
                <w:sz w:val="18"/>
              </w:rPr>
              <w:t>GET</w:t>
            </w:r>
          </w:p>
        </w:tc>
        <w:tc>
          <w:tcPr>
            <w:tcW w:type="dxa" w:w="2608"/>
          </w:tcPr>
          <w:p>
            <w:pPr>
              <w:spacing w:after="0" w:line="240" w:lineRule="auto"/>
            </w:pPr>
            <w:r/>
            <w:r>
              <w:rPr>
                <w:sz w:val="18"/>
              </w:rPr>
              <w:t>/api/models</w:t>
            </w:r>
          </w:p>
        </w:tc>
        <w:tc>
          <w:tcPr>
            <w:tcW w:type="dxa" w:w="5839"/>
          </w:tcPr>
          <w:p>
            <w:pPr>
              <w:spacing w:after="0" w:line="240" w:lineRule="auto"/>
            </w:pPr>
            <w:r/>
            <w:r>
              <w:rPr>
                <w:sz w:val="18"/>
              </w:rPr>
              <w:t>Available engines, model names and prompt versions.</w:t>
            </w:r>
          </w:p>
        </w:tc>
      </w:tr>
      <w:tr>
        <w:tc>
          <w:tcPr>
            <w:tcW w:type="dxa" w:w="964"/>
            <w:shd w:val="clear" w:color="auto" w:fill="F3F6FB"/>
          </w:tcPr>
          <w:p>
            <w:pPr>
              <w:spacing w:after="0" w:line="240" w:lineRule="auto"/>
            </w:pPr>
            <w:r/>
            <w:r>
              <w:rPr>
                <w:sz w:val="18"/>
              </w:rPr>
              <w:t>GET</w:t>
            </w:r>
          </w:p>
        </w:tc>
        <w:tc>
          <w:tcPr>
            <w:tcW w:type="dxa" w:w="2608"/>
            <w:shd w:val="clear" w:color="auto" w:fill="F3F6FB"/>
          </w:tcPr>
          <w:p>
            <w:pPr>
              <w:spacing w:after="0" w:line="240" w:lineRule="auto"/>
            </w:pPr>
            <w:r/>
            <w:r>
              <w:rPr>
                <w:sz w:val="18"/>
              </w:rPr>
              <w:t>/api/testset</w:t>
            </w:r>
          </w:p>
        </w:tc>
        <w:tc>
          <w:tcPr>
            <w:tcW w:type="dxa" w:w="5839"/>
            <w:shd w:val="clear" w:color="auto" w:fill="F3F6FB"/>
          </w:tcPr>
          <w:p>
            <w:pPr>
              <w:spacing w:after="0" w:line="240" w:lineRule="auto"/>
            </w:pPr>
            <w:r/>
            <w:r>
              <w:rPr>
                <w:sz w:val="18"/>
              </w:rPr>
              <w:t>The labelled test data set.</w:t>
            </w:r>
          </w:p>
        </w:tc>
      </w:tr>
      <w:tr>
        <w:tc>
          <w:tcPr>
            <w:tcW w:type="dxa" w:w="964"/>
          </w:tcPr>
          <w:p>
            <w:pPr>
              <w:spacing w:after="0" w:line="240" w:lineRule="auto"/>
            </w:pPr>
            <w:r/>
            <w:r>
              <w:rPr>
                <w:sz w:val="18"/>
              </w:rPr>
              <w:t>GET</w:t>
            </w:r>
          </w:p>
        </w:tc>
        <w:tc>
          <w:tcPr>
            <w:tcW w:type="dxa" w:w="2608"/>
          </w:tcPr>
          <w:p>
            <w:pPr>
              <w:spacing w:after="0" w:line="240" w:lineRule="auto"/>
            </w:pPr>
            <w:r/>
            <w:r>
              <w:rPr>
                <w:sz w:val="18"/>
              </w:rPr>
              <w:t>/api/test-runs</w:t>
            </w:r>
          </w:p>
        </w:tc>
        <w:tc>
          <w:tcPr>
            <w:tcW w:type="dxa" w:w="5839"/>
          </w:tcPr>
          <w:p>
            <w:pPr>
              <w:spacing w:after="0" w:line="240" w:lineRule="auto"/>
            </w:pPr>
            <w:r/>
            <w:r>
              <w:rPr>
                <w:sz w:val="18"/>
              </w:rPr>
              <w:t>All evaluation runs.</w:t>
            </w:r>
          </w:p>
        </w:tc>
      </w:tr>
      <w:tr>
        <w:tc>
          <w:tcPr>
            <w:tcW w:type="dxa" w:w="964"/>
            <w:shd w:val="clear" w:color="auto" w:fill="F3F6FB"/>
          </w:tcPr>
          <w:p>
            <w:pPr>
              <w:spacing w:after="0" w:line="240" w:lineRule="auto"/>
            </w:pPr>
            <w:r/>
            <w:r>
              <w:rPr>
                <w:sz w:val="18"/>
              </w:rPr>
              <w:t>GET</w:t>
            </w:r>
          </w:p>
        </w:tc>
        <w:tc>
          <w:tcPr>
            <w:tcW w:type="dxa" w:w="2608"/>
            <w:shd w:val="clear" w:color="auto" w:fill="F3F6FB"/>
          </w:tcPr>
          <w:p>
            <w:pPr>
              <w:spacing w:after="0" w:line="240" w:lineRule="auto"/>
            </w:pPr>
            <w:r/>
            <w:r>
              <w:rPr>
                <w:sz w:val="18"/>
              </w:rPr>
              <w:t>/api/test-runs/&lt;id&gt;</w:t>
            </w:r>
          </w:p>
        </w:tc>
        <w:tc>
          <w:tcPr>
            <w:tcW w:type="dxa" w:w="5839"/>
            <w:shd w:val="clear" w:color="auto" w:fill="F3F6FB"/>
          </w:tcPr>
          <w:p>
            <w:pPr>
              <w:spacing w:after="0" w:line="240" w:lineRule="auto"/>
            </w:pPr>
            <w:r/>
            <w:r>
              <w:rPr>
                <w:sz w:val="18"/>
              </w:rPr>
              <w:t>One run with every prediction.</w:t>
            </w:r>
          </w:p>
        </w:tc>
      </w:tr>
      <w:tr>
        <w:tc>
          <w:tcPr>
            <w:tcW w:type="dxa" w:w="964"/>
          </w:tcPr>
          <w:p>
            <w:pPr>
              <w:spacing w:after="0" w:line="240" w:lineRule="auto"/>
            </w:pPr>
            <w:r/>
            <w:r>
              <w:rPr>
                <w:sz w:val="18"/>
              </w:rPr>
              <w:t>GET</w:t>
            </w:r>
          </w:p>
        </w:tc>
        <w:tc>
          <w:tcPr>
            <w:tcW w:type="dxa" w:w="2608"/>
          </w:tcPr>
          <w:p>
            <w:pPr>
              <w:spacing w:after="0" w:line="240" w:lineRule="auto"/>
            </w:pPr>
            <w:r/>
            <w:r>
              <w:rPr>
                <w:sz w:val="18"/>
              </w:rPr>
              <w:t>/api/health</w:t>
            </w:r>
          </w:p>
        </w:tc>
        <w:tc>
          <w:tcPr>
            <w:tcW w:type="dxa" w:w="5839"/>
          </w:tcPr>
          <w:p>
            <w:pPr>
              <w:spacing w:after="0" w:line="240" w:lineRule="auto"/>
            </w:pPr>
            <w:r/>
            <w:r>
              <w:rPr>
                <w:sz w:val="18"/>
              </w:rPr>
              <w:t>Status of the service and of each model.</w:t>
            </w:r>
          </w:p>
        </w:tc>
      </w:tr>
    </w:tbl>
    <w:p>
      <w:pPr>
        <w:spacing w:after="40"/>
      </w:pPr>
    </w:p>
    <w:p>
      <w:r>
        <w:rPr>
          <w:b w:val="0"/>
          <w:i w:val="0"/>
        </w:rPr>
        <w:t>Page routes: / (Analyse), /history, /dashboard, /test-results.</w:t>
      </w:r>
    </w:p>
    <w:p>
      <w:r>
        <w:rPr>
          <w:b w:val="0"/>
          <w:i w:val="0"/>
        </w:rPr>
        <w:t>Request and response of the main endpoint:</w:t>
      </w:r>
    </w:p>
    <w:p>
      <w:pPr>
        <w:spacing w:after="0" w:line="240" w:lineRule="auto"/>
        <w:ind w:left="170"/>
        <w:shd w:val="clear" w:color="auto" w:fill="F1F3F7"/>
      </w:pPr>
      <w:r>
        <w:rPr>
          <w:rFonts w:ascii="Menlo" w:hAnsi="Menlo" w:eastAsia="Menlo"/>
          <w:sz w:val="17"/>
        </w:rPr>
        <w:t>POST /api/analyze</w:t>
      </w:r>
    </w:p>
    <w:p>
      <w:pPr>
        <w:spacing w:after="0" w:line="240" w:lineRule="auto"/>
        <w:ind w:left="170"/>
        <w:shd w:val="clear" w:color="auto" w:fill="F1F3F7"/>
      </w:pPr>
      <w:r>
        <w:rPr>
          <w:rFonts w:ascii="Menlo" w:hAnsi="Menlo" w:eastAsia="Menlo"/>
          <w:sz w:val="17"/>
        </w:rPr>
        <w:t>{</w:t>
      </w:r>
    </w:p>
    <w:p>
      <w:pPr>
        <w:spacing w:after="0" w:line="240" w:lineRule="auto"/>
        <w:ind w:left="170"/>
        <w:shd w:val="clear" w:color="auto" w:fill="F1F3F7"/>
      </w:pPr>
      <w:r>
        <w:rPr>
          <w:rFonts w:ascii="Menlo" w:hAnsi="Menlo" w:eastAsia="Menlo"/>
          <w:sz w:val="17"/>
        </w:rPr>
        <w:t xml:space="preserve">  "text": "The M/s XYZ Limited reported strong quarterly earnings, ...",</w:t>
      </w:r>
    </w:p>
    <w:p>
      <w:pPr>
        <w:spacing w:after="0" w:line="240" w:lineRule="auto"/>
        <w:ind w:left="170"/>
        <w:shd w:val="clear" w:color="auto" w:fill="F1F3F7"/>
      </w:pPr>
      <w:r>
        <w:rPr>
          <w:rFonts w:ascii="Menlo" w:hAnsi="Menlo" w:eastAsia="Menlo"/>
          <w:sz w:val="17"/>
        </w:rPr>
        <w:t xml:space="preserve">  "text_type": "news",          // news | announcement | analyst | investor | social | other</w:t>
      </w:r>
    </w:p>
    <w:p>
      <w:pPr>
        <w:spacing w:after="0" w:line="240" w:lineRule="auto"/>
        <w:ind w:left="170"/>
        <w:shd w:val="clear" w:color="auto" w:fill="F1F3F7"/>
      </w:pPr>
      <w:r>
        <w:rPr>
          <w:rFonts w:ascii="Menlo" w:hAnsi="Menlo" w:eastAsia="Menlo"/>
          <w:sz w:val="17"/>
        </w:rPr>
        <w:t xml:space="preserve">  "company": "",                // optional - detected by the LLM when empty</w:t>
      </w:r>
    </w:p>
    <w:p>
      <w:pPr>
        <w:spacing w:after="0" w:line="240" w:lineRule="auto"/>
        <w:ind w:left="170"/>
        <w:shd w:val="clear" w:color="auto" w:fill="F1F3F7"/>
      </w:pPr>
      <w:r>
        <w:rPr>
          <w:rFonts w:ascii="Menlo" w:hAnsi="Menlo" w:eastAsia="Menlo"/>
          <w:sz w:val="17"/>
        </w:rPr>
        <w:t xml:space="preserve">  "engine": "groq",             // groq | gemini | llm | finbert (optional)</w:t>
      </w:r>
    </w:p>
    <w:p>
      <w:pPr>
        <w:spacing w:after="0" w:line="240" w:lineRule="auto"/>
        <w:ind w:left="170"/>
        <w:shd w:val="clear" w:color="auto" w:fill="F1F3F7"/>
      </w:pPr>
      <w:r>
        <w:rPr>
          <w:rFonts w:ascii="Menlo" w:hAnsi="Menlo" w:eastAsia="Menlo"/>
          <w:sz w:val="17"/>
        </w:rPr>
        <w:t xml:space="preserve">  "prompt_version": "fewshot-v2",</w:t>
      </w:r>
    </w:p>
    <w:p>
      <w:pPr>
        <w:spacing w:after="0" w:line="240" w:lineRule="auto"/>
        <w:ind w:left="170"/>
        <w:shd w:val="clear" w:color="auto" w:fill="F1F3F7"/>
      </w:pPr>
      <w:r>
        <w:rPr>
          <w:rFonts w:ascii="Menlo" w:hAnsi="Menlo" w:eastAsia="Menlo"/>
          <w:sz w:val="17"/>
        </w:rPr>
        <w:t xml:space="preserve">  "fallback": true              // use the fallback chain if the engine fails (default)</w:t>
      </w:r>
    </w:p>
    <w:p>
      <w:pPr>
        <w:spacing w:after="0" w:line="240" w:lineRule="auto"/>
        <w:ind w:left="170"/>
        <w:shd w:val="clear" w:color="auto" w:fill="F1F3F7"/>
      </w:pPr>
      <w:r>
        <w:rPr>
          <w:rFonts w:ascii="Menlo" w:hAnsi="Menlo" w:eastAsia="Menlo"/>
          <w:sz w:val="17"/>
        </w:rPr>
        <w:t>}</w:t>
      </w:r>
    </w:p>
    <w:p>
      <w:pPr>
        <w:spacing w:after="0" w:line="240" w:lineRule="auto"/>
        <w:ind w:left="170"/>
        <w:shd w:val="clear" w:color="auto" w:fill="F1F3F7"/>
      </w:pPr>
      <w:r>
        <w:rPr>
          <w:rFonts w:ascii="Menlo" w:hAnsi="Menlo" w:eastAsia="Menlo"/>
          <w:sz w:val="17"/>
        </w:rPr>
        <w:t xml:space="preserve"> </w:t>
      </w:r>
    </w:p>
    <w:p>
      <w:pPr>
        <w:spacing w:after="0" w:line="240" w:lineRule="auto"/>
        <w:ind w:left="170"/>
        <w:shd w:val="clear" w:color="auto" w:fill="F1F3F7"/>
      </w:pPr>
      <w:r>
        <w:rPr>
          <w:rFonts w:ascii="Menlo" w:hAnsi="Menlo" w:eastAsia="Menlo"/>
          <w:sz w:val="17"/>
        </w:rPr>
        <w:t>HTTP 201</w:t>
      </w:r>
    </w:p>
    <w:p>
      <w:pPr>
        <w:spacing w:after="0" w:line="240" w:lineRule="auto"/>
        <w:ind w:left="170"/>
        <w:shd w:val="clear" w:color="auto" w:fill="F1F3F7"/>
      </w:pPr>
      <w:r>
        <w:rPr>
          <w:rFonts w:ascii="Menlo" w:hAnsi="Menlo" w:eastAsia="Menlo"/>
          <w:sz w:val="17"/>
        </w:rPr>
        <w:t>{</w:t>
      </w:r>
    </w:p>
    <w:p>
      <w:pPr>
        <w:spacing w:after="0" w:line="240" w:lineRule="auto"/>
        <w:ind w:left="170"/>
        <w:shd w:val="clear" w:color="auto" w:fill="F1F3F7"/>
      </w:pPr>
      <w:r>
        <w:rPr>
          <w:rFonts w:ascii="Menlo" w:hAnsi="Menlo" w:eastAsia="Menlo"/>
          <w:sz w:val="17"/>
        </w:rPr>
        <w:t xml:space="preserve">  "status": "success",</w:t>
      </w:r>
    </w:p>
    <w:p>
      <w:pPr>
        <w:spacing w:after="0" w:line="240" w:lineRule="auto"/>
        <w:ind w:left="170"/>
        <w:shd w:val="clear" w:color="auto" w:fill="F1F3F7"/>
      </w:pPr>
      <w:r>
        <w:rPr>
          <w:rFonts w:ascii="Menlo" w:hAnsi="Menlo" w:eastAsia="Menlo"/>
          <w:sz w:val="17"/>
        </w:rPr>
        <w:t xml:space="preserve">  "result": {</w:t>
      </w:r>
    </w:p>
    <w:p>
      <w:pPr>
        <w:spacing w:after="0" w:line="240" w:lineRule="auto"/>
        <w:ind w:left="170"/>
        <w:shd w:val="clear" w:color="auto" w:fill="F1F3F7"/>
      </w:pPr>
      <w:r>
        <w:rPr>
          <w:rFonts w:ascii="Menlo" w:hAnsi="Menlo" w:eastAsia="Menlo"/>
          <w:sz w:val="17"/>
        </w:rPr>
        <w:t xml:space="preserve">    "result_id": 224, "sentiment": "Positive", "confidence": 0.7,</w:t>
      </w:r>
    </w:p>
    <w:p>
      <w:pPr>
        <w:spacing w:after="0" w:line="240" w:lineRule="auto"/>
        <w:ind w:left="170"/>
        <w:shd w:val="clear" w:color="auto" w:fill="F1F3F7"/>
      </w:pPr>
      <w:r>
        <w:rPr>
          <w:rFonts w:ascii="Menlo" w:hAnsi="Menlo" w:eastAsia="Menlo"/>
          <w:sz w:val="17"/>
        </w:rPr>
        <w:t xml:space="preserve">    "sentiment_score": 0.55, "company_name": "XYZ Limited",</w:t>
      </w:r>
    </w:p>
    <w:p>
      <w:pPr>
        <w:spacing w:after="0" w:line="240" w:lineRule="auto"/>
        <w:ind w:left="170"/>
        <w:shd w:val="clear" w:color="auto" w:fill="F1F3F7"/>
      </w:pPr>
      <w:r>
        <w:rPr>
          <w:rFonts w:ascii="Menlo" w:hAnsi="Menlo" w:eastAsia="Menlo"/>
          <w:sz w:val="17"/>
        </w:rPr>
        <w:t xml:space="preserve">    "prob_positive": ..., "prob_negative": ..., "prob_neutral": ...,</w:t>
      </w:r>
    </w:p>
    <w:p>
      <w:pPr>
        <w:spacing w:after="0" w:line="240" w:lineRule="auto"/>
        <w:ind w:left="170"/>
        <w:shd w:val="clear" w:color="auto" w:fill="F1F3F7"/>
      </w:pPr>
      <w:r>
        <w:rPr>
          <w:rFonts w:ascii="Menlo" w:hAnsi="Menlo" w:eastAsia="Menlo"/>
          <w:sz w:val="17"/>
        </w:rPr>
        <w:t xml:space="preserve">    "key_factors": ["Strong quarterly earnings", "Significant revenue increase", ...],</w:t>
      </w:r>
    </w:p>
    <w:p>
      <w:pPr>
        <w:spacing w:after="0" w:line="240" w:lineRule="auto"/>
        <w:ind w:left="170"/>
        <w:shd w:val="clear" w:color="auto" w:fill="F1F3F7"/>
      </w:pPr>
      <w:r>
        <w:rPr>
          <w:rFonts w:ascii="Menlo" w:hAnsi="Menlo" w:eastAsia="Menlo"/>
          <w:sz w:val="17"/>
        </w:rPr>
        <w:t xml:space="preserve">    "reasoning": "The news highlights robust earnings and a notable rise in revenue ...",</w:t>
      </w:r>
    </w:p>
    <w:p>
      <w:pPr>
        <w:spacing w:after="0" w:line="240" w:lineRule="auto"/>
        <w:ind w:left="170"/>
        <w:shd w:val="clear" w:color="auto" w:fill="F1F3F7"/>
      </w:pPr>
      <w:r>
        <w:rPr>
          <w:rFonts w:ascii="Menlo" w:hAnsi="Menlo" w:eastAsia="Menlo"/>
          <w:sz w:val="17"/>
        </w:rPr>
        <w:t xml:space="preserve">    "engine": "groq", "model_name": "openai/gpt-oss-120b", "latency_ms": 1205, ...</w:t>
      </w:r>
    </w:p>
    <w:p>
      <w:pPr>
        <w:spacing w:after="0" w:line="240" w:lineRule="auto"/>
        <w:ind w:left="170"/>
        <w:shd w:val="clear" w:color="auto" w:fill="F1F3F7"/>
      </w:pPr>
      <w:r>
        <w:rPr>
          <w:rFonts w:ascii="Menlo" w:hAnsi="Menlo" w:eastAsia="Menlo"/>
          <w:sz w:val="17"/>
        </w:rPr>
        <w:t xml:space="preserve">  }</w:t>
      </w:r>
    </w:p>
    <w:p>
      <w:pPr>
        <w:spacing w:after="0" w:line="240" w:lineRule="auto"/>
        <w:ind w:left="170"/>
        <w:shd w:val="clear" w:color="auto" w:fill="F1F3F7"/>
      </w:pPr>
      <w:r>
        <w:rPr>
          <w:rFonts w:ascii="Menlo" w:hAnsi="Menlo" w:eastAsia="Menlo"/>
          <w:sz w:val="17"/>
        </w:rPr>
        <w:t>}</w:t>
      </w:r>
    </w:p>
    <w:p>
      <w:pPr>
        <w:spacing w:after="40"/>
      </w:pPr>
    </w:p>
    <w:p>
      <w:pPr>
        <w:pStyle w:val="Heading3"/>
      </w:pPr>
      <w:r>
        <w:t>Validation and error handling</w:t>
      </w:r>
    </w:p>
    <w:p>
      <w:pPr>
        <w:pStyle w:val="ListBullet"/>
        <w:spacing w:after="40"/>
      </w:pPr>
      <w:r>
        <w:rPr>
          <w:b w:val="0"/>
        </w:rPr>
        <w:t>If the requested cloud LLM fails, the request is answered by the next engine of the fallback chain (Section 5.4) and the response says which model answered and why the first one failed.</w:t>
      </w:r>
    </w:p>
    <w:p>
      <w:pPr>
        <w:pStyle w:val="ListBullet"/>
        <w:spacing w:after="40"/>
      </w:pPr>
      <w:r>
        <w:rPr>
          <w:b w:val="0"/>
        </w:rPr>
        <w:t>The text must have between 10 and 4,000 characters; text_type and engine must be known values. Otherwise the API answers HTTP 400 with {"status": "error", "error": "..."}.</w:t>
      </w:r>
    </w:p>
    <w:p>
      <w:pPr>
        <w:pStyle w:val="ListBullet"/>
        <w:spacing w:after="40"/>
      </w:pPr>
      <w:r>
        <w:rPr>
          <w:b w:val="0"/>
        </w:rPr>
        <w:t>If every engine of the chain fails (or fallback is switched off), the error is returned as HTTP 503 with a readable message and nothing is written to the database.</w:t>
      </w:r>
    </w:p>
    <w:p>
      <w:pPr>
        <w:pStyle w:val="ListBullet"/>
        <w:spacing w:after="40"/>
      </w:pPr>
      <w:r>
        <w:rPr>
          <w:b w:val="0"/>
        </w:rPr>
        <w:t>Unknown /api paths return a JSON 404. Every SQL statement uses bound parameters, so text submitted by users cannot alter a query.</w:t>
      </w:r>
    </w:p>
    <w:p>
      <w:pPr>
        <w:pStyle w:val="ListBullet"/>
        <w:spacing w:after="40"/>
      </w:pPr>
      <w:r>
        <w:rPr>
          <w:b w:val="0"/>
        </w:rPr>
        <w:t>The local models are loaded once, in a background thread at start-up, and a lock ensures that only one local inference runs at a time, so the multi-threaded server stays responsive.</w:t>
      </w:r>
    </w:p>
    <w:p>
      <w:pPr>
        <w:pStyle w:val="Heading1"/>
      </w:pPr>
      <w:r>
        <w:t>5. LLM integration details</w:t>
      </w:r>
    </w:p>
    <w:p>
      <w:r>
        <w:rPr>
          <w:b w:val="0"/>
          <w:i w:val="0"/>
        </w:rPr>
        <w:t xml:space="preserve">All model code is in </w:t>
      </w:r>
      <w:r>
        <w:rPr>
          <w:b/>
          <w:i w:val="0"/>
        </w:rPr>
        <w:t>sentiment_engine.py</w:t>
      </w:r>
      <w:r>
        <w:rPr>
          <w:b w:val="0"/>
          <w:i w:val="0"/>
        </w:rPr>
        <w:t>. The backend calls one function, engine.analyze(text, text_type, company, engine, prompt_version), and receives the same result structure whichever model is used. This keeps the Flask code independent of the model.</w:t>
      </w:r>
    </w:p>
    <w:p>
      <w:pPr>
        <w:pStyle w:val="Heading2"/>
      </w:pPr>
      <w:r>
        <w:t>5.1 Models</w:t>
      </w:r>
    </w:p>
    <w:p>
      <w:pPr>
        <w:keepNext/>
        <w:spacing w:after="60"/>
      </w:pPr>
      <w:r>
        <w:rPr>
          <w:b/>
          <w:i w:val="0"/>
          <w:color w:val="555F70"/>
          <w:sz w:val="19"/>
        </w:rPr>
        <w:t>Table 7: Pre-trained models integrated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361"/>
            <w:shd w:val="clear" w:color="auto" w:fill="1F4FD8"/>
          </w:tcPr>
          <w:p>
            <w:r/>
            <w:r>
              <w:rPr>
                <w:b/>
                <w:color w:val="FFFFFF"/>
                <w:sz w:val="17"/>
              </w:rPr>
              <w:t>Engine</w:t>
            </w:r>
          </w:p>
        </w:tc>
        <w:tc>
          <w:tcPr>
            <w:tcW w:type="dxa" w:w="2494"/>
            <w:shd w:val="clear" w:color="auto" w:fill="1F4FD8"/>
          </w:tcPr>
          <w:p>
            <w:r/>
            <w:r>
              <w:rPr>
                <w:b/>
                <w:color w:val="FFFFFF"/>
                <w:sz w:val="17"/>
              </w:rPr>
              <w:t>Model</w:t>
            </w:r>
          </w:p>
        </w:tc>
        <w:tc>
          <w:tcPr>
            <w:tcW w:type="dxa" w:w="3061"/>
            <w:shd w:val="clear" w:color="auto" w:fill="1F4FD8"/>
          </w:tcPr>
          <w:p>
            <w:r/>
            <w:r>
              <w:rPr>
                <w:b/>
                <w:color w:val="FFFFFF"/>
                <w:sz w:val="17"/>
              </w:rPr>
              <w:t>How it is used</w:t>
            </w:r>
          </w:p>
        </w:tc>
        <w:tc>
          <w:tcPr>
            <w:tcW w:type="dxa" w:w="2494"/>
            <w:shd w:val="clear" w:color="auto" w:fill="1F4FD8"/>
          </w:tcPr>
          <w:p>
            <w:r/>
            <w:r>
              <w:rPr>
                <w:b/>
                <w:color w:val="FFFFFF"/>
                <w:sz w:val="17"/>
              </w:rPr>
              <w:t>Why</w:t>
            </w:r>
          </w:p>
        </w:tc>
      </w:tr>
      <w:tr>
        <w:tc>
          <w:tcPr>
            <w:tcW w:type="dxa" w:w="1361"/>
          </w:tcPr>
          <w:p>
            <w:pPr>
              <w:spacing w:after="0" w:line="240" w:lineRule="auto"/>
            </w:pPr>
            <w:r/>
            <w:r>
              <w:rPr>
                <w:b/>
                <w:sz w:val="17"/>
              </w:rPr>
              <w:t>groq (default)</w:t>
            </w:r>
          </w:p>
        </w:tc>
        <w:tc>
          <w:tcPr>
            <w:tcW w:type="dxa" w:w="2494"/>
          </w:tcPr>
          <w:p>
            <w:pPr>
              <w:spacing w:after="0" w:line="240" w:lineRule="auto"/>
            </w:pPr>
            <w:r/>
            <w:r>
              <w:rPr>
                <w:sz w:val="17"/>
              </w:rPr>
              <w:t>openai/gpt-oss-120b, an open-weight LLM served by the Groq API</w:t>
            </w:r>
          </w:p>
        </w:tc>
        <w:tc>
          <w:tcPr>
            <w:tcW w:type="dxa" w:w="3061"/>
          </w:tcPr>
          <w:p>
            <w:pPr>
              <w:spacing w:after="0" w:line="240" w:lineRule="auto"/>
            </w:pPr>
            <w:r/>
            <w:r>
              <w:rPr>
                <w:sz w:val="17"/>
              </w:rPr>
              <w:t>Chat completion with the engineered prompt; output constrained to a JSON schema; temperature 0.</w:t>
            </w:r>
          </w:p>
        </w:tc>
        <w:tc>
          <w:tcPr>
            <w:tcW w:type="dxa" w:w="2494"/>
          </w:tcPr>
          <w:p>
            <w:pPr>
              <w:spacing w:after="0" w:line="240" w:lineRule="auto"/>
            </w:pPr>
            <w:r/>
            <w:r>
              <w:rPr>
                <w:sz w:val="17"/>
              </w:rPr>
              <w:t>Large model: understands sarcasm, expectations and mixed news; answers in about a second.</w:t>
            </w:r>
          </w:p>
        </w:tc>
      </w:tr>
      <w:tr>
        <w:tc>
          <w:tcPr>
            <w:tcW w:type="dxa" w:w="1361"/>
            <w:shd w:val="clear" w:color="auto" w:fill="F3F6FB"/>
          </w:tcPr>
          <w:p>
            <w:pPr>
              <w:spacing w:after="0" w:line="240" w:lineRule="auto"/>
            </w:pPr>
            <w:r/>
            <w:r>
              <w:rPr>
                <w:b/>
                <w:sz w:val="17"/>
              </w:rPr>
              <w:t>gemini (fallback)</w:t>
            </w:r>
          </w:p>
        </w:tc>
        <w:tc>
          <w:tcPr>
            <w:tcW w:type="dxa" w:w="2494"/>
            <w:shd w:val="clear" w:color="auto" w:fill="F3F6FB"/>
          </w:tcPr>
          <w:p>
            <w:pPr>
              <w:spacing w:after="0" w:line="240" w:lineRule="auto"/>
            </w:pPr>
            <w:r/>
            <w:r>
              <w:rPr>
                <w:sz w:val="17"/>
              </w:rPr>
              <w:t>gemini-3.5-flash through the Google Gemini API</w:t>
            </w:r>
          </w:p>
        </w:tc>
        <w:tc>
          <w:tcPr>
            <w:tcW w:type="dxa" w:w="3061"/>
            <w:shd w:val="clear" w:color="auto" w:fill="F3F6FB"/>
          </w:tcPr>
          <w:p>
            <w:pPr>
              <w:spacing w:after="0" w:line="240" w:lineRule="auto"/>
            </w:pPr>
            <w:r/>
            <w:r>
              <w:rPr>
                <w:sz w:val="17"/>
              </w:rPr>
              <w:t>Same prompt and JSON schema as Groq; temperature 0.</w:t>
            </w:r>
          </w:p>
        </w:tc>
        <w:tc>
          <w:tcPr>
            <w:tcW w:type="dxa" w:w="2494"/>
            <w:shd w:val="clear" w:color="auto" w:fill="F3F6FB"/>
          </w:tcPr>
          <w:p>
            <w:pPr>
              <w:spacing w:after="0" w:line="240" w:lineRule="auto"/>
            </w:pPr>
            <w:r/>
            <w:r>
              <w:rPr>
                <w:sz w:val="17"/>
              </w:rPr>
              <w:t>Keeps the application working when Groq is down or rate-limited.</w:t>
            </w:r>
          </w:p>
        </w:tc>
      </w:tr>
      <w:tr>
        <w:tc>
          <w:tcPr>
            <w:tcW w:type="dxa" w:w="1361"/>
          </w:tcPr>
          <w:p>
            <w:pPr>
              <w:spacing w:after="0" w:line="240" w:lineRule="auto"/>
            </w:pPr>
            <w:r/>
            <w:r>
              <w:rPr>
                <w:b/>
                <w:sz w:val="17"/>
              </w:rPr>
              <w:t>llm</w:t>
            </w:r>
          </w:p>
        </w:tc>
        <w:tc>
          <w:tcPr>
            <w:tcW w:type="dxa" w:w="2494"/>
          </w:tcPr>
          <w:p>
            <w:pPr>
              <w:spacing w:after="0" w:line="240" w:lineRule="auto"/>
            </w:pPr>
            <w:r/>
            <w:r>
              <w:rPr>
                <w:sz w:val="17"/>
              </w:rPr>
              <w:t>Qwen/Qwen2.5-1.5B-Instruct, loaded locally with Hugging Face Transformers</w:t>
            </w:r>
          </w:p>
        </w:tc>
        <w:tc>
          <w:tcPr>
            <w:tcW w:type="dxa" w:w="3061"/>
          </w:tcPr>
          <w:p>
            <w:pPr>
              <w:spacing w:after="0" w:line="240" w:lineRule="auto"/>
            </w:pPr>
            <w:r/>
            <w:r>
              <w:rPr>
                <w:sz w:val="17"/>
              </w:rPr>
              <w:t>Same prompt as chat turns; label read from the next-token probabilities, then the explanation is generated.</w:t>
            </w:r>
          </w:p>
        </w:tc>
        <w:tc>
          <w:tcPr>
            <w:tcW w:type="dxa" w:w="2494"/>
          </w:tcPr>
          <w:p>
            <w:pPr>
              <w:spacing w:after="0" w:line="240" w:lineRule="auto"/>
            </w:pPr>
            <w:r/>
            <w:r>
              <w:rPr>
                <w:sz w:val="17"/>
              </w:rPr>
              <w:t>Runs on the laptop (Apple GPU / CUDA / CPU) with no internet and no API key.</w:t>
            </w:r>
          </w:p>
        </w:tc>
      </w:tr>
      <w:tr>
        <w:tc>
          <w:tcPr>
            <w:tcW w:type="dxa" w:w="1361"/>
            <w:shd w:val="clear" w:color="auto" w:fill="F3F6FB"/>
          </w:tcPr>
          <w:p>
            <w:pPr>
              <w:spacing w:after="0" w:line="240" w:lineRule="auto"/>
            </w:pPr>
            <w:r/>
            <w:r>
              <w:rPr>
                <w:b/>
                <w:sz w:val="17"/>
              </w:rPr>
              <w:t>finbert</w:t>
            </w:r>
          </w:p>
        </w:tc>
        <w:tc>
          <w:tcPr>
            <w:tcW w:type="dxa" w:w="2494"/>
            <w:shd w:val="clear" w:color="auto" w:fill="F3F6FB"/>
          </w:tcPr>
          <w:p>
            <w:pPr>
              <w:spacing w:after="0" w:line="240" w:lineRule="auto"/>
            </w:pPr>
            <w:r/>
            <w:r>
              <w:rPr>
                <w:sz w:val="17"/>
              </w:rPr>
              <w:t>ProsusAI/finbert</w:t>
            </w:r>
          </w:p>
        </w:tc>
        <w:tc>
          <w:tcPr>
            <w:tcW w:type="dxa" w:w="3061"/>
            <w:shd w:val="clear" w:color="auto" w:fill="F3F6FB"/>
          </w:tcPr>
          <w:p>
            <w:pPr>
              <w:spacing w:after="0" w:line="240" w:lineRule="auto"/>
            </w:pPr>
            <w:r/>
            <w:r>
              <w:rPr>
                <w:sz w:val="17"/>
              </w:rPr>
              <w:t>Text-classification pipeline; no prompt.</w:t>
            </w:r>
          </w:p>
        </w:tc>
        <w:tc>
          <w:tcPr>
            <w:tcW w:type="dxa" w:w="2494"/>
            <w:shd w:val="clear" w:color="auto" w:fill="F3F6FB"/>
          </w:tcPr>
          <w:p>
            <w:pPr>
              <w:spacing w:after="0" w:line="240" w:lineRule="auto"/>
            </w:pPr>
            <w:r/>
            <w:r>
              <w:rPr>
                <w:sz w:val="17"/>
              </w:rPr>
              <w:t>Domain-specific baseline to measure what prompt engineering with an LLM adds.</w:t>
            </w:r>
          </w:p>
        </w:tc>
      </w:tr>
    </w:tbl>
    <w:p>
      <w:pPr>
        <w:spacing w:after="40"/>
      </w:pPr>
    </w:p>
    <w:p>
      <w:r>
        <w:rPr>
          <w:b w:val="0"/>
          <w:i w:val="0"/>
        </w:rPr>
        <w:t>The default engine is chosen in config.py: Groq when a Groq API key is configured, then Gemini, otherwise the local Qwen model. It can be changed per request from the frontend or with the environment variable SMSA_DEFAULT_ENGINE.</w:t>
      </w:r>
    </w:p>
    <w:p>
      <w:pPr>
        <w:pStyle w:val="Heading2"/>
      </w:pPr>
      <w:r>
        <w:t>5.2 Prompt engineering</w:t>
      </w:r>
    </w:p>
    <w:p>
      <w:r>
        <w:rPr>
          <w:b w:val="0"/>
          <w:i w:val="0"/>
        </w:rPr>
        <w:t xml:space="preserve">The final prompt (version </w:t>
      </w:r>
      <w:r>
        <w:rPr>
          <w:b/>
          <w:i w:val="0"/>
        </w:rPr>
        <w:t>fewshot-v2</w:t>
      </w:r>
      <w:r>
        <w:rPr>
          <w:b w:val="0"/>
          <w:i w:val="0"/>
        </w:rPr>
        <w:t>) combines six techniques:</w:t>
      </w:r>
    </w:p>
    <w:p>
      <w:pPr>
        <w:pStyle w:val="ListBullet"/>
        <w:spacing w:after="40"/>
      </w:pPr>
      <w:r>
        <w:rPr>
          <w:b/>
        </w:rPr>
        <w:t>Role prompting</w:t>
      </w:r>
      <w:r>
        <w:rPr>
          <w:b w:val="0"/>
        </w:rPr>
        <w:t xml:space="preserve"> – the model is told it is a senior equity research analyst specialising in market sentiment.</w:t>
      </w:r>
    </w:p>
    <w:p>
      <w:pPr>
        <w:pStyle w:val="ListBullet"/>
        <w:spacing w:after="40"/>
      </w:pPr>
      <w:r>
        <w:rPr>
          <w:b/>
        </w:rPr>
        <w:t>Explicit label definitions</w:t>
      </w:r>
      <w:r>
        <w:rPr>
          <w:b w:val="0"/>
        </w:rPr>
        <w:t xml:space="preserve"> – what Positive, Negative and Neutral mean for an investor in the company, with typical events for each.</w:t>
      </w:r>
    </w:p>
    <w:p>
      <w:pPr>
        <w:pStyle w:val="ListBullet"/>
        <w:spacing w:after="40"/>
      </w:pPr>
      <w:r>
        <w:rPr>
          <w:b/>
        </w:rPr>
        <w:t>Domain rules</w:t>
      </w:r>
      <w:r>
        <w:rPr>
          <w:b w:val="0"/>
        </w:rPr>
        <w:t xml:space="preserve"> – judge the implication for the company and not the tone of the words; compare results with expectations ("profit rose but missed estimates" is Negative, "loss narrowed more than expected" is Positive); interpret market slang and sarcasm; for mixed news choose the dominant side and use Neutral only when it is balanced.</w:t>
      </w:r>
    </w:p>
    <w:p>
      <w:pPr>
        <w:pStyle w:val="ListBullet"/>
        <w:spacing w:after="40"/>
      </w:pPr>
      <w:r>
        <w:rPr>
          <w:b/>
        </w:rPr>
        <w:t>Few-shot examples</w:t>
      </w:r>
      <w:r>
        <w:rPr>
          <w:b w:val="0"/>
        </w:rPr>
        <w:t xml:space="preserve"> – six worked examples covering every text type and every label, including one sarcastic post and one in-line / mixed result. None of them is taken from the test data set.</w:t>
      </w:r>
    </w:p>
    <w:p>
      <w:pPr>
        <w:pStyle w:val="ListBullet"/>
        <w:spacing w:after="40"/>
      </w:pPr>
      <w:r>
        <w:rPr>
          <w:b/>
        </w:rPr>
        <w:t>Context in the user message</w:t>
      </w:r>
      <w:r>
        <w:rPr>
          <w:b w:val="0"/>
        </w:rPr>
        <w:t xml:space="preserve"> – the text type and, if given, the company are stated before the text, and the text is delimited by triple quotes.</w:t>
      </w:r>
    </w:p>
    <w:p>
      <w:pPr>
        <w:pStyle w:val="ListBullet"/>
        <w:spacing w:after="40"/>
      </w:pPr>
      <w:r>
        <w:rPr>
          <w:b/>
        </w:rPr>
        <w:t>Structured output</w:t>
      </w:r>
      <w:r>
        <w:rPr>
          <w:b w:val="0"/>
        </w:rPr>
        <w:t xml:space="preserve"> – the answer must be a JSON object with fixed keys, so the backend can parse it reliably.</w:t>
      </w:r>
    </w:p>
    <w:p>
      <w:r>
        <w:rPr>
          <w:b w:val="0"/>
          <w:i w:val="0"/>
        </w:rPr>
        <w:t>System prompt used with the local LLM (the text sent to Groq and Gemini is the same up to rule 4; rule 5 is replaced by the JSON schema and the examples are listed in the system prompt):</w:t>
      </w:r>
    </w:p>
    <w:p>
      <w:pPr>
        <w:spacing w:after="0" w:line="240" w:lineRule="auto"/>
        <w:ind w:left="170"/>
        <w:shd w:val="clear" w:color="auto" w:fill="F1F3F7"/>
      </w:pPr>
      <w:r>
        <w:rPr>
          <w:rFonts w:ascii="Menlo" w:hAnsi="Menlo" w:eastAsia="Menlo"/>
          <w:sz w:val="15"/>
        </w:rPr>
        <w:t>You are a senior equity research analyst who specialises in securities-market sentiment analysis. You read financial news, company announcements, analyst commentary, investor comments and social-media posts and decide what the text implies for the market sentiment towards the company (its share price / outlook) from the point of view of an investor in that company.</w:t>
      </w:r>
    </w:p>
    <w:p>
      <w:pPr>
        <w:spacing w:after="0" w:line="240" w:lineRule="auto"/>
        <w:ind w:left="170"/>
        <w:shd w:val="clear" w:color="auto" w:fill="F1F3F7"/>
      </w:pPr>
      <w:r>
        <w:rPr>
          <w:rFonts w:ascii="Menlo" w:hAnsi="Menlo" w:eastAsia="Menlo"/>
          <w:sz w:val="15"/>
        </w:rPr>
        <w:t xml:space="preserve"> </w:t>
      </w:r>
    </w:p>
    <w:p>
      <w:pPr>
        <w:spacing w:after="0" w:line="240" w:lineRule="auto"/>
        <w:ind w:left="170"/>
        <w:shd w:val="clear" w:color="auto" w:fill="F1F3F7"/>
      </w:pPr>
      <w:r>
        <w:rPr>
          <w:rFonts w:ascii="Menlo" w:hAnsi="Menlo" w:eastAsia="Menlo"/>
          <w:sz w:val="15"/>
        </w:rPr>
        <w:t>Sentiment labels (use exactly one):</w:t>
      </w:r>
    </w:p>
    <w:p>
      <w:pPr>
        <w:spacing w:after="0" w:line="240" w:lineRule="auto"/>
        <w:ind w:left="170"/>
        <w:shd w:val="clear" w:color="auto" w:fill="F1F3F7"/>
      </w:pPr>
      <w:r>
        <w:rPr>
          <w:rFonts w:ascii="Menlo" w:hAnsi="Menlo" w:eastAsia="Menlo"/>
          <w:sz w:val="15"/>
        </w:rPr>
        <w:t>- Positive : the text is favourable for the company - e.g. earnings beat, revenue or profit growth, new orders or contracts, upgrades, higher targets, dividends/buy-backs, approvals, expansion, bullish investor mood.</w:t>
      </w:r>
    </w:p>
    <w:p>
      <w:pPr>
        <w:spacing w:after="0" w:line="240" w:lineRule="auto"/>
        <w:ind w:left="170"/>
        <w:shd w:val="clear" w:color="auto" w:fill="F1F3F7"/>
      </w:pPr>
      <w:r>
        <w:rPr>
          <w:rFonts w:ascii="Menlo" w:hAnsi="Menlo" w:eastAsia="Menlo"/>
          <w:sz w:val="15"/>
        </w:rPr>
        <w:t>- Negative : the text is unfavourable - e.g. losses, earnings miss, falling sales, downgrades, lower targets, debt stress or default, fraud, penalties, lawsuits, resignations of key people, plant shutdowns, bearish investor mood.</w:t>
      </w:r>
    </w:p>
    <w:p>
      <w:pPr>
        <w:spacing w:after="0" w:line="240" w:lineRule="auto"/>
        <w:ind w:left="170"/>
        <w:shd w:val="clear" w:color="auto" w:fill="F1F3F7"/>
      </w:pPr>
      <w:r>
        <w:rPr>
          <w:rFonts w:ascii="Menlo" w:hAnsi="Menlo" w:eastAsia="Menlo"/>
          <w:sz w:val="15"/>
        </w:rPr>
        <w:t>- Neutral  : factual or procedural information with no clear favourable or unfavourable implication (meeting dates, routine filings, appointments of auditors, in-line results), or a balanced mix where good and bad points cancel out, or a question without an opinion.</w:t>
      </w:r>
    </w:p>
    <w:p>
      <w:pPr>
        <w:spacing w:after="0" w:line="240" w:lineRule="auto"/>
        <w:ind w:left="170"/>
        <w:shd w:val="clear" w:color="auto" w:fill="F1F3F7"/>
      </w:pPr>
      <w:r>
        <w:rPr>
          <w:rFonts w:ascii="Menlo" w:hAnsi="Menlo" w:eastAsia="Menlo"/>
          <w:sz w:val="15"/>
        </w:rPr>
        <w:t xml:space="preserve"> </w:t>
      </w:r>
    </w:p>
    <w:p>
      <w:pPr>
        <w:spacing w:after="0" w:line="240" w:lineRule="auto"/>
        <w:ind w:left="170"/>
        <w:shd w:val="clear" w:color="auto" w:fill="F1F3F7"/>
      </w:pPr>
      <w:r>
        <w:rPr>
          <w:rFonts w:ascii="Menlo" w:hAnsi="Menlo" w:eastAsia="Menlo"/>
          <w:sz w:val="15"/>
        </w:rPr>
        <w:t>Rules:</w:t>
      </w:r>
    </w:p>
    <w:p>
      <w:pPr>
        <w:spacing w:after="0" w:line="240" w:lineRule="auto"/>
        <w:ind w:left="170"/>
        <w:shd w:val="clear" w:color="auto" w:fill="F1F3F7"/>
      </w:pPr>
      <w:r>
        <w:rPr>
          <w:rFonts w:ascii="Menlo" w:hAnsi="Menlo" w:eastAsia="Menlo"/>
          <w:sz w:val="15"/>
        </w:rPr>
        <w:t>1. Judge the implication for the company that the text is about, not the tone of the words alone.</w:t>
      </w:r>
    </w:p>
    <w:p>
      <w:pPr>
        <w:spacing w:after="0" w:line="240" w:lineRule="auto"/>
        <w:ind w:left="170"/>
        <w:shd w:val="clear" w:color="auto" w:fill="F1F3F7"/>
      </w:pPr>
      <w:r>
        <w:rPr>
          <w:rFonts w:ascii="Menlo" w:hAnsi="Menlo" w:eastAsia="Menlo"/>
          <w:sz w:val="15"/>
        </w:rPr>
        <w:t>2. Compare results with expectations: "profit rose but missed estimates" is Negative; "loss narrowed more than expected" is Positive.</w:t>
      </w:r>
    </w:p>
    <w:p>
      <w:pPr>
        <w:spacing w:after="0" w:line="240" w:lineRule="auto"/>
        <w:ind w:left="170"/>
        <w:shd w:val="clear" w:color="auto" w:fill="F1F3F7"/>
      </w:pPr>
      <w:r>
        <w:rPr>
          <w:rFonts w:ascii="Menlo" w:hAnsi="Menlo" w:eastAsia="Menlo"/>
          <w:sz w:val="15"/>
        </w:rPr>
        <w:t>3. Understand market slang and sarcasm in social-media posts: "to the moon", "rocket", "bullish", "buying the dip" are Positive; "bagholder", "rug pull", "dumping", "stay away" are Negative; sarcastic praise of bad news is Negative.</w:t>
      </w:r>
    </w:p>
    <w:p>
      <w:pPr>
        <w:spacing w:after="0" w:line="240" w:lineRule="auto"/>
        <w:ind w:left="170"/>
        <w:shd w:val="clear" w:color="auto" w:fill="F1F3F7"/>
      </w:pPr>
      <w:r>
        <w:rPr>
          <w:rFonts w:ascii="Menlo" w:hAnsi="Menlo" w:eastAsia="Menlo"/>
          <w:sz w:val="15"/>
        </w:rPr>
        <w:t>4. If the text contains both good and bad news, choose the side that dominates; choose Neutral only if they are genuinely balanced.</w:t>
      </w:r>
    </w:p>
    <w:p>
      <w:pPr>
        <w:spacing w:after="0" w:line="240" w:lineRule="auto"/>
        <w:ind w:left="170"/>
        <w:shd w:val="clear" w:color="auto" w:fill="F1F3F7"/>
      </w:pPr>
      <w:r>
        <w:rPr>
          <w:rFonts w:ascii="Menlo" w:hAnsi="Menlo" w:eastAsia="Menlo"/>
          <w:sz w:val="15"/>
        </w:rPr>
        <w:t>5. Respond ONLY with a JSON object, no other text, in this exact format:</w:t>
      </w:r>
    </w:p>
    <w:p>
      <w:pPr>
        <w:spacing w:after="0" w:line="240" w:lineRule="auto"/>
        <w:ind w:left="170"/>
        <w:shd w:val="clear" w:color="auto" w:fill="F1F3F7"/>
      </w:pPr>
      <w:r>
        <w:rPr>
          <w:rFonts w:ascii="Menlo" w:hAnsi="Menlo" w:eastAsia="Menlo"/>
          <w:sz w:val="15"/>
        </w:rPr>
        <w:t>{"sentiment": "Positive|Negative|Neutral", "company": "&lt;company name or Unknown&gt;", "key_factors": ["&lt;factor 1&gt;", "&lt;factor 2&gt;"], "reasoning": "&lt;one short sentence&gt;"}</w:t>
      </w:r>
    </w:p>
    <w:p>
      <w:pPr>
        <w:spacing w:after="40"/>
      </w:pPr>
    </w:p>
    <w:p>
      <w:r>
        <w:rPr>
          <w:b w:val="0"/>
          <w:i w:val="0"/>
        </w:rPr>
        <w:t>Few-shot examples (sent to the local LLM as earlier user / assistant turns):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701"/>
            <w:shd w:val="clear" w:color="auto" w:fill="1F4FD8"/>
          </w:tcPr>
          <w:p>
            <w:r/>
            <w:r>
              <w:rPr>
                <w:b/>
                <w:color w:val="FFFFFF"/>
                <w:sz w:val="17"/>
              </w:rPr>
              <w:t>Type</w:t>
            </w:r>
          </w:p>
        </w:tc>
        <w:tc>
          <w:tcPr>
            <w:tcW w:type="dxa" w:w="6576"/>
            <w:shd w:val="clear" w:color="auto" w:fill="1F4FD8"/>
          </w:tcPr>
          <w:p>
            <w:r/>
            <w:r>
              <w:rPr>
                <w:b/>
                <w:color w:val="FFFFFF"/>
                <w:sz w:val="17"/>
              </w:rPr>
              <w:t>Example text</w:t>
            </w:r>
          </w:p>
        </w:tc>
        <w:tc>
          <w:tcPr>
            <w:tcW w:type="dxa" w:w="1134"/>
            <w:shd w:val="clear" w:color="auto" w:fill="1F4FD8"/>
          </w:tcPr>
          <w:p>
            <w:r/>
            <w:r>
              <w:rPr>
                <w:b/>
                <w:color w:val="FFFFFF"/>
                <w:sz w:val="17"/>
              </w:rPr>
              <w:t>Label</w:t>
            </w:r>
          </w:p>
        </w:tc>
      </w:tr>
      <w:tr>
        <w:tc>
          <w:tcPr>
            <w:tcW w:type="dxa" w:w="1701"/>
          </w:tcPr>
          <w:p>
            <w:pPr>
              <w:spacing w:after="0" w:line="240" w:lineRule="auto"/>
            </w:pPr>
            <w:r/>
            <w:r>
              <w:rPr>
                <w:sz w:val="17"/>
              </w:rPr>
              <w:t>Financial news</w:t>
            </w:r>
          </w:p>
        </w:tc>
        <w:tc>
          <w:tcPr>
            <w:tcW w:type="dxa" w:w="6576"/>
          </w:tcPr>
          <w:p>
            <w:pPr>
              <w:spacing w:after="0" w:line="240" w:lineRule="auto"/>
            </w:pPr>
            <w:r/>
            <w:r>
              <w:rPr>
                <w:sz w:val="17"/>
              </w:rPr>
              <w:t>Shares of Coral Textiles Ltd climbed 7% after the company won a Rs 1,200 crore export order from a large European retailer.</w:t>
            </w:r>
          </w:p>
        </w:tc>
        <w:tc>
          <w:tcPr>
            <w:tcW w:type="dxa" w:w="1134"/>
          </w:tcPr>
          <w:p>
            <w:pPr>
              <w:spacing w:after="0" w:line="240" w:lineRule="auto"/>
            </w:pPr>
            <w:r/>
            <w:r>
              <w:rPr>
                <w:sz w:val="17"/>
              </w:rPr>
              <w:t>Positive</w:t>
            </w:r>
          </w:p>
        </w:tc>
      </w:tr>
      <w:tr>
        <w:tc>
          <w:tcPr>
            <w:tcW w:type="dxa" w:w="1701"/>
            <w:shd w:val="clear" w:color="auto" w:fill="F3F6FB"/>
          </w:tcPr>
          <w:p>
            <w:pPr>
              <w:spacing w:after="0" w:line="240" w:lineRule="auto"/>
            </w:pPr>
            <w:r/>
            <w:r>
              <w:rPr>
                <w:sz w:val="17"/>
              </w:rPr>
              <w:t>Company announcement</w:t>
            </w:r>
          </w:p>
        </w:tc>
        <w:tc>
          <w:tcPr>
            <w:tcW w:type="dxa" w:w="6576"/>
            <w:shd w:val="clear" w:color="auto" w:fill="F3F6FB"/>
          </w:tcPr>
          <w:p>
            <w:pPr>
              <w:spacing w:after="0" w:line="240" w:lineRule="auto"/>
            </w:pPr>
            <w:r/>
            <w:r>
              <w:rPr>
                <w:sz w:val="17"/>
              </w:rPr>
              <w:t>Harbor Logistics Ltd hereby informs the exchange that a meeting of the Board of Directors will be held on 14 November to consider the unaudited results for Q2.</w:t>
            </w:r>
          </w:p>
        </w:tc>
        <w:tc>
          <w:tcPr>
            <w:tcW w:type="dxa" w:w="1134"/>
            <w:shd w:val="clear" w:color="auto" w:fill="F3F6FB"/>
          </w:tcPr>
          <w:p>
            <w:pPr>
              <w:spacing w:after="0" w:line="240" w:lineRule="auto"/>
            </w:pPr>
            <w:r/>
            <w:r>
              <w:rPr>
                <w:sz w:val="17"/>
              </w:rPr>
              <w:t>Neutral</w:t>
            </w:r>
          </w:p>
        </w:tc>
      </w:tr>
      <w:tr>
        <w:tc>
          <w:tcPr>
            <w:tcW w:type="dxa" w:w="1701"/>
          </w:tcPr>
          <w:p>
            <w:pPr>
              <w:spacing w:after="0" w:line="240" w:lineRule="auto"/>
            </w:pPr>
            <w:r/>
            <w:r>
              <w:rPr>
                <w:sz w:val="17"/>
              </w:rPr>
              <w:t>Analyst commentary</w:t>
            </w:r>
          </w:p>
        </w:tc>
        <w:tc>
          <w:tcPr>
            <w:tcW w:type="dxa" w:w="6576"/>
          </w:tcPr>
          <w:p>
            <w:pPr>
              <w:spacing w:after="0" w:line="240" w:lineRule="auto"/>
            </w:pPr>
            <w:r/>
            <w:r>
              <w:rPr>
                <w:sz w:val="17"/>
              </w:rPr>
              <w:t>We downgrade Maple Cement to SELL. Weak demand and rising fuel costs are likely to compress EBITDA margins over the next two quarters.</w:t>
            </w:r>
          </w:p>
        </w:tc>
        <w:tc>
          <w:tcPr>
            <w:tcW w:type="dxa" w:w="1134"/>
          </w:tcPr>
          <w:p>
            <w:pPr>
              <w:spacing w:after="0" w:line="240" w:lineRule="auto"/>
            </w:pPr>
            <w:r/>
            <w:r>
              <w:rPr>
                <w:sz w:val="17"/>
              </w:rPr>
              <w:t>Negative</w:t>
            </w:r>
          </w:p>
        </w:tc>
      </w:tr>
      <w:tr>
        <w:tc>
          <w:tcPr>
            <w:tcW w:type="dxa" w:w="1701"/>
            <w:shd w:val="clear" w:color="auto" w:fill="F3F6FB"/>
          </w:tcPr>
          <w:p>
            <w:pPr>
              <w:spacing w:after="0" w:line="240" w:lineRule="auto"/>
            </w:pPr>
            <w:r/>
            <w:r>
              <w:rPr>
                <w:sz w:val="17"/>
              </w:rPr>
              <w:t>Social-media comment</w:t>
            </w:r>
          </w:p>
        </w:tc>
        <w:tc>
          <w:tcPr>
            <w:tcW w:type="dxa" w:w="6576"/>
            <w:shd w:val="clear" w:color="auto" w:fill="F3F6FB"/>
          </w:tcPr>
          <w:p>
            <w:pPr>
              <w:spacing w:after="0" w:line="240" w:lineRule="auto"/>
            </w:pPr>
            <w:r/>
            <w:r>
              <w:rPr>
                <w:sz w:val="17"/>
              </w:rPr>
              <w:t>Great, another 'strategic restructuring' at Nimbus Telecom. Bagholders keep bleeding lol #NIMB</w:t>
            </w:r>
          </w:p>
        </w:tc>
        <w:tc>
          <w:tcPr>
            <w:tcW w:type="dxa" w:w="1134"/>
            <w:shd w:val="clear" w:color="auto" w:fill="F3F6FB"/>
          </w:tcPr>
          <w:p>
            <w:pPr>
              <w:spacing w:after="0" w:line="240" w:lineRule="auto"/>
            </w:pPr>
            <w:r/>
            <w:r>
              <w:rPr>
                <w:sz w:val="17"/>
              </w:rPr>
              <w:t>Negative</w:t>
            </w:r>
          </w:p>
        </w:tc>
      </w:tr>
      <w:tr>
        <w:tc>
          <w:tcPr>
            <w:tcW w:type="dxa" w:w="1701"/>
          </w:tcPr>
          <w:p>
            <w:pPr>
              <w:spacing w:after="0" w:line="240" w:lineRule="auto"/>
            </w:pPr>
            <w:r/>
            <w:r>
              <w:rPr>
                <w:sz w:val="17"/>
              </w:rPr>
              <w:t>Investor comment</w:t>
            </w:r>
          </w:p>
        </w:tc>
        <w:tc>
          <w:tcPr>
            <w:tcW w:type="dxa" w:w="6576"/>
          </w:tcPr>
          <w:p>
            <w:pPr>
              <w:spacing w:after="0" w:line="240" w:lineRule="auto"/>
            </w:pPr>
            <w:r/>
            <w:r>
              <w:rPr>
                <w:sz w:val="17"/>
              </w:rPr>
              <w:t>Been holding Orchid Foods for three years; the new CEO's cost discipline is finally showing in the margins. Adding more on every dip.</w:t>
            </w:r>
          </w:p>
        </w:tc>
        <w:tc>
          <w:tcPr>
            <w:tcW w:type="dxa" w:w="1134"/>
          </w:tcPr>
          <w:p>
            <w:pPr>
              <w:spacing w:after="0" w:line="240" w:lineRule="auto"/>
            </w:pPr>
            <w:r/>
            <w:r>
              <w:rPr>
                <w:sz w:val="17"/>
              </w:rPr>
              <w:t>Positive</w:t>
            </w:r>
          </w:p>
        </w:tc>
      </w:tr>
      <w:tr>
        <w:tc>
          <w:tcPr>
            <w:tcW w:type="dxa" w:w="1701"/>
            <w:shd w:val="clear" w:color="auto" w:fill="F3F6FB"/>
          </w:tcPr>
          <w:p>
            <w:pPr>
              <w:spacing w:after="0" w:line="240" w:lineRule="auto"/>
            </w:pPr>
            <w:r/>
            <w:r>
              <w:rPr>
                <w:sz w:val="17"/>
              </w:rPr>
              <w:t>Financial news</w:t>
            </w:r>
          </w:p>
        </w:tc>
        <w:tc>
          <w:tcPr>
            <w:tcW w:type="dxa" w:w="6576"/>
            <w:shd w:val="clear" w:color="auto" w:fill="F3F6FB"/>
          </w:tcPr>
          <w:p>
            <w:pPr>
              <w:spacing w:after="0" w:line="240" w:lineRule="auto"/>
            </w:pPr>
            <w:r/>
            <w:r>
              <w:rPr>
                <w:sz w:val="17"/>
              </w:rPr>
              <w:t>Vega Motors reported a 4% rise in revenue while operating margin slipped 60 basis points; overall results were in line with street estimates.</w:t>
            </w:r>
          </w:p>
        </w:tc>
        <w:tc>
          <w:tcPr>
            <w:tcW w:type="dxa" w:w="1134"/>
            <w:shd w:val="clear" w:color="auto" w:fill="F3F6FB"/>
          </w:tcPr>
          <w:p>
            <w:pPr>
              <w:spacing w:after="0" w:line="240" w:lineRule="auto"/>
            </w:pPr>
            <w:r/>
            <w:r>
              <w:rPr>
                <w:sz w:val="17"/>
              </w:rPr>
              <w:t>Neutral</w:t>
            </w:r>
          </w:p>
        </w:tc>
      </w:tr>
    </w:tbl>
    <w:p>
      <w:pPr>
        <w:spacing w:after="40"/>
      </w:pPr>
    </w:p>
    <w:p>
      <w:r>
        <w:rPr>
          <w:b w:val="0"/>
          <w:i w:val="0"/>
        </w:rPr>
        <w:t>User message built for each request:</w:t>
      </w:r>
    </w:p>
    <w:p>
      <w:pPr>
        <w:spacing w:after="0" w:line="240" w:lineRule="auto"/>
        <w:ind w:left="170"/>
        <w:shd w:val="clear" w:color="auto" w:fill="F1F3F7"/>
      </w:pPr>
      <w:r>
        <w:rPr>
          <w:rFonts w:ascii="Menlo" w:hAnsi="Menlo" w:eastAsia="Menlo"/>
          <w:sz w:val="17"/>
        </w:rPr>
        <w:t>Text type: Financial news</w:t>
      </w:r>
    </w:p>
    <w:p>
      <w:pPr>
        <w:spacing w:after="0" w:line="240" w:lineRule="auto"/>
        <w:ind w:left="170"/>
        <w:shd w:val="clear" w:color="auto" w:fill="F1F3F7"/>
      </w:pPr>
      <w:r>
        <w:rPr>
          <w:rFonts w:ascii="Menlo" w:hAnsi="Menlo" w:eastAsia="Menlo"/>
          <w:sz w:val="17"/>
        </w:rPr>
        <w:t>Company: &lt;only if the user typed one&gt;</w:t>
      </w:r>
    </w:p>
    <w:p>
      <w:pPr>
        <w:spacing w:after="0" w:line="240" w:lineRule="auto"/>
        <w:ind w:left="170"/>
        <w:shd w:val="clear" w:color="auto" w:fill="F1F3F7"/>
      </w:pPr>
      <w:r>
        <w:rPr>
          <w:rFonts w:ascii="Menlo" w:hAnsi="Menlo" w:eastAsia="Menlo"/>
          <w:sz w:val="17"/>
        </w:rPr>
        <w:t>Text: """&lt;the financial text&gt;"""</w:t>
      </w:r>
    </w:p>
    <w:p>
      <w:pPr>
        <w:spacing w:after="0" w:line="240" w:lineRule="auto"/>
        <w:ind w:left="170"/>
        <w:shd w:val="clear" w:color="auto" w:fill="F1F3F7"/>
      </w:pPr>
      <w:r>
        <w:rPr>
          <w:rFonts w:ascii="Menlo" w:hAnsi="Menlo" w:eastAsia="Menlo"/>
          <w:sz w:val="17"/>
        </w:rPr>
        <w:t>Return the JSON answer.</w:t>
      </w:r>
    </w:p>
    <w:p>
      <w:pPr>
        <w:spacing w:after="40"/>
      </w:pPr>
    </w:p>
    <w:p>
      <w:r>
        <w:rPr>
          <w:b w:val="0"/>
          <w:i w:val="0"/>
        </w:rPr>
        <w:t xml:space="preserve">For comparison, a minimal prompt (version </w:t>
      </w:r>
      <w:r>
        <w:rPr>
          <w:b/>
          <w:i w:val="0"/>
        </w:rPr>
        <w:t>zeroshot-v1</w:t>
      </w:r>
      <w:r>
        <w:rPr>
          <w:b w:val="0"/>
          <w:i w:val="0"/>
        </w:rPr>
        <w:t>) contains one instruction sentence and the output format only. Both versions can be selected on the Analyse page, and Section 7 measures the difference.</w:t>
      </w:r>
    </w:p>
    <w:p>
      <w:pPr>
        <w:pStyle w:val="Heading2"/>
      </w:pPr>
      <w:r>
        <w:t>5.3 How the answer becomes a stored result</w:t>
      </w:r>
    </w:p>
    <w:p>
      <w:pPr>
        <w:pStyle w:val="Heading3"/>
      </w:pPr>
      <w:r>
        <w:t>Groq and Gemini (cloud LLMs)</w:t>
      </w:r>
    </w:p>
    <w:p>
      <w:pPr>
        <w:pStyle w:val="ListBullet"/>
        <w:spacing w:after="40"/>
      </w:pPr>
      <w:r>
        <w:rPr>
          <w:b w:val="0"/>
        </w:rPr>
        <w:t xml:space="preserve">The request carries a </w:t>
      </w:r>
      <w:r>
        <w:rPr>
          <w:b/>
        </w:rPr>
        <w:t>JSON schema</w:t>
      </w:r>
      <w:r>
        <w:rPr>
          <w:b w:val="0"/>
        </w:rPr>
        <w:t xml:space="preserve"> (sentiment as an enumeration of the three labels, company, probabilities, key_factors, reasoning). The API guarantees that the answer matches it, so no free-text parsing is needed.</w:t>
      </w:r>
    </w:p>
    <w:p>
      <w:pPr>
        <w:pStyle w:val="ListBullet"/>
        <w:spacing w:after="40"/>
      </w:pPr>
      <w:r>
        <w:rPr>
          <w:b w:val="0"/>
        </w:rPr>
        <w:t>The model also reports its probability for each label as whole-number percentages, which are normalised to sum to 1. Confidence is the probability of the chosen label and the score is P(Positive) − P(Negative). These probabilities are the model's own estimate.</w:t>
      </w:r>
    </w:p>
    <w:p>
      <w:pPr>
        <w:pStyle w:val="ListBullet"/>
        <w:spacing w:after="40"/>
      </w:pPr>
      <w:r>
        <w:rPr>
          <w:b w:val="0"/>
        </w:rPr>
        <w:t>Temperature is 0 and reasoning effort is low, because this is a short classification task.</w:t>
      </w:r>
    </w:p>
    <w:p>
      <w:pPr>
        <w:pStyle w:val="ListBullet"/>
        <w:spacing w:after="40"/>
      </w:pPr>
      <w:r>
        <w:rPr>
          <w:b w:val="0"/>
        </w:rPr>
        <w:t>Errors are mapped to readable messages (invalid key, rate limit, connection failure). API keys are read from a local .env file through environment variables and are never in the source code.</w:t>
      </w:r>
    </w:p>
    <w:p>
      <w:r>
        <w:rPr>
          <w:b w:val="0"/>
          <w:i w:val="0"/>
        </w:rPr>
        <w:t>A problem found during testing: in the first Groq test run (run 1) two of the 60 requests were rejected by Groq's JSON validator because the model wrote a probability as "0. nine" instead of 0.9. Retrying did not help. Asking for whole-number percentages instead of decimals removed the problem, and a retry for this specific error was kept as a safeguard. The final Groq run (run 6) completed all 60 texts.</w:t>
      </w:r>
    </w:p>
    <w:p>
      <w:pPr>
        <w:pStyle w:val="Heading3"/>
      </w:pPr>
      <w:r>
        <w:t>Qwen2.5-1.5B-Instruct (local LLM)</w:t>
      </w:r>
    </w:p>
    <w:p>
      <w:pPr>
        <w:pStyle w:val="ListBullet"/>
        <w:spacing w:after="40"/>
      </w:pPr>
      <w:r>
        <w:rPr>
          <w:b w:val="0"/>
        </w:rPr>
        <w:t>The messages are formatted with the model's chat template, and the beginning of the answer, {"sentiment": ", is appended to the prompt.</w:t>
      </w:r>
    </w:p>
    <w:p>
      <w:pPr>
        <w:pStyle w:val="ListBullet"/>
        <w:spacing w:after="40"/>
      </w:pPr>
      <w:r>
        <w:rPr>
          <w:b/>
        </w:rPr>
        <w:t>Step 1 – label from the logits.</w:t>
      </w:r>
      <w:r>
        <w:rPr>
          <w:b w:val="0"/>
        </w:rPr>
        <w:t xml:space="preserve"> One forward pass gives the probability of the next token. The probabilities of the tokens that start "Positive", "Negative" and "Neutral" are normalised to give P(Positive), P(Negative) and P(Neutral). The highest is the predicted sentiment and its probability is the confidence. The label is therefore always one of the three valid values, and the confidence comes from the model's actual output distribution.</w:t>
      </w:r>
    </w:p>
    <w:p>
      <w:pPr>
        <w:pStyle w:val="ListBullet"/>
        <w:spacing w:after="40"/>
      </w:pPr>
      <w:r>
        <w:rPr>
          <w:b/>
        </w:rPr>
        <w:t>Step 2 – explanation.</w:t>
      </w:r>
      <w:r>
        <w:rPr>
          <w:b w:val="0"/>
        </w:rPr>
        <w:t xml:space="preserve"> The chosen label is inserted and the model continues with greedy decoding (no sampling, so the output is repeatable) to write the company, key factors and reasoning.</w:t>
      </w:r>
    </w:p>
    <w:p>
      <w:pPr>
        <w:pStyle w:val="ListBullet"/>
        <w:spacing w:after="40"/>
      </w:pPr>
      <w:r>
        <w:rPr>
          <w:b/>
        </w:rPr>
        <w:t>Parsing.</w:t>
      </w:r>
      <w:r>
        <w:rPr>
          <w:b w:val="0"/>
        </w:rPr>
        <w:t xml:space="preserve"> The JSON is parsed; if a small model produces imperfect JSON, regular expressions recover the company, factors and reasoning. The label does not depend on this step.</w:t>
      </w:r>
    </w:p>
    <w:p>
      <w:pPr>
        <w:pStyle w:val="Heading3"/>
      </w:pPr>
      <w:r>
        <w:t>FinBERT</w:t>
      </w:r>
    </w:p>
    <w:p>
      <w:r>
        <w:rPr>
          <w:b w:val="0"/>
          <w:i w:val="0"/>
        </w:rPr>
        <w:t>FinBERT returns the probability of positive, negative and neutral directly. It gives no explanation and does not identify the company.</w:t>
      </w:r>
    </w:p>
    <w:p>
      <w:pPr>
        <w:pStyle w:val="Heading2"/>
      </w:pPr>
      <w:r>
        <w:t>5.4 Automatic fallback between models</w:t>
      </w:r>
    </w:p>
    <w:p>
      <w:r>
        <w:rPr>
          <w:b w:val="0"/>
          <w:i w:val="0"/>
        </w:rPr>
        <w:t>A cloud API can fail at any moment: the provider may be overloaded, the free quota of a key may be used up, the key may be revoked or the internet connection may drop. So that the application keeps answering, SentimentEngine.analyze() tries a chain of engines: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835"/>
            <w:shd w:val="clear" w:color="auto" w:fill="1F4FD8"/>
          </w:tcPr>
          <w:p>
            <w:r/>
            <w:r>
              <w:rPr>
                <w:b/>
                <w:color w:val="FFFFFF"/>
                <w:sz w:val="19"/>
              </w:rPr>
              <w:t>Requested engine</w:t>
            </w:r>
          </w:p>
        </w:tc>
        <w:tc>
          <w:tcPr>
            <w:tcW w:type="dxa" w:w="6576"/>
            <w:shd w:val="clear" w:color="auto" w:fill="1F4FD8"/>
          </w:tcPr>
          <w:p>
            <w:r/>
            <w:r>
              <w:rPr>
                <w:b/>
                <w:color w:val="FFFFFF"/>
                <w:sz w:val="19"/>
              </w:rPr>
              <w:t>Tried next, in order</w:t>
            </w:r>
          </w:p>
        </w:tc>
      </w:tr>
      <w:tr>
        <w:tc>
          <w:tcPr>
            <w:tcW w:type="dxa" w:w="2835"/>
          </w:tcPr>
          <w:p>
            <w:pPr>
              <w:spacing w:after="0" w:line="240" w:lineRule="auto"/>
            </w:pPr>
            <w:r/>
            <w:r>
              <w:rPr>
                <w:b/>
                <w:sz w:val="19"/>
              </w:rPr>
              <w:t>groq (default)</w:t>
            </w:r>
          </w:p>
        </w:tc>
        <w:tc>
          <w:tcPr>
            <w:tcW w:type="dxa" w:w="6576"/>
          </w:tcPr>
          <w:p>
            <w:pPr>
              <w:spacing w:after="0" w:line="240" w:lineRule="auto"/>
            </w:pPr>
            <w:r/>
            <w:r>
              <w:rPr>
                <w:sz w:val="19"/>
              </w:rPr>
              <w:t>gemini → llm (local Qwen)</w:t>
            </w:r>
          </w:p>
        </w:tc>
      </w:tr>
      <w:tr>
        <w:tc>
          <w:tcPr>
            <w:tcW w:type="dxa" w:w="2835"/>
            <w:shd w:val="clear" w:color="auto" w:fill="F3F6FB"/>
          </w:tcPr>
          <w:p>
            <w:pPr>
              <w:spacing w:after="0" w:line="240" w:lineRule="auto"/>
            </w:pPr>
            <w:r/>
            <w:r>
              <w:rPr>
                <w:b/>
                <w:sz w:val="19"/>
              </w:rPr>
              <w:t>gemini</w:t>
            </w:r>
          </w:p>
        </w:tc>
        <w:tc>
          <w:tcPr>
            <w:tcW w:type="dxa" w:w="6576"/>
            <w:shd w:val="clear" w:color="auto" w:fill="F3F6FB"/>
          </w:tcPr>
          <w:p>
            <w:pPr>
              <w:spacing w:after="0" w:line="240" w:lineRule="auto"/>
            </w:pPr>
            <w:r/>
            <w:r>
              <w:rPr>
                <w:sz w:val="19"/>
              </w:rPr>
              <w:t>groq → llm</w:t>
            </w:r>
          </w:p>
        </w:tc>
      </w:tr>
      <w:tr>
        <w:tc>
          <w:tcPr>
            <w:tcW w:type="dxa" w:w="2835"/>
          </w:tcPr>
          <w:p>
            <w:pPr>
              <w:spacing w:after="0" w:line="240" w:lineRule="auto"/>
            </w:pPr>
            <w:r/>
            <w:r>
              <w:rPr>
                <w:b/>
                <w:sz w:val="19"/>
              </w:rPr>
              <w:t>llm, finbert</w:t>
            </w:r>
          </w:p>
        </w:tc>
        <w:tc>
          <w:tcPr>
            <w:tcW w:type="dxa" w:w="6576"/>
          </w:tcPr>
          <w:p>
            <w:pPr>
              <w:spacing w:after="0" w:line="240" w:lineRule="auto"/>
            </w:pPr>
            <w:r/>
            <w:r>
              <w:rPr>
                <w:sz w:val="19"/>
              </w:rPr>
              <w:t>no fallback (they run locally)</w:t>
            </w:r>
          </w:p>
        </w:tc>
      </w:tr>
    </w:tbl>
    <w:p>
      <w:pPr>
        <w:spacing w:after="40"/>
      </w:pPr>
    </w:p>
    <w:p>
      <w:pPr>
        <w:pStyle w:val="ListBullet"/>
        <w:spacing w:after="40"/>
      </w:pPr>
      <w:r>
        <w:rPr>
          <w:b/>
        </w:rPr>
        <w:t>Key check at start-up.</w:t>
      </w:r>
      <w:r>
        <w:rPr>
          <w:b w:val="0"/>
        </w:rPr>
        <w:t xml:space="preserve"> When the server starts, each configured API key is verified with a free "list models" call that uses no generation quota. An engine whose key fails is marked unavailable: it is greyed out in the model list with the reason as a tooltip, the status indicator in the header shows it with a cross, and the fallback chain skips it without sending a request.</w:t>
      </w:r>
    </w:p>
    <w:p>
      <w:pPr>
        <w:pStyle w:val="ListBullet"/>
        <w:spacing w:after="40"/>
      </w:pPr>
      <w:r>
        <w:rPr>
          <w:b w:val="0"/>
        </w:rPr>
        <w:t>Any failure of a cloud engine triggers the next one, including an answer that is not valid JSON. An invalid request (for example an empty text) never triggers the fallback.</w:t>
      </w:r>
    </w:p>
    <w:p>
      <w:pPr>
        <w:pStyle w:val="ListBullet"/>
        <w:spacing w:after="40"/>
      </w:pPr>
      <w:r>
        <w:rPr>
          <w:b w:val="0"/>
        </w:rPr>
        <w:t>The local Qwen model is the last step because it has no quota and needs no internet.</w:t>
      </w:r>
    </w:p>
    <w:p>
      <w:pPr>
        <w:pStyle w:val="ListBullet"/>
        <w:spacing w:after="40"/>
      </w:pPr>
      <w:r>
        <w:rPr>
          <w:b w:val="0"/>
        </w:rPr>
        <w:t xml:space="preserve">The stored result names the model that </w:t>
      </w:r>
      <w:r>
        <w:rPr>
          <w:b/>
        </w:rPr>
        <w:t>actually</w:t>
      </w:r>
      <w:r>
        <w:rPr>
          <w:b w:val="0"/>
        </w:rPr>
        <w:t xml:space="preserve"> answered, and the column fallback_from records which engines failed and why, as one short sentence per engine. The Analyse page shows a notice such as "Groq could not be used (rate limit reached). This answer was produced by the fallback model gemini-3.5-flash."</w:t>
      </w:r>
    </w:p>
    <w:p>
      <w:pPr>
        <w:pStyle w:val="ListBullet"/>
        <w:spacing w:after="40"/>
      </w:pPr>
      <w:r>
        <w:rPr>
          <w:b w:val="0"/>
        </w:rPr>
        <w:t>The client can switch the fallback off per request ("fallback": false). The test script does this, so every prediction of a test run comes from the model under test.</w:t>
      </w:r>
    </w:p>
    <w:p>
      <w:pPr>
        <w:pStyle w:val="ListBullet"/>
        <w:spacing w:after="40"/>
      </w:pPr>
      <w:r>
        <w:rPr>
          <w:b w:val="0"/>
        </w:rPr>
        <w:t>The whole chain can be disabled with SMSA_FALLBACK=0 in the .env file.</w:t>
      </w:r>
    </w:p>
    <w:p>
      <w:r>
        <w:rPr>
          <w:b w:val="0"/>
          <w:i w:val="0"/>
        </w:rPr>
        <w:t>The mechanism was tested by replacing the API keys with invalid ones: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402"/>
            <w:shd w:val="clear" w:color="auto" w:fill="1F4FD8"/>
          </w:tcPr>
          <w:p>
            <w:r/>
            <w:r>
              <w:rPr>
                <w:b/>
                <w:color w:val="FFFFFF"/>
                <w:sz w:val="19"/>
              </w:rPr>
              <w:t>Situation</w:t>
            </w:r>
          </w:p>
        </w:tc>
        <w:tc>
          <w:tcPr>
            <w:tcW w:type="dxa" w:w="6009"/>
            <w:shd w:val="clear" w:color="auto" w:fill="1F4FD8"/>
          </w:tcPr>
          <w:p>
            <w:r/>
            <w:r>
              <w:rPr>
                <w:b/>
                <w:color w:val="FFFFFF"/>
                <w:sz w:val="19"/>
              </w:rPr>
              <w:t>Result</w:t>
            </w:r>
          </w:p>
        </w:tc>
      </w:tr>
      <w:tr>
        <w:tc>
          <w:tcPr>
            <w:tcW w:type="dxa" w:w="3402"/>
          </w:tcPr>
          <w:p>
            <w:pPr>
              <w:spacing w:after="0" w:line="240" w:lineRule="auto"/>
            </w:pPr>
            <w:r/>
            <w:r>
              <w:rPr>
                <w:sz w:val="19"/>
              </w:rPr>
              <w:t>Groq and Gemini working</w:t>
            </w:r>
          </w:p>
        </w:tc>
        <w:tc>
          <w:tcPr>
            <w:tcW w:type="dxa" w:w="6009"/>
          </w:tcPr>
          <w:p>
            <w:pPr>
              <w:spacing w:after="0" w:line="240" w:lineRule="auto"/>
            </w:pPr>
            <w:r/>
            <w:r>
              <w:rPr>
                <w:sz w:val="19"/>
              </w:rPr>
              <w:t>Answered by Groq (gpt-oss-120b).</w:t>
            </w:r>
          </w:p>
        </w:tc>
      </w:tr>
      <w:tr>
        <w:tc>
          <w:tcPr>
            <w:tcW w:type="dxa" w:w="3402"/>
            <w:shd w:val="clear" w:color="auto" w:fill="F3F6FB"/>
          </w:tcPr>
          <w:p>
            <w:pPr>
              <w:spacing w:after="0" w:line="240" w:lineRule="auto"/>
            </w:pPr>
            <w:r/>
            <w:r>
              <w:rPr>
                <w:sz w:val="19"/>
              </w:rPr>
              <w:t>Groq key invalid</w:t>
            </w:r>
          </w:p>
        </w:tc>
        <w:tc>
          <w:tcPr>
            <w:tcW w:type="dxa" w:w="6009"/>
            <w:shd w:val="clear" w:color="auto" w:fill="F3F6FB"/>
          </w:tcPr>
          <w:p>
            <w:pPr>
              <w:spacing w:after="0" w:line="240" w:lineRule="auto"/>
            </w:pPr>
            <w:r/>
            <w:r>
              <w:rPr>
                <w:sz w:val="19"/>
              </w:rPr>
              <w:t>Answered by Gemini; fallback_from = "groq: Groq API key is invalid".</w:t>
            </w:r>
          </w:p>
        </w:tc>
      </w:tr>
      <w:tr>
        <w:tc>
          <w:tcPr>
            <w:tcW w:type="dxa" w:w="3402"/>
          </w:tcPr>
          <w:p>
            <w:pPr>
              <w:spacing w:after="0" w:line="240" w:lineRule="auto"/>
            </w:pPr>
            <w:r/>
            <w:r>
              <w:rPr>
                <w:sz w:val="19"/>
              </w:rPr>
              <w:t>Groq and Gemini keys invalid</w:t>
            </w:r>
          </w:p>
        </w:tc>
        <w:tc>
          <w:tcPr>
            <w:tcW w:type="dxa" w:w="6009"/>
          </w:tcPr>
          <w:p>
            <w:pPr>
              <w:spacing w:after="0" w:line="240" w:lineRule="auto"/>
            </w:pPr>
            <w:r/>
            <w:r>
              <w:rPr>
                <w:sz w:val="19"/>
              </w:rPr>
              <w:t>Answered by the local Qwen model; both failures recorded.</w:t>
            </w:r>
          </w:p>
        </w:tc>
      </w:tr>
      <w:tr>
        <w:tc>
          <w:tcPr>
            <w:tcW w:type="dxa" w:w="3402"/>
            <w:shd w:val="clear" w:color="auto" w:fill="F3F6FB"/>
          </w:tcPr>
          <w:p>
            <w:pPr>
              <w:spacing w:after="0" w:line="240" w:lineRule="auto"/>
            </w:pPr>
            <w:r/>
            <w:r>
              <w:rPr>
                <w:sz w:val="19"/>
              </w:rPr>
              <w:t>Groq key invalid, fallback switched off</w:t>
            </w:r>
          </w:p>
        </w:tc>
        <w:tc>
          <w:tcPr>
            <w:tcW w:type="dxa" w:w="6009"/>
            <w:shd w:val="clear" w:color="auto" w:fill="F3F6FB"/>
          </w:tcPr>
          <w:p>
            <w:pPr>
              <w:spacing w:after="0" w:line="240" w:lineRule="auto"/>
            </w:pPr>
            <w:r/>
            <w:r>
              <w:rPr>
                <w:sz w:val="19"/>
              </w:rPr>
              <w:t>HTTP 503 with the error message; nothing stored.</w:t>
            </w:r>
          </w:p>
        </w:tc>
      </w:tr>
    </w:tbl>
    <w:p>
      <w:pPr>
        <w:spacing w:after="40"/>
      </w:pPr>
    </w:p>
    <w:p>
      <w:pPr>
        <w:pStyle w:val="Heading1"/>
      </w:pPr>
      <w:r>
        <w:t>6. Test data set</w:t>
      </w:r>
    </w:p>
    <w:p>
      <w:r>
        <w:rPr>
          <w:b w:val="0"/>
          <w:i w:val="0"/>
        </w:rPr>
        <w:t>The test data set (</w:t>
      </w:r>
      <w:r>
        <w:rPr>
          <w:b/>
          <w:i w:val="0"/>
        </w:rPr>
        <w:t>data/test_dataset.csv</w:t>
      </w:r>
      <w:r>
        <w:rPr>
          <w:b w:val="0"/>
          <w:i w:val="0"/>
        </w:rPr>
        <w:t xml:space="preserve">, also stored in the table test_dataset) contains </w:t>
      </w:r>
      <w:r>
        <w:rPr>
          <w:b/>
          <w:i w:val="0"/>
        </w:rPr>
        <w:t>60 financial texts</w:t>
      </w:r>
      <w:r>
        <w:rPr>
          <w:b w:val="0"/>
          <w:i w:val="0"/>
        </w:rPr>
        <w:t>, more than the 50 required. It covers the five required text types with 12 texts each, and each type has 4 Positive, 4 Negative and 4 Neutral texts, so both the types and the labels are balanced (20 / 20 / 20).</w:t>
      </w:r>
    </w:p>
    <w:p>
      <w:pPr>
        <w:keepNext/>
        <w:spacing w:after="60"/>
      </w:pPr>
      <w:r>
        <w:rPr>
          <w:b/>
          <w:i w:val="0"/>
          <w:color w:val="555F70"/>
          <w:sz w:val="19"/>
        </w:rPr>
        <w:t>Table 8: Composition of the test data set</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3175"/>
            <w:shd w:val="clear" w:color="auto" w:fill="1F4FD8"/>
          </w:tcPr>
          <w:p>
            <w:r/>
            <w:r>
              <w:rPr>
                <w:b/>
                <w:color w:val="FFFFFF"/>
                <w:sz w:val="19"/>
              </w:rPr>
              <w:t>Text type</w:t>
            </w:r>
          </w:p>
        </w:tc>
        <w:tc>
          <w:tcPr>
            <w:tcW w:type="dxa" w:w="1361"/>
            <w:shd w:val="clear" w:color="auto" w:fill="1F4FD8"/>
          </w:tcPr>
          <w:p>
            <w:r/>
            <w:r>
              <w:rPr>
                <w:b/>
                <w:color w:val="FFFFFF"/>
                <w:sz w:val="19"/>
              </w:rPr>
              <w:t>Positive</w:t>
            </w:r>
          </w:p>
        </w:tc>
        <w:tc>
          <w:tcPr>
            <w:tcW w:type="dxa" w:w="1361"/>
            <w:shd w:val="clear" w:color="auto" w:fill="1F4FD8"/>
          </w:tcPr>
          <w:p>
            <w:r/>
            <w:r>
              <w:rPr>
                <w:b/>
                <w:color w:val="FFFFFF"/>
                <w:sz w:val="19"/>
              </w:rPr>
              <w:t>Negative</w:t>
            </w:r>
          </w:p>
        </w:tc>
        <w:tc>
          <w:tcPr>
            <w:tcW w:type="dxa" w:w="1361"/>
            <w:shd w:val="clear" w:color="auto" w:fill="1F4FD8"/>
          </w:tcPr>
          <w:p>
            <w:r/>
            <w:r>
              <w:rPr>
                <w:b/>
                <w:color w:val="FFFFFF"/>
                <w:sz w:val="19"/>
              </w:rPr>
              <w:t>Neutral</w:t>
            </w:r>
          </w:p>
        </w:tc>
        <w:tc>
          <w:tcPr>
            <w:tcW w:type="dxa" w:w="1361"/>
            <w:shd w:val="clear" w:color="auto" w:fill="1F4FD8"/>
          </w:tcPr>
          <w:p>
            <w:r/>
            <w:r>
              <w:rPr>
                <w:b/>
                <w:color w:val="FFFFFF"/>
                <w:sz w:val="19"/>
              </w:rPr>
              <w:t>Total</w:t>
            </w:r>
          </w:p>
        </w:tc>
      </w:tr>
      <w:tr>
        <w:tc>
          <w:tcPr>
            <w:tcW w:type="dxa" w:w="3175"/>
          </w:tcPr>
          <w:p>
            <w:pPr>
              <w:spacing w:after="0" w:line="240" w:lineRule="auto"/>
            </w:pPr>
            <w:r/>
            <w:r>
              <w:rPr>
                <w:b/>
                <w:sz w:val="19"/>
              </w:rPr>
              <w:t>Financial news</w:t>
            </w:r>
          </w:p>
        </w:tc>
        <w:tc>
          <w:tcPr>
            <w:tcW w:type="dxa" w:w="1361"/>
          </w:tcPr>
          <w:p>
            <w:pPr>
              <w:spacing w:after="0" w:line="240" w:lineRule="auto"/>
            </w:pPr>
            <w:r/>
            <w:r>
              <w:rPr>
                <w:sz w:val="19"/>
              </w:rPr>
              <w:t>4</w:t>
            </w:r>
          </w:p>
        </w:tc>
        <w:tc>
          <w:tcPr>
            <w:tcW w:type="dxa" w:w="1361"/>
          </w:tcPr>
          <w:p>
            <w:pPr>
              <w:spacing w:after="0" w:line="240" w:lineRule="auto"/>
            </w:pPr>
            <w:r/>
            <w:r>
              <w:rPr>
                <w:sz w:val="19"/>
              </w:rPr>
              <w:t>4</w:t>
            </w:r>
          </w:p>
        </w:tc>
        <w:tc>
          <w:tcPr>
            <w:tcW w:type="dxa" w:w="1361"/>
          </w:tcPr>
          <w:p>
            <w:pPr>
              <w:spacing w:after="0" w:line="240" w:lineRule="auto"/>
            </w:pPr>
            <w:r/>
            <w:r>
              <w:rPr>
                <w:sz w:val="19"/>
              </w:rPr>
              <w:t>4</w:t>
            </w:r>
          </w:p>
        </w:tc>
        <w:tc>
          <w:tcPr>
            <w:tcW w:type="dxa" w:w="1361"/>
          </w:tcPr>
          <w:p>
            <w:pPr>
              <w:spacing w:after="0" w:line="240" w:lineRule="auto"/>
            </w:pPr>
            <w:r/>
            <w:r>
              <w:rPr>
                <w:sz w:val="19"/>
              </w:rPr>
              <w:t>12</w:t>
            </w:r>
          </w:p>
        </w:tc>
      </w:tr>
      <w:tr>
        <w:tc>
          <w:tcPr>
            <w:tcW w:type="dxa" w:w="3175"/>
            <w:shd w:val="clear" w:color="auto" w:fill="F3F6FB"/>
          </w:tcPr>
          <w:p>
            <w:pPr>
              <w:spacing w:after="0" w:line="240" w:lineRule="auto"/>
            </w:pPr>
            <w:r/>
            <w:r>
              <w:rPr>
                <w:b/>
                <w:sz w:val="19"/>
              </w:rPr>
              <w:t>Company announcement</w:t>
            </w:r>
          </w:p>
        </w:tc>
        <w:tc>
          <w:tcPr>
            <w:tcW w:type="dxa" w:w="1361"/>
            <w:shd w:val="clear" w:color="auto" w:fill="F3F6FB"/>
          </w:tcPr>
          <w:p>
            <w:pPr>
              <w:spacing w:after="0" w:line="240" w:lineRule="auto"/>
            </w:pPr>
            <w:r/>
            <w:r>
              <w:rPr>
                <w:sz w:val="19"/>
              </w:rPr>
              <w:t>4</w:t>
            </w:r>
          </w:p>
        </w:tc>
        <w:tc>
          <w:tcPr>
            <w:tcW w:type="dxa" w:w="1361"/>
            <w:shd w:val="clear" w:color="auto" w:fill="F3F6FB"/>
          </w:tcPr>
          <w:p>
            <w:pPr>
              <w:spacing w:after="0" w:line="240" w:lineRule="auto"/>
            </w:pPr>
            <w:r/>
            <w:r>
              <w:rPr>
                <w:sz w:val="19"/>
              </w:rPr>
              <w:t>4</w:t>
            </w:r>
          </w:p>
        </w:tc>
        <w:tc>
          <w:tcPr>
            <w:tcW w:type="dxa" w:w="1361"/>
            <w:shd w:val="clear" w:color="auto" w:fill="F3F6FB"/>
          </w:tcPr>
          <w:p>
            <w:pPr>
              <w:spacing w:after="0" w:line="240" w:lineRule="auto"/>
            </w:pPr>
            <w:r/>
            <w:r>
              <w:rPr>
                <w:sz w:val="19"/>
              </w:rPr>
              <w:t>4</w:t>
            </w:r>
          </w:p>
        </w:tc>
        <w:tc>
          <w:tcPr>
            <w:tcW w:type="dxa" w:w="1361"/>
            <w:shd w:val="clear" w:color="auto" w:fill="F3F6FB"/>
          </w:tcPr>
          <w:p>
            <w:pPr>
              <w:spacing w:after="0" w:line="240" w:lineRule="auto"/>
            </w:pPr>
            <w:r/>
            <w:r>
              <w:rPr>
                <w:sz w:val="19"/>
              </w:rPr>
              <w:t>12</w:t>
            </w:r>
          </w:p>
        </w:tc>
      </w:tr>
      <w:tr>
        <w:tc>
          <w:tcPr>
            <w:tcW w:type="dxa" w:w="3175"/>
          </w:tcPr>
          <w:p>
            <w:pPr>
              <w:spacing w:after="0" w:line="240" w:lineRule="auto"/>
            </w:pPr>
            <w:r/>
            <w:r>
              <w:rPr>
                <w:b/>
                <w:sz w:val="19"/>
              </w:rPr>
              <w:t>Analyst commentary</w:t>
            </w:r>
          </w:p>
        </w:tc>
        <w:tc>
          <w:tcPr>
            <w:tcW w:type="dxa" w:w="1361"/>
          </w:tcPr>
          <w:p>
            <w:pPr>
              <w:spacing w:after="0" w:line="240" w:lineRule="auto"/>
            </w:pPr>
            <w:r/>
            <w:r>
              <w:rPr>
                <w:sz w:val="19"/>
              </w:rPr>
              <w:t>4</w:t>
            </w:r>
          </w:p>
        </w:tc>
        <w:tc>
          <w:tcPr>
            <w:tcW w:type="dxa" w:w="1361"/>
          </w:tcPr>
          <w:p>
            <w:pPr>
              <w:spacing w:after="0" w:line="240" w:lineRule="auto"/>
            </w:pPr>
            <w:r/>
            <w:r>
              <w:rPr>
                <w:sz w:val="19"/>
              </w:rPr>
              <w:t>4</w:t>
            </w:r>
          </w:p>
        </w:tc>
        <w:tc>
          <w:tcPr>
            <w:tcW w:type="dxa" w:w="1361"/>
          </w:tcPr>
          <w:p>
            <w:pPr>
              <w:spacing w:after="0" w:line="240" w:lineRule="auto"/>
            </w:pPr>
            <w:r/>
            <w:r>
              <w:rPr>
                <w:sz w:val="19"/>
              </w:rPr>
              <w:t>4</w:t>
            </w:r>
          </w:p>
        </w:tc>
        <w:tc>
          <w:tcPr>
            <w:tcW w:type="dxa" w:w="1361"/>
          </w:tcPr>
          <w:p>
            <w:pPr>
              <w:spacing w:after="0" w:line="240" w:lineRule="auto"/>
            </w:pPr>
            <w:r/>
            <w:r>
              <w:rPr>
                <w:sz w:val="19"/>
              </w:rPr>
              <w:t>12</w:t>
            </w:r>
          </w:p>
        </w:tc>
      </w:tr>
      <w:tr>
        <w:tc>
          <w:tcPr>
            <w:tcW w:type="dxa" w:w="3175"/>
            <w:shd w:val="clear" w:color="auto" w:fill="F3F6FB"/>
          </w:tcPr>
          <w:p>
            <w:pPr>
              <w:spacing w:after="0" w:line="240" w:lineRule="auto"/>
            </w:pPr>
            <w:r/>
            <w:r>
              <w:rPr>
                <w:b/>
                <w:sz w:val="19"/>
              </w:rPr>
              <w:t>Investor comment</w:t>
            </w:r>
          </w:p>
        </w:tc>
        <w:tc>
          <w:tcPr>
            <w:tcW w:type="dxa" w:w="1361"/>
            <w:shd w:val="clear" w:color="auto" w:fill="F3F6FB"/>
          </w:tcPr>
          <w:p>
            <w:pPr>
              <w:spacing w:after="0" w:line="240" w:lineRule="auto"/>
            </w:pPr>
            <w:r/>
            <w:r>
              <w:rPr>
                <w:sz w:val="19"/>
              </w:rPr>
              <w:t>4</w:t>
            </w:r>
          </w:p>
        </w:tc>
        <w:tc>
          <w:tcPr>
            <w:tcW w:type="dxa" w:w="1361"/>
            <w:shd w:val="clear" w:color="auto" w:fill="F3F6FB"/>
          </w:tcPr>
          <w:p>
            <w:pPr>
              <w:spacing w:after="0" w:line="240" w:lineRule="auto"/>
            </w:pPr>
            <w:r/>
            <w:r>
              <w:rPr>
                <w:sz w:val="19"/>
              </w:rPr>
              <w:t>4</w:t>
            </w:r>
          </w:p>
        </w:tc>
        <w:tc>
          <w:tcPr>
            <w:tcW w:type="dxa" w:w="1361"/>
            <w:shd w:val="clear" w:color="auto" w:fill="F3F6FB"/>
          </w:tcPr>
          <w:p>
            <w:pPr>
              <w:spacing w:after="0" w:line="240" w:lineRule="auto"/>
            </w:pPr>
            <w:r/>
            <w:r>
              <w:rPr>
                <w:sz w:val="19"/>
              </w:rPr>
              <w:t>4</w:t>
            </w:r>
          </w:p>
        </w:tc>
        <w:tc>
          <w:tcPr>
            <w:tcW w:type="dxa" w:w="1361"/>
            <w:shd w:val="clear" w:color="auto" w:fill="F3F6FB"/>
          </w:tcPr>
          <w:p>
            <w:pPr>
              <w:spacing w:after="0" w:line="240" w:lineRule="auto"/>
            </w:pPr>
            <w:r/>
            <w:r>
              <w:rPr>
                <w:sz w:val="19"/>
              </w:rPr>
              <w:t>12</w:t>
            </w:r>
          </w:p>
        </w:tc>
      </w:tr>
      <w:tr>
        <w:tc>
          <w:tcPr>
            <w:tcW w:type="dxa" w:w="3175"/>
          </w:tcPr>
          <w:p>
            <w:pPr>
              <w:spacing w:after="0" w:line="240" w:lineRule="auto"/>
            </w:pPr>
            <w:r/>
            <w:r>
              <w:rPr>
                <w:b/>
                <w:sz w:val="19"/>
              </w:rPr>
              <w:t>Social-media comment</w:t>
            </w:r>
          </w:p>
        </w:tc>
        <w:tc>
          <w:tcPr>
            <w:tcW w:type="dxa" w:w="1361"/>
          </w:tcPr>
          <w:p>
            <w:pPr>
              <w:spacing w:after="0" w:line="240" w:lineRule="auto"/>
            </w:pPr>
            <w:r/>
            <w:r>
              <w:rPr>
                <w:sz w:val="19"/>
              </w:rPr>
              <w:t>4</w:t>
            </w:r>
          </w:p>
        </w:tc>
        <w:tc>
          <w:tcPr>
            <w:tcW w:type="dxa" w:w="1361"/>
          </w:tcPr>
          <w:p>
            <w:pPr>
              <w:spacing w:after="0" w:line="240" w:lineRule="auto"/>
            </w:pPr>
            <w:r/>
            <w:r>
              <w:rPr>
                <w:sz w:val="19"/>
              </w:rPr>
              <w:t>4</w:t>
            </w:r>
          </w:p>
        </w:tc>
        <w:tc>
          <w:tcPr>
            <w:tcW w:type="dxa" w:w="1361"/>
          </w:tcPr>
          <w:p>
            <w:pPr>
              <w:spacing w:after="0" w:line="240" w:lineRule="auto"/>
            </w:pPr>
            <w:r/>
            <w:r>
              <w:rPr>
                <w:sz w:val="19"/>
              </w:rPr>
              <w:t>4</w:t>
            </w:r>
          </w:p>
        </w:tc>
        <w:tc>
          <w:tcPr>
            <w:tcW w:type="dxa" w:w="1361"/>
          </w:tcPr>
          <w:p>
            <w:pPr>
              <w:spacing w:after="0" w:line="240" w:lineRule="auto"/>
            </w:pPr>
            <w:r/>
            <w:r>
              <w:rPr>
                <w:sz w:val="19"/>
              </w:rPr>
              <w:t>12</w:t>
            </w:r>
          </w:p>
        </w:tc>
      </w:tr>
      <w:tr>
        <w:tc>
          <w:tcPr>
            <w:tcW w:type="dxa" w:w="3175"/>
            <w:shd w:val="clear" w:color="auto" w:fill="F3F6FB"/>
          </w:tcPr>
          <w:p>
            <w:pPr>
              <w:spacing w:after="0" w:line="240" w:lineRule="auto"/>
            </w:pPr>
            <w:r/>
            <w:r>
              <w:rPr>
                <w:b/>
                <w:sz w:val="19"/>
              </w:rPr>
              <w:t>Total</w:t>
            </w:r>
          </w:p>
        </w:tc>
        <w:tc>
          <w:tcPr>
            <w:tcW w:type="dxa" w:w="1361"/>
            <w:shd w:val="clear" w:color="auto" w:fill="F3F6FB"/>
          </w:tcPr>
          <w:p>
            <w:pPr>
              <w:spacing w:after="0" w:line="240" w:lineRule="auto"/>
            </w:pPr>
            <w:r/>
            <w:r>
              <w:rPr>
                <w:sz w:val="19"/>
              </w:rPr>
              <w:t>20</w:t>
            </w:r>
          </w:p>
        </w:tc>
        <w:tc>
          <w:tcPr>
            <w:tcW w:type="dxa" w:w="1361"/>
            <w:shd w:val="clear" w:color="auto" w:fill="F3F6FB"/>
          </w:tcPr>
          <w:p>
            <w:pPr>
              <w:spacing w:after="0" w:line="240" w:lineRule="auto"/>
            </w:pPr>
            <w:r/>
            <w:r>
              <w:rPr>
                <w:sz w:val="19"/>
              </w:rPr>
              <w:t>20</w:t>
            </w:r>
          </w:p>
        </w:tc>
        <w:tc>
          <w:tcPr>
            <w:tcW w:type="dxa" w:w="1361"/>
            <w:shd w:val="clear" w:color="auto" w:fill="F3F6FB"/>
          </w:tcPr>
          <w:p>
            <w:pPr>
              <w:spacing w:after="0" w:line="240" w:lineRule="auto"/>
            </w:pPr>
            <w:r/>
            <w:r>
              <w:rPr>
                <w:sz w:val="19"/>
              </w:rPr>
              <w:t>20</w:t>
            </w:r>
          </w:p>
        </w:tc>
        <w:tc>
          <w:tcPr>
            <w:tcW w:type="dxa" w:w="1361"/>
            <w:shd w:val="clear" w:color="auto" w:fill="F3F6FB"/>
          </w:tcPr>
          <w:p>
            <w:pPr>
              <w:spacing w:after="0" w:line="240" w:lineRule="auto"/>
            </w:pPr>
            <w:r/>
            <w:r>
              <w:rPr>
                <w:sz w:val="19"/>
              </w:rPr>
              <w:t>60</w:t>
            </w:r>
          </w:p>
        </w:tc>
      </w:tr>
    </w:tbl>
    <w:p>
      <w:pPr>
        <w:spacing w:after="40"/>
      </w:pPr>
    </w:p>
    <w:p>
      <w:pPr>
        <w:pStyle w:val="ListBullet"/>
        <w:spacing w:after="40"/>
      </w:pPr>
      <w:r>
        <w:rPr>
          <w:b/>
        </w:rPr>
        <w:t>How it was built.</w:t>
      </w:r>
      <w:r>
        <w:rPr>
          <w:b w:val="0"/>
        </w:rPr>
        <w:t xml:space="preserve"> The texts were written by the team in the style of real market text: exchange filings, news-wire reports, broker notes, investor forum posts and social-media posts with cashtags, hashtags and emoji. The 16 company names are fictional, so that no real company is associated with invented news.</w:t>
      </w:r>
    </w:p>
    <w:p>
      <w:pPr>
        <w:pStyle w:val="ListBullet"/>
        <w:spacing w:after="40"/>
      </w:pPr>
      <w:r>
        <w:rPr>
          <w:b/>
        </w:rPr>
        <w:t>How it was labelled.</w:t>
      </w:r>
      <w:r>
        <w:rPr>
          <w:b w:val="0"/>
        </w:rPr>
        <w:t xml:space="preserve"> Each text was labelled by hand with the definitions used in the prompt: the implication for the company from an investor's point of view.</w:t>
      </w:r>
    </w:p>
    <w:p>
      <w:pPr>
        <w:pStyle w:val="ListBullet"/>
        <w:spacing w:after="40"/>
      </w:pPr>
      <w:r>
        <w:rPr>
          <w:b/>
        </w:rPr>
        <w:t>Difficult cases included on purpose:</w:t>
      </w:r>
      <w:r>
        <w:rPr>
          <w:b w:val="0"/>
        </w:rPr>
        <w:t xml:space="preserve"> profit growth that misses estimates (Negative), a loss that is smaller than feared (Positive), sarcastic praise of bad news, market slang ("to the moon", "rug pull", "bagholder"), mixed news that balances out, procedural filings, and questions with no opinion.</w:t>
      </w:r>
    </w:p>
    <w:p>
      <w:pPr>
        <w:keepNext/>
        <w:spacing w:after="60"/>
      </w:pPr>
      <w:r>
        <w:rPr>
          <w:b/>
          <w:i w:val="0"/>
          <w:color w:val="555F70"/>
          <w:sz w:val="19"/>
        </w:rPr>
        <w:t>Table 9: One example of each text type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701"/>
            <w:shd w:val="clear" w:color="auto" w:fill="1F4FD8"/>
          </w:tcPr>
          <w:p>
            <w:r/>
            <w:r>
              <w:rPr>
                <w:b/>
                <w:color w:val="FFFFFF"/>
                <w:sz w:val="17"/>
              </w:rPr>
              <w:t>Type</w:t>
            </w:r>
          </w:p>
        </w:tc>
        <w:tc>
          <w:tcPr>
            <w:tcW w:type="dxa" w:w="6576"/>
            <w:shd w:val="clear" w:color="auto" w:fill="1F4FD8"/>
          </w:tcPr>
          <w:p>
            <w:r/>
            <w:r>
              <w:rPr>
                <w:b/>
                <w:color w:val="FFFFFF"/>
                <w:sz w:val="17"/>
              </w:rPr>
              <w:t>Text</w:t>
            </w:r>
          </w:p>
        </w:tc>
        <w:tc>
          <w:tcPr>
            <w:tcW w:type="dxa" w:w="1134"/>
            <w:shd w:val="clear" w:color="auto" w:fill="1F4FD8"/>
          </w:tcPr>
          <w:p>
            <w:r/>
            <w:r>
              <w:rPr>
                <w:b/>
                <w:color w:val="FFFFFF"/>
                <w:sz w:val="17"/>
              </w:rPr>
              <w:t>Expected</w:t>
            </w:r>
          </w:p>
        </w:tc>
      </w:tr>
      <w:tr>
        <w:tc>
          <w:tcPr>
            <w:tcW w:type="dxa" w:w="1701"/>
          </w:tcPr>
          <w:p>
            <w:pPr>
              <w:spacing w:after="0" w:line="240" w:lineRule="auto"/>
            </w:pPr>
            <w:r/>
            <w:r>
              <w:rPr>
                <w:sz w:val="17"/>
              </w:rPr>
              <w:t>Financial news</w:t>
            </w:r>
          </w:p>
        </w:tc>
        <w:tc>
          <w:tcPr>
            <w:tcW w:type="dxa" w:w="6576"/>
          </w:tcPr>
          <w:p>
            <w:pPr>
              <w:spacing w:after="0" w:line="240" w:lineRule="auto"/>
            </w:pPr>
            <w:r/>
            <w:r>
              <w:rPr>
                <w:sz w:val="17"/>
              </w:rPr>
              <w:t>Aurora Steel Ltd reported a 32% year-on-year jump in quarterly net profit to Rs 1,845 crore, beating street estimates, as higher realisations and lower coking coal costs lifted margins. The stock rose 6% in early trade.</w:t>
            </w:r>
          </w:p>
        </w:tc>
        <w:tc>
          <w:tcPr>
            <w:tcW w:type="dxa" w:w="1134"/>
          </w:tcPr>
          <w:p>
            <w:pPr>
              <w:spacing w:after="0" w:line="240" w:lineRule="auto"/>
            </w:pPr>
            <w:r/>
            <w:r>
              <w:rPr>
                <w:sz w:val="17"/>
              </w:rPr>
              <w:t>Positive</w:t>
            </w:r>
          </w:p>
        </w:tc>
      </w:tr>
      <w:tr>
        <w:tc>
          <w:tcPr>
            <w:tcW w:type="dxa" w:w="1701"/>
            <w:shd w:val="clear" w:color="auto" w:fill="F3F6FB"/>
          </w:tcPr>
          <w:p>
            <w:pPr>
              <w:spacing w:after="0" w:line="240" w:lineRule="auto"/>
            </w:pPr>
            <w:r/>
            <w:r>
              <w:rPr>
                <w:sz w:val="17"/>
              </w:rPr>
              <w:t>Company announcement</w:t>
            </w:r>
          </w:p>
        </w:tc>
        <w:tc>
          <w:tcPr>
            <w:tcW w:type="dxa" w:w="6576"/>
            <w:shd w:val="clear" w:color="auto" w:fill="F3F6FB"/>
          </w:tcPr>
          <w:p>
            <w:pPr>
              <w:spacing w:after="0" w:line="240" w:lineRule="auto"/>
            </w:pPr>
            <w:r/>
            <w:r>
              <w:rPr>
                <w:sz w:val="17"/>
              </w:rPr>
              <w:t>Aurora Steel Ltd is pleased to announce that the Board of Directors has approved a buyback of equity shares worth Rs 2,000 crore at a price of Rs 1,450 per share, a premium of 22% to the current market price.</w:t>
            </w:r>
          </w:p>
        </w:tc>
        <w:tc>
          <w:tcPr>
            <w:tcW w:type="dxa" w:w="1134"/>
            <w:shd w:val="clear" w:color="auto" w:fill="F3F6FB"/>
          </w:tcPr>
          <w:p>
            <w:pPr>
              <w:spacing w:after="0" w:line="240" w:lineRule="auto"/>
            </w:pPr>
            <w:r/>
            <w:r>
              <w:rPr>
                <w:sz w:val="17"/>
              </w:rPr>
              <w:t>Positive</w:t>
            </w:r>
          </w:p>
        </w:tc>
      </w:tr>
      <w:tr>
        <w:tc>
          <w:tcPr>
            <w:tcW w:type="dxa" w:w="1701"/>
          </w:tcPr>
          <w:p>
            <w:pPr>
              <w:spacing w:after="0" w:line="240" w:lineRule="auto"/>
            </w:pPr>
            <w:r/>
            <w:r>
              <w:rPr>
                <w:sz w:val="17"/>
              </w:rPr>
              <w:t>Analyst commentary</w:t>
            </w:r>
          </w:p>
        </w:tc>
        <w:tc>
          <w:tcPr>
            <w:tcW w:type="dxa" w:w="6576"/>
          </w:tcPr>
          <w:p>
            <w:pPr>
              <w:spacing w:after="0" w:line="240" w:lineRule="auto"/>
            </w:pPr>
            <w:r/>
            <w:r>
              <w:rPr>
                <w:sz w:val="17"/>
              </w:rPr>
              <w:t>We upgrade Brightwave Technologies to BUY from HOLD and raise our target price to Rs 1,850, implying 28% upside. Strong deal wins and improving margins give us confidence in double-digit earnings growth over FY26-28.</w:t>
            </w:r>
          </w:p>
        </w:tc>
        <w:tc>
          <w:tcPr>
            <w:tcW w:type="dxa" w:w="1134"/>
          </w:tcPr>
          <w:p>
            <w:pPr>
              <w:spacing w:after="0" w:line="240" w:lineRule="auto"/>
            </w:pPr>
            <w:r/>
            <w:r>
              <w:rPr>
                <w:sz w:val="17"/>
              </w:rPr>
              <w:t>Positive</w:t>
            </w:r>
          </w:p>
        </w:tc>
      </w:tr>
      <w:tr>
        <w:tc>
          <w:tcPr>
            <w:tcW w:type="dxa" w:w="1701"/>
            <w:shd w:val="clear" w:color="auto" w:fill="F3F6FB"/>
          </w:tcPr>
          <w:p>
            <w:pPr>
              <w:spacing w:after="0" w:line="240" w:lineRule="auto"/>
            </w:pPr>
            <w:r/>
            <w:r>
              <w:rPr>
                <w:sz w:val="17"/>
              </w:rPr>
              <w:t>Investor comment</w:t>
            </w:r>
          </w:p>
        </w:tc>
        <w:tc>
          <w:tcPr>
            <w:tcW w:type="dxa" w:w="6576"/>
            <w:shd w:val="clear" w:color="auto" w:fill="F3F6FB"/>
          </w:tcPr>
          <w:p>
            <w:pPr>
              <w:spacing w:after="0" w:line="240" w:lineRule="auto"/>
            </w:pPr>
            <w:r/>
            <w:r>
              <w:rPr>
                <w:sz w:val="17"/>
              </w:rPr>
              <w:t>I've held Sunrise Pharma since 2019 and the management has delivered on every promise. With the new FDA approvals, I'm increasing my position - this is a long-term compounder.</w:t>
            </w:r>
          </w:p>
        </w:tc>
        <w:tc>
          <w:tcPr>
            <w:tcW w:type="dxa" w:w="1134"/>
            <w:shd w:val="clear" w:color="auto" w:fill="F3F6FB"/>
          </w:tcPr>
          <w:p>
            <w:pPr>
              <w:spacing w:after="0" w:line="240" w:lineRule="auto"/>
            </w:pPr>
            <w:r/>
            <w:r>
              <w:rPr>
                <w:sz w:val="17"/>
              </w:rPr>
              <w:t>Positive</w:t>
            </w:r>
          </w:p>
        </w:tc>
      </w:tr>
      <w:tr>
        <w:tc>
          <w:tcPr>
            <w:tcW w:type="dxa" w:w="1701"/>
          </w:tcPr>
          <w:p>
            <w:pPr>
              <w:spacing w:after="0" w:line="240" w:lineRule="auto"/>
            </w:pPr>
            <w:r/>
            <w:r>
              <w:rPr>
                <w:sz w:val="17"/>
              </w:rPr>
              <w:t>Social-media comment</w:t>
            </w:r>
          </w:p>
        </w:tc>
        <w:tc>
          <w:tcPr>
            <w:tcW w:type="dxa" w:w="6576"/>
          </w:tcPr>
          <w:p>
            <w:pPr>
              <w:spacing w:after="0" w:line="240" w:lineRule="auto"/>
            </w:pPr>
            <w:r/>
            <w:r>
              <w:rPr>
                <w:sz w:val="17"/>
              </w:rPr>
              <w:t>$BRWV just smashed earnings and landed a $750M deal 🚀🚀 This one is going to the moon! Loading up more tomorrow #bullish</w:t>
            </w:r>
          </w:p>
        </w:tc>
        <w:tc>
          <w:tcPr>
            <w:tcW w:type="dxa" w:w="1134"/>
          </w:tcPr>
          <w:p>
            <w:pPr>
              <w:spacing w:after="0" w:line="240" w:lineRule="auto"/>
            </w:pPr>
            <w:r/>
            <w:r>
              <w:rPr>
                <w:sz w:val="17"/>
              </w:rPr>
              <w:t>Positive</w:t>
            </w:r>
          </w:p>
        </w:tc>
      </w:tr>
    </w:tbl>
    <w:p>
      <w:pPr>
        <w:spacing w:after="40"/>
      </w:pPr>
    </w:p>
    <w:p>
      <w:r>
        <w:rPr>
          <w:b w:val="0"/>
          <w:i w:val="0"/>
        </w:rPr>
        <w:t>The complete data set with the prediction of every model is in Appendix B.</w:t>
      </w:r>
    </w:p>
    <w:p>
      <w:pPr>
        <w:pStyle w:val="Heading1"/>
      </w:pPr>
      <w:r>
        <w:t>7. Test results</w:t>
      </w:r>
    </w:p>
    <w:p>
      <w:r>
        <w:rPr>
          <w:b w:val="0"/>
          <w:i w:val="0"/>
        </w:rPr>
        <w:t xml:space="preserve">The system was tested end to end with </w:t>
      </w:r>
      <w:r>
        <w:rPr>
          <w:b/>
          <w:i w:val="0"/>
        </w:rPr>
        <w:t>run_tests.py</w:t>
      </w:r>
      <w:r>
        <w:rPr>
          <w:b w:val="0"/>
          <w:i w:val="0"/>
        </w:rPr>
        <w:t>. For every text of the data set the script calls the backend endpoint POST /api/analyze, exactly as the frontend does; the backend calls the LLM and stores the response; the script then compares the stored sentiment with the expected label and records the run in test_runs and test_run_items. The same 60 texts were run through four configurations.</w:t>
      </w:r>
    </w:p>
    <w:p>
      <w:pPr>
        <w:keepNext/>
        <w:spacing w:after="60"/>
      </w:pPr>
      <w:r>
        <w:rPr>
          <w:b/>
          <w:i w:val="0"/>
          <w:color w:val="555F70"/>
          <w:sz w:val="19"/>
        </w:rPr>
        <w:t>Table 10: Results on the 60-text test data set</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624"/>
            <w:shd w:val="clear" w:color="auto" w:fill="1F4FD8"/>
          </w:tcPr>
          <w:p>
            <w:r/>
            <w:r>
              <w:rPr>
                <w:b/>
                <w:color w:val="FFFFFF"/>
                <w:sz w:val="18"/>
              </w:rPr>
              <w:t>Run</w:t>
            </w:r>
          </w:p>
        </w:tc>
        <w:tc>
          <w:tcPr>
            <w:tcW w:type="dxa" w:w="2608"/>
            <w:shd w:val="clear" w:color="auto" w:fill="1F4FD8"/>
          </w:tcPr>
          <w:p>
            <w:r/>
            <w:r>
              <w:rPr>
                <w:b/>
                <w:color w:val="FFFFFF"/>
                <w:sz w:val="18"/>
              </w:rPr>
              <w:t>Model</w:t>
            </w:r>
          </w:p>
        </w:tc>
        <w:tc>
          <w:tcPr>
            <w:tcW w:type="dxa" w:w="2041"/>
            <w:shd w:val="clear" w:color="auto" w:fill="1F4FD8"/>
          </w:tcPr>
          <w:p>
            <w:r/>
            <w:r>
              <w:rPr>
                <w:b/>
                <w:color w:val="FFFFFF"/>
                <w:sz w:val="18"/>
              </w:rPr>
              <w:t>Prompt</w:t>
            </w:r>
          </w:p>
        </w:tc>
        <w:tc>
          <w:tcPr>
            <w:tcW w:type="dxa" w:w="1020"/>
            <w:shd w:val="clear" w:color="auto" w:fill="1F4FD8"/>
          </w:tcPr>
          <w:p>
            <w:r/>
            <w:r>
              <w:rPr>
                <w:b/>
                <w:color w:val="FFFFFF"/>
                <w:sz w:val="18"/>
              </w:rPr>
              <w:t>Correct</w:t>
            </w:r>
          </w:p>
        </w:tc>
        <w:tc>
          <w:tcPr>
            <w:tcW w:type="dxa" w:w="1077"/>
            <w:shd w:val="clear" w:color="auto" w:fill="1F4FD8"/>
          </w:tcPr>
          <w:p>
            <w:r/>
            <w:r>
              <w:rPr>
                <w:b/>
                <w:color w:val="FFFFFF"/>
                <w:sz w:val="18"/>
              </w:rPr>
              <w:t>Accuracy</w:t>
            </w:r>
          </w:p>
        </w:tc>
        <w:tc>
          <w:tcPr>
            <w:tcW w:type="dxa" w:w="1020"/>
            <w:shd w:val="clear" w:color="auto" w:fill="1F4FD8"/>
          </w:tcPr>
          <w:p>
            <w:r/>
            <w:r>
              <w:rPr>
                <w:b/>
                <w:color w:val="FFFFFF"/>
                <w:sz w:val="18"/>
              </w:rPr>
              <w:t>Macro-F1</w:t>
            </w:r>
          </w:p>
        </w:tc>
        <w:tc>
          <w:tcPr>
            <w:tcW w:type="dxa" w:w="1247"/>
            <w:shd w:val="clear" w:color="auto" w:fill="1F4FD8"/>
          </w:tcPr>
          <w:p>
            <w:r/>
            <w:r>
              <w:rPr>
                <w:b/>
                <w:color w:val="FFFFFF"/>
                <w:sz w:val="18"/>
              </w:rPr>
              <w:t>Median time / text</w:t>
            </w:r>
          </w:p>
        </w:tc>
      </w:tr>
      <w:tr>
        <w:tc>
          <w:tcPr>
            <w:tcW w:type="dxa" w:w="624"/>
          </w:tcPr>
          <w:p>
            <w:pPr>
              <w:spacing w:after="0" w:line="240" w:lineRule="auto"/>
            </w:pPr>
            <w:r/>
            <w:r>
              <w:rPr>
                <w:sz w:val="18"/>
              </w:rPr>
              <w:t>6</w:t>
            </w:r>
          </w:p>
        </w:tc>
        <w:tc>
          <w:tcPr>
            <w:tcW w:type="dxa" w:w="2608"/>
          </w:tcPr>
          <w:p>
            <w:pPr>
              <w:spacing w:after="0" w:line="240" w:lineRule="auto"/>
            </w:pPr>
            <w:r/>
            <w:r>
              <w:rPr>
                <w:sz w:val="18"/>
              </w:rPr>
              <w:t>Groq · openai/gpt-oss-120b</w:t>
            </w:r>
          </w:p>
        </w:tc>
        <w:tc>
          <w:tcPr>
            <w:tcW w:type="dxa" w:w="2041"/>
          </w:tcPr>
          <w:p>
            <w:pPr>
              <w:spacing w:after="0" w:line="240" w:lineRule="auto"/>
            </w:pPr>
            <w:r/>
            <w:r>
              <w:rPr>
                <w:sz w:val="18"/>
              </w:rPr>
              <w:t>Few-shot v2 + JSON schema</w:t>
            </w:r>
          </w:p>
        </w:tc>
        <w:tc>
          <w:tcPr>
            <w:tcW w:type="dxa" w:w="1020"/>
          </w:tcPr>
          <w:p>
            <w:pPr>
              <w:spacing w:after="0" w:line="240" w:lineRule="auto"/>
            </w:pPr>
            <w:r/>
            <w:r>
              <w:rPr>
                <w:sz w:val="18"/>
              </w:rPr>
              <w:t>58 / 60</w:t>
            </w:r>
          </w:p>
        </w:tc>
        <w:tc>
          <w:tcPr>
            <w:tcW w:type="dxa" w:w="1077"/>
          </w:tcPr>
          <w:p>
            <w:pPr>
              <w:spacing w:after="0" w:line="240" w:lineRule="auto"/>
            </w:pPr>
            <w:r/>
            <w:r>
              <w:rPr>
                <w:sz w:val="18"/>
              </w:rPr>
              <w:t>96.7%</w:t>
            </w:r>
          </w:p>
        </w:tc>
        <w:tc>
          <w:tcPr>
            <w:tcW w:type="dxa" w:w="1020"/>
          </w:tcPr>
          <w:p>
            <w:pPr>
              <w:spacing w:after="0" w:line="240" w:lineRule="auto"/>
            </w:pPr>
            <w:r/>
            <w:r>
              <w:rPr>
                <w:sz w:val="18"/>
              </w:rPr>
              <w:t>0.967</w:t>
            </w:r>
          </w:p>
        </w:tc>
        <w:tc>
          <w:tcPr>
            <w:tcW w:type="dxa" w:w="1247"/>
          </w:tcPr>
          <w:p>
            <w:pPr>
              <w:spacing w:after="0" w:line="240" w:lineRule="auto"/>
            </w:pPr>
            <w:r/>
            <w:r>
              <w:rPr>
                <w:sz w:val="18"/>
              </w:rPr>
              <w:t>3.42 s</w:t>
            </w:r>
          </w:p>
        </w:tc>
      </w:tr>
      <w:tr>
        <w:tc>
          <w:tcPr>
            <w:tcW w:type="dxa" w:w="624"/>
            <w:shd w:val="clear" w:color="auto" w:fill="F3F6FB"/>
          </w:tcPr>
          <w:p>
            <w:pPr>
              <w:spacing w:after="0" w:line="240" w:lineRule="auto"/>
            </w:pPr>
            <w:r/>
            <w:r>
              <w:rPr>
                <w:sz w:val="18"/>
              </w:rPr>
              <w:t>5</w:t>
            </w:r>
          </w:p>
        </w:tc>
        <w:tc>
          <w:tcPr>
            <w:tcW w:type="dxa" w:w="2608"/>
            <w:shd w:val="clear" w:color="auto" w:fill="F3F6FB"/>
          </w:tcPr>
          <w:p>
            <w:pPr>
              <w:spacing w:after="0" w:line="240" w:lineRule="auto"/>
            </w:pPr>
            <w:r/>
            <w:r>
              <w:rPr>
                <w:sz w:val="18"/>
              </w:rPr>
              <w:t>Qwen2.5-1.5B-Instruct (local)</w:t>
            </w:r>
          </w:p>
        </w:tc>
        <w:tc>
          <w:tcPr>
            <w:tcW w:type="dxa" w:w="2041"/>
            <w:shd w:val="clear" w:color="auto" w:fill="F3F6FB"/>
          </w:tcPr>
          <w:p>
            <w:pPr>
              <w:spacing w:after="0" w:line="240" w:lineRule="auto"/>
            </w:pPr>
            <w:r/>
            <w:r>
              <w:rPr>
                <w:sz w:val="18"/>
              </w:rPr>
              <w:t>Few-shot v2</w:t>
            </w:r>
          </w:p>
        </w:tc>
        <w:tc>
          <w:tcPr>
            <w:tcW w:type="dxa" w:w="1020"/>
            <w:shd w:val="clear" w:color="auto" w:fill="F3F6FB"/>
          </w:tcPr>
          <w:p>
            <w:pPr>
              <w:spacing w:after="0" w:line="240" w:lineRule="auto"/>
            </w:pPr>
            <w:r/>
            <w:r>
              <w:rPr>
                <w:sz w:val="18"/>
              </w:rPr>
              <w:t>60 / 60</w:t>
            </w:r>
          </w:p>
        </w:tc>
        <w:tc>
          <w:tcPr>
            <w:tcW w:type="dxa" w:w="1077"/>
            <w:shd w:val="clear" w:color="auto" w:fill="F3F6FB"/>
          </w:tcPr>
          <w:p>
            <w:pPr>
              <w:spacing w:after="0" w:line="240" w:lineRule="auto"/>
            </w:pPr>
            <w:r/>
            <w:r>
              <w:rPr>
                <w:sz w:val="18"/>
              </w:rPr>
              <w:t>100.0%</w:t>
            </w:r>
          </w:p>
        </w:tc>
        <w:tc>
          <w:tcPr>
            <w:tcW w:type="dxa" w:w="1020"/>
            <w:shd w:val="clear" w:color="auto" w:fill="F3F6FB"/>
          </w:tcPr>
          <w:p>
            <w:pPr>
              <w:spacing w:after="0" w:line="240" w:lineRule="auto"/>
            </w:pPr>
            <w:r/>
            <w:r>
              <w:rPr>
                <w:sz w:val="18"/>
              </w:rPr>
              <w:t>1.000</w:t>
            </w:r>
          </w:p>
        </w:tc>
        <w:tc>
          <w:tcPr>
            <w:tcW w:type="dxa" w:w="1247"/>
            <w:shd w:val="clear" w:color="auto" w:fill="F3F6FB"/>
          </w:tcPr>
          <w:p>
            <w:pPr>
              <w:spacing w:after="0" w:line="240" w:lineRule="auto"/>
            </w:pPr>
            <w:r/>
            <w:r>
              <w:rPr>
                <w:sz w:val="18"/>
              </w:rPr>
              <w:t>9.63 s</w:t>
            </w:r>
          </w:p>
        </w:tc>
      </w:tr>
      <w:tr>
        <w:tc>
          <w:tcPr>
            <w:tcW w:type="dxa" w:w="624"/>
          </w:tcPr>
          <w:p>
            <w:pPr>
              <w:spacing w:after="0" w:line="240" w:lineRule="auto"/>
            </w:pPr>
            <w:r/>
            <w:r>
              <w:rPr>
                <w:sz w:val="18"/>
              </w:rPr>
              <w:t>3</w:t>
            </w:r>
          </w:p>
        </w:tc>
        <w:tc>
          <w:tcPr>
            <w:tcW w:type="dxa" w:w="2608"/>
          </w:tcPr>
          <w:p>
            <w:pPr>
              <w:spacing w:after="0" w:line="240" w:lineRule="auto"/>
            </w:pPr>
            <w:r/>
            <w:r>
              <w:rPr>
                <w:sz w:val="18"/>
              </w:rPr>
              <w:t>Qwen2.5-1.5B-Instruct (local)</w:t>
            </w:r>
          </w:p>
        </w:tc>
        <w:tc>
          <w:tcPr>
            <w:tcW w:type="dxa" w:w="2041"/>
          </w:tcPr>
          <w:p>
            <w:pPr>
              <w:spacing w:after="0" w:line="240" w:lineRule="auto"/>
            </w:pPr>
            <w:r/>
            <w:r>
              <w:rPr>
                <w:sz w:val="18"/>
              </w:rPr>
              <w:t>Zero-shot v1</w:t>
            </w:r>
          </w:p>
        </w:tc>
        <w:tc>
          <w:tcPr>
            <w:tcW w:type="dxa" w:w="1020"/>
          </w:tcPr>
          <w:p>
            <w:pPr>
              <w:spacing w:after="0" w:line="240" w:lineRule="auto"/>
            </w:pPr>
            <w:r/>
            <w:r>
              <w:rPr>
                <w:sz w:val="18"/>
              </w:rPr>
              <w:t>58 / 60</w:t>
            </w:r>
          </w:p>
        </w:tc>
        <w:tc>
          <w:tcPr>
            <w:tcW w:type="dxa" w:w="1077"/>
          </w:tcPr>
          <w:p>
            <w:pPr>
              <w:spacing w:after="0" w:line="240" w:lineRule="auto"/>
            </w:pPr>
            <w:r/>
            <w:r>
              <w:rPr>
                <w:sz w:val="18"/>
              </w:rPr>
              <w:t>96.7%</w:t>
            </w:r>
          </w:p>
        </w:tc>
        <w:tc>
          <w:tcPr>
            <w:tcW w:type="dxa" w:w="1020"/>
          </w:tcPr>
          <w:p>
            <w:pPr>
              <w:spacing w:after="0" w:line="240" w:lineRule="auto"/>
            </w:pPr>
            <w:r/>
            <w:r>
              <w:rPr>
                <w:sz w:val="18"/>
              </w:rPr>
              <w:t>0.967</w:t>
            </w:r>
          </w:p>
        </w:tc>
        <w:tc>
          <w:tcPr>
            <w:tcW w:type="dxa" w:w="1247"/>
          </w:tcPr>
          <w:p>
            <w:pPr>
              <w:spacing w:after="0" w:line="240" w:lineRule="auto"/>
            </w:pPr>
            <w:r/>
            <w:r>
              <w:rPr>
                <w:sz w:val="18"/>
              </w:rPr>
              <w:t>2.78 s</w:t>
            </w:r>
          </w:p>
        </w:tc>
      </w:tr>
      <w:tr>
        <w:tc>
          <w:tcPr>
            <w:tcW w:type="dxa" w:w="624"/>
            <w:shd w:val="clear" w:color="auto" w:fill="F3F6FB"/>
          </w:tcPr>
          <w:p>
            <w:pPr>
              <w:spacing w:after="0" w:line="240" w:lineRule="auto"/>
            </w:pPr>
            <w:r/>
            <w:r>
              <w:rPr>
                <w:sz w:val="18"/>
              </w:rPr>
              <w:t>2</w:t>
            </w:r>
          </w:p>
        </w:tc>
        <w:tc>
          <w:tcPr>
            <w:tcW w:type="dxa" w:w="2608"/>
            <w:shd w:val="clear" w:color="auto" w:fill="F3F6FB"/>
          </w:tcPr>
          <w:p>
            <w:pPr>
              <w:spacing w:after="0" w:line="240" w:lineRule="auto"/>
            </w:pPr>
            <w:r/>
            <w:r>
              <w:rPr>
                <w:sz w:val="18"/>
              </w:rPr>
              <w:t>FinBERT (local)</w:t>
            </w:r>
          </w:p>
        </w:tc>
        <w:tc>
          <w:tcPr>
            <w:tcW w:type="dxa" w:w="2041"/>
            <w:shd w:val="clear" w:color="auto" w:fill="F3F6FB"/>
          </w:tcPr>
          <w:p>
            <w:pPr>
              <w:spacing w:after="0" w:line="240" w:lineRule="auto"/>
            </w:pPr>
            <w:r/>
            <w:r>
              <w:rPr>
                <w:sz w:val="18"/>
              </w:rPr>
              <w:t>none (classifier)</w:t>
            </w:r>
          </w:p>
        </w:tc>
        <w:tc>
          <w:tcPr>
            <w:tcW w:type="dxa" w:w="1020"/>
            <w:shd w:val="clear" w:color="auto" w:fill="F3F6FB"/>
          </w:tcPr>
          <w:p>
            <w:pPr>
              <w:spacing w:after="0" w:line="240" w:lineRule="auto"/>
            </w:pPr>
            <w:r/>
            <w:r>
              <w:rPr>
                <w:sz w:val="18"/>
              </w:rPr>
              <w:t>50 / 60</w:t>
            </w:r>
          </w:p>
        </w:tc>
        <w:tc>
          <w:tcPr>
            <w:tcW w:type="dxa" w:w="1077"/>
            <w:shd w:val="clear" w:color="auto" w:fill="F3F6FB"/>
          </w:tcPr>
          <w:p>
            <w:pPr>
              <w:spacing w:after="0" w:line="240" w:lineRule="auto"/>
            </w:pPr>
            <w:r/>
            <w:r>
              <w:rPr>
                <w:sz w:val="18"/>
              </w:rPr>
              <w:t>83.3%</w:t>
            </w:r>
          </w:p>
        </w:tc>
        <w:tc>
          <w:tcPr>
            <w:tcW w:type="dxa" w:w="1020"/>
            <w:shd w:val="clear" w:color="auto" w:fill="F3F6FB"/>
          </w:tcPr>
          <w:p>
            <w:pPr>
              <w:spacing w:after="0" w:line="240" w:lineRule="auto"/>
            </w:pPr>
            <w:r/>
            <w:r>
              <w:rPr>
                <w:sz w:val="18"/>
              </w:rPr>
              <w:t>0.831</w:t>
            </w:r>
          </w:p>
        </w:tc>
        <w:tc>
          <w:tcPr>
            <w:tcW w:type="dxa" w:w="1247"/>
            <w:shd w:val="clear" w:color="auto" w:fill="F3F6FB"/>
          </w:tcPr>
          <w:p>
            <w:pPr>
              <w:spacing w:after="0" w:line="240" w:lineRule="auto"/>
            </w:pPr>
            <w:r/>
            <w:r>
              <w:rPr>
                <w:sz w:val="18"/>
              </w:rPr>
              <w:t>0.02 s</w:t>
            </w:r>
          </w:p>
        </w:tc>
      </w:tr>
    </w:tbl>
    <w:p>
      <w:pPr>
        <w:spacing w:after="40"/>
      </w:pPr>
    </w:p>
    <w:p>
      <w:pPr>
        <w:keepNext/>
        <w:jc w:val="center"/>
      </w:pPr>
      <w:r>
        <w:drawing>
          <wp:inline xmlns:a="http://schemas.openxmlformats.org/drawingml/2006/main" xmlns:pic="http://schemas.openxmlformats.org/drawingml/2006/picture">
            <wp:extent cx="5220000" cy="2293106"/>
            <wp:docPr id="6" name="Picture 6"/>
            <wp:cNvGraphicFramePr>
              <a:graphicFrameLocks noChangeAspect="1"/>
            </wp:cNvGraphicFramePr>
            <a:graphic>
              <a:graphicData uri="http://schemas.openxmlformats.org/drawingml/2006/picture">
                <pic:pic>
                  <pic:nvPicPr>
                    <pic:cNvPr id="0" name="fig_comparison.png"/>
                    <pic:cNvPicPr/>
                  </pic:nvPicPr>
                  <pic:blipFill>
                    <a:blip r:embed="rId15"/>
                    <a:stretch>
                      <a:fillRect/>
                    </a:stretch>
                  </pic:blipFill>
                  <pic:spPr>
                    <a:xfrm>
                      <a:off x="0" y="0"/>
                      <a:ext cx="5220000" cy="2293106"/>
                    </a:xfrm>
                    <a:prstGeom prst="rect"/>
                  </pic:spPr>
                </pic:pic>
              </a:graphicData>
            </a:graphic>
          </wp:inline>
        </w:drawing>
      </w:r>
    </w:p>
    <w:p>
      <w:pPr>
        <w:spacing w:after="200"/>
        <w:jc w:val="center"/>
      </w:pPr>
      <w:r>
        <w:rPr>
          <w:b w:val="0"/>
          <w:i/>
          <w:color w:val="555F70"/>
          <w:sz w:val="18"/>
        </w:rPr>
        <w:t>Figure 6: Overall accuracy of the four configurations on the 60 test texts</w:t>
      </w:r>
    </w:p>
    <w:p>
      <w:pPr>
        <w:pStyle w:val="Heading2"/>
      </w:pPr>
      <w:r>
        <w:t>7.1 Default configuration (Groq · gpt-oss-120b)</w:t>
      </w:r>
    </w:p>
    <w:p>
      <w:r>
        <w:rPr>
          <w:b w:val="0"/>
          <w:i w:val="0"/>
        </w:rPr>
        <w:t xml:space="preserve">The default configuration classified </w:t>
      </w:r>
      <w:r>
        <w:rPr>
          <w:b/>
          <w:i w:val="0"/>
        </w:rPr>
        <w:t>58 of 60</w:t>
      </w:r>
      <w:r>
        <w:rPr>
          <w:b w:val="0"/>
          <w:i w:val="0"/>
        </w:rPr>
        <w:t xml:space="preserve"> texts as expected (96.7%, macro-F1 0.967).</w:t>
      </w:r>
    </w:p>
    <w:p>
      <w:pPr>
        <w:keepNext/>
        <w:spacing w:after="60"/>
      </w:pPr>
      <w:r>
        <w:rPr>
          <w:b/>
          <w:i w:val="0"/>
          <w:color w:val="555F70"/>
          <w:sz w:val="19"/>
        </w:rPr>
        <w:t>Table 11: Precision, recall and F1 per class – default configuration</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041"/>
            <w:shd w:val="clear" w:color="auto" w:fill="1F4FD8"/>
          </w:tcPr>
          <w:p>
            <w:r/>
            <w:r>
              <w:rPr>
                <w:b/>
                <w:color w:val="FFFFFF"/>
                <w:sz w:val="19"/>
              </w:rPr>
              <w:t>Class</w:t>
            </w:r>
          </w:p>
        </w:tc>
        <w:tc>
          <w:tcPr>
            <w:tcW w:type="dxa" w:w="1474"/>
            <w:shd w:val="clear" w:color="auto" w:fill="1F4FD8"/>
          </w:tcPr>
          <w:p>
            <w:r/>
            <w:r>
              <w:rPr>
                <w:b/>
                <w:color w:val="FFFFFF"/>
                <w:sz w:val="19"/>
              </w:rPr>
              <w:t>Precision</w:t>
            </w:r>
          </w:p>
        </w:tc>
        <w:tc>
          <w:tcPr>
            <w:tcW w:type="dxa" w:w="1474"/>
            <w:shd w:val="clear" w:color="auto" w:fill="1F4FD8"/>
          </w:tcPr>
          <w:p>
            <w:r/>
            <w:r>
              <w:rPr>
                <w:b/>
                <w:color w:val="FFFFFF"/>
                <w:sz w:val="19"/>
              </w:rPr>
              <w:t>Recall</w:t>
            </w:r>
          </w:p>
        </w:tc>
        <w:tc>
          <w:tcPr>
            <w:tcW w:type="dxa" w:w="1474"/>
            <w:shd w:val="clear" w:color="auto" w:fill="1F4FD8"/>
          </w:tcPr>
          <w:p>
            <w:r/>
            <w:r>
              <w:rPr>
                <w:b/>
                <w:color w:val="FFFFFF"/>
                <w:sz w:val="19"/>
              </w:rPr>
              <w:t>F1</w:t>
            </w:r>
          </w:p>
        </w:tc>
        <w:tc>
          <w:tcPr>
            <w:tcW w:type="dxa" w:w="1474"/>
            <w:shd w:val="clear" w:color="auto" w:fill="1F4FD8"/>
          </w:tcPr>
          <w:p>
            <w:r/>
            <w:r>
              <w:rPr>
                <w:b/>
                <w:color w:val="FFFFFF"/>
                <w:sz w:val="19"/>
              </w:rPr>
              <w:t>Texts</w:t>
            </w:r>
          </w:p>
        </w:tc>
      </w:tr>
      <w:tr>
        <w:tc>
          <w:tcPr>
            <w:tcW w:type="dxa" w:w="2041"/>
          </w:tcPr>
          <w:p>
            <w:pPr>
              <w:spacing w:after="0" w:line="240" w:lineRule="auto"/>
            </w:pPr>
            <w:r/>
            <w:r>
              <w:rPr>
                <w:b/>
                <w:sz w:val="19"/>
              </w:rPr>
              <w:t>Positive</w:t>
            </w:r>
          </w:p>
        </w:tc>
        <w:tc>
          <w:tcPr>
            <w:tcW w:type="dxa" w:w="1474"/>
          </w:tcPr>
          <w:p>
            <w:pPr>
              <w:spacing w:after="0" w:line="240" w:lineRule="auto"/>
            </w:pPr>
            <w:r/>
            <w:r>
              <w:rPr>
                <w:sz w:val="19"/>
              </w:rPr>
              <w:t>0.91</w:t>
            </w:r>
          </w:p>
        </w:tc>
        <w:tc>
          <w:tcPr>
            <w:tcW w:type="dxa" w:w="1474"/>
          </w:tcPr>
          <w:p>
            <w:pPr>
              <w:spacing w:after="0" w:line="240" w:lineRule="auto"/>
            </w:pPr>
            <w:r/>
            <w:r>
              <w:rPr>
                <w:sz w:val="19"/>
              </w:rPr>
              <w:t>1.00</w:t>
            </w:r>
          </w:p>
        </w:tc>
        <w:tc>
          <w:tcPr>
            <w:tcW w:type="dxa" w:w="1474"/>
          </w:tcPr>
          <w:p>
            <w:pPr>
              <w:spacing w:after="0" w:line="240" w:lineRule="auto"/>
            </w:pPr>
            <w:r/>
            <w:r>
              <w:rPr>
                <w:sz w:val="19"/>
              </w:rPr>
              <w:t>0.95</w:t>
            </w:r>
          </w:p>
        </w:tc>
        <w:tc>
          <w:tcPr>
            <w:tcW w:type="dxa" w:w="1474"/>
          </w:tcPr>
          <w:p>
            <w:pPr>
              <w:spacing w:after="0" w:line="240" w:lineRule="auto"/>
            </w:pPr>
            <w:r/>
            <w:r>
              <w:rPr>
                <w:sz w:val="19"/>
              </w:rPr>
              <w:t>20</w:t>
            </w:r>
          </w:p>
        </w:tc>
      </w:tr>
      <w:tr>
        <w:tc>
          <w:tcPr>
            <w:tcW w:type="dxa" w:w="2041"/>
            <w:shd w:val="clear" w:color="auto" w:fill="F3F6FB"/>
          </w:tcPr>
          <w:p>
            <w:pPr>
              <w:spacing w:after="0" w:line="240" w:lineRule="auto"/>
            </w:pPr>
            <w:r/>
            <w:r>
              <w:rPr>
                <w:b/>
                <w:sz w:val="19"/>
              </w:rPr>
              <w:t>Negative</w:t>
            </w:r>
          </w:p>
        </w:tc>
        <w:tc>
          <w:tcPr>
            <w:tcW w:type="dxa" w:w="1474"/>
            <w:shd w:val="clear" w:color="auto" w:fill="F3F6FB"/>
          </w:tcPr>
          <w:p>
            <w:pPr>
              <w:spacing w:after="0" w:line="240" w:lineRule="auto"/>
            </w:pPr>
            <w:r/>
            <w:r>
              <w:rPr>
                <w:sz w:val="19"/>
              </w:rPr>
              <w:t>1.00</w:t>
            </w:r>
          </w:p>
        </w:tc>
        <w:tc>
          <w:tcPr>
            <w:tcW w:type="dxa" w:w="1474"/>
            <w:shd w:val="clear" w:color="auto" w:fill="F3F6FB"/>
          </w:tcPr>
          <w:p>
            <w:pPr>
              <w:spacing w:after="0" w:line="240" w:lineRule="auto"/>
            </w:pPr>
            <w:r/>
            <w:r>
              <w:rPr>
                <w:sz w:val="19"/>
              </w:rPr>
              <w:t>1.00</w:t>
            </w:r>
          </w:p>
        </w:tc>
        <w:tc>
          <w:tcPr>
            <w:tcW w:type="dxa" w:w="1474"/>
            <w:shd w:val="clear" w:color="auto" w:fill="F3F6FB"/>
          </w:tcPr>
          <w:p>
            <w:pPr>
              <w:spacing w:after="0" w:line="240" w:lineRule="auto"/>
            </w:pPr>
            <w:r/>
            <w:r>
              <w:rPr>
                <w:sz w:val="19"/>
              </w:rPr>
              <w:t>1.00</w:t>
            </w:r>
          </w:p>
        </w:tc>
        <w:tc>
          <w:tcPr>
            <w:tcW w:type="dxa" w:w="1474"/>
            <w:shd w:val="clear" w:color="auto" w:fill="F3F6FB"/>
          </w:tcPr>
          <w:p>
            <w:pPr>
              <w:spacing w:after="0" w:line="240" w:lineRule="auto"/>
            </w:pPr>
            <w:r/>
            <w:r>
              <w:rPr>
                <w:sz w:val="19"/>
              </w:rPr>
              <w:t>20</w:t>
            </w:r>
          </w:p>
        </w:tc>
      </w:tr>
      <w:tr>
        <w:tc>
          <w:tcPr>
            <w:tcW w:type="dxa" w:w="2041"/>
          </w:tcPr>
          <w:p>
            <w:pPr>
              <w:spacing w:after="0" w:line="240" w:lineRule="auto"/>
            </w:pPr>
            <w:r/>
            <w:r>
              <w:rPr>
                <w:b/>
                <w:sz w:val="19"/>
              </w:rPr>
              <w:t>Neutral</w:t>
            </w:r>
          </w:p>
        </w:tc>
        <w:tc>
          <w:tcPr>
            <w:tcW w:type="dxa" w:w="1474"/>
          </w:tcPr>
          <w:p>
            <w:pPr>
              <w:spacing w:after="0" w:line="240" w:lineRule="auto"/>
            </w:pPr>
            <w:r/>
            <w:r>
              <w:rPr>
                <w:sz w:val="19"/>
              </w:rPr>
              <w:t>1.00</w:t>
            </w:r>
          </w:p>
        </w:tc>
        <w:tc>
          <w:tcPr>
            <w:tcW w:type="dxa" w:w="1474"/>
          </w:tcPr>
          <w:p>
            <w:pPr>
              <w:spacing w:after="0" w:line="240" w:lineRule="auto"/>
            </w:pPr>
            <w:r/>
            <w:r>
              <w:rPr>
                <w:sz w:val="19"/>
              </w:rPr>
              <w:t>0.90</w:t>
            </w:r>
          </w:p>
        </w:tc>
        <w:tc>
          <w:tcPr>
            <w:tcW w:type="dxa" w:w="1474"/>
          </w:tcPr>
          <w:p>
            <w:pPr>
              <w:spacing w:after="0" w:line="240" w:lineRule="auto"/>
            </w:pPr>
            <w:r/>
            <w:r>
              <w:rPr>
                <w:sz w:val="19"/>
              </w:rPr>
              <w:t>0.95</w:t>
            </w:r>
          </w:p>
        </w:tc>
        <w:tc>
          <w:tcPr>
            <w:tcW w:type="dxa" w:w="1474"/>
          </w:tcPr>
          <w:p>
            <w:pPr>
              <w:spacing w:after="0" w:line="240" w:lineRule="auto"/>
            </w:pPr>
            <w:r/>
            <w:r>
              <w:rPr>
                <w:sz w:val="19"/>
              </w:rPr>
              <w:t>20</w:t>
            </w:r>
          </w:p>
        </w:tc>
      </w:tr>
    </w:tbl>
    <w:p>
      <w:pPr>
        <w:spacing w:after="40"/>
      </w:pPr>
    </w:p>
    <w:p>
      <w:pPr>
        <w:keepNext/>
        <w:jc w:val="center"/>
      </w:pPr>
      <w:r>
        <w:drawing>
          <wp:inline xmlns:a="http://schemas.openxmlformats.org/drawingml/2006/main" xmlns:pic="http://schemas.openxmlformats.org/drawingml/2006/picture">
            <wp:extent cx="5760000" cy="1664000"/>
            <wp:docPr id="7" name="Picture 7"/>
            <wp:cNvGraphicFramePr>
              <a:graphicFrameLocks noChangeAspect="1"/>
            </wp:cNvGraphicFramePr>
            <a:graphic>
              <a:graphicData uri="http://schemas.openxmlformats.org/drawingml/2006/picture">
                <pic:pic>
                  <pic:nvPicPr>
                    <pic:cNvPr id="0" name="fig_confusion.png"/>
                    <pic:cNvPicPr/>
                  </pic:nvPicPr>
                  <pic:blipFill>
                    <a:blip r:embed="rId16"/>
                    <a:stretch>
                      <a:fillRect/>
                    </a:stretch>
                  </pic:blipFill>
                  <pic:spPr>
                    <a:xfrm>
                      <a:off x="0" y="0"/>
                      <a:ext cx="5760000" cy="1664000"/>
                    </a:xfrm>
                    <a:prstGeom prst="rect"/>
                  </pic:spPr>
                </pic:pic>
              </a:graphicData>
            </a:graphic>
          </wp:inline>
        </w:drawing>
      </w:r>
    </w:p>
    <w:p>
      <w:pPr>
        <w:spacing w:after="200"/>
        <w:jc w:val="center"/>
      </w:pPr>
      <w:r>
        <w:rPr>
          <w:b w:val="0"/>
          <w:i/>
          <w:color w:val="555F70"/>
          <w:sz w:val="18"/>
        </w:rPr>
        <w:t>Figure 7: Confusion matrices of the four configurations (rows = expected, columns = predicted)</w:t>
      </w:r>
    </w:p>
    <w:p>
      <w:pPr>
        <w:keepNext/>
        <w:spacing w:after="60"/>
      </w:pPr>
      <w:r>
        <w:rPr>
          <w:b/>
          <w:i w:val="0"/>
          <w:color w:val="555F70"/>
          <w:sz w:val="19"/>
        </w:rPr>
        <w:t>Table 12: Correct predictions by text type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381"/>
            <w:shd w:val="clear" w:color="auto" w:fill="1F4FD8"/>
          </w:tcPr>
          <w:p>
            <w:r/>
            <w:r>
              <w:rPr>
                <w:b/>
                <w:color w:val="FFFFFF"/>
                <w:sz w:val="19"/>
              </w:rPr>
              <w:t>Text type</w:t>
            </w:r>
          </w:p>
        </w:tc>
        <w:tc>
          <w:tcPr>
            <w:tcW w:type="dxa" w:w="1757"/>
            <w:shd w:val="clear" w:color="auto" w:fill="1F4FD8"/>
          </w:tcPr>
          <w:p>
            <w:r/>
            <w:r>
              <w:rPr>
                <w:b/>
                <w:color w:val="FFFFFF"/>
                <w:sz w:val="19"/>
              </w:rPr>
              <w:t>Groq gpt-oss-120b</w:t>
            </w:r>
          </w:p>
        </w:tc>
        <w:tc>
          <w:tcPr>
            <w:tcW w:type="dxa" w:w="1757"/>
            <w:shd w:val="clear" w:color="auto" w:fill="1F4FD8"/>
          </w:tcPr>
          <w:p>
            <w:r/>
            <w:r>
              <w:rPr>
                <w:b/>
                <w:color w:val="FFFFFF"/>
                <w:sz w:val="19"/>
              </w:rPr>
              <w:t>Qwen2.5-1.5B-Instruct FS</w:t>
            </w:r>
          </w:p>
        </w:tc>
        <w:tc>
          <w:tcPr>
            <w:tcW w:type="dxa" w:w="1757"/>
            <w:shd w:val="clear" w:color="auto" w:fill="1F4FD8"/>
          </w:tcPr>
          <w:p>
            <w:r/>
            <w:r>
              <w:rPr>
                <w:b/>
                <w:color w:val="FFFFFF"/>
                <w:sz w:val="19"/>
              </w:rPr>
              <w:t>Qwen2.5-1.5B-Instruct ZS</w:t>
            </w:r>
          </w:p>
        </w:tc>
        <w:tc>
          <w:tcPr>
            <w:tcW w:type="dxa" w:w="1757"/>
            <w:shd w:val="clear" w:color="auto" w:fill="1F4FD8"/>
          </w:tcPr>
          <w:p>
            <w:r/>
            <w:r>
              <w:rPr>
                <w:b/>
                <w:color w:val="FFFFFF"/>
                <w:sz w:val="19"/>
              </w:rPr>
              <w:t>FinBERT</w:t>
            </w:r>
          </w:p>
        </w:tc>
      </w:tr>
      <w:tr>
        <w:tc>
          <w:tcPr>
            <w:tcW w:type="dxa" w:w="2381"/>
          </w:tcPr>
          <w:p>
            <w:pPr>
              <w:spacing w:after="0" w:line="240" w:lineRule="auto"/>
            </w:pPr>
            <w:r/>
            <w:r>
              <w:rPr>
                <w:b/>
                <w:sz w:val="19"/>
              </w:rPr>
              <w:t>Financial news</w:t>
            </w:r>
          </w:p>
        </w:tc>
        <w:tc>
          <w:tcPr>
            <w:tcW w:type="dxa" w:w="1757"/>
          </w:tcPr>
          <w:p>
            <w:pPr>
              <w:spacing w:after="0" w:line="240" w:lineRule="auto"/>
            </w:pPr>
            <w:r/>
            <w:r>
              <w:rPr>
                <w:sz w:val="19"/>
              </w:rPr>
              <w:t>11 / 12</w:t>
            </w:r>
          </w:p>
        </w:tc>
        <w:tc>
          <w:tcPr>
            <w:tcW w:type="dxa" w:w="1757"/>
          </w:tcPr>
          <w:p>
            <w:pPr>
              <w:spacing w:after="0" w:line="240" w:lineRule="auto"/>
            </w:pPr>
            <w:r/>
            <w:r>
              <w:rPr>
                <w:sz w:val="19"/>
              </w:rPr>
              <w:t>12 / 12</w:t>
            </w:r>
          </w:p>
        </w:tc>
        <w:tc>
          <w:tcPr>
            <w:tcW w:type="dxa" w:w="1757"/>
          </w:tcPr>
          <w:p>
            <w:pPr>
              <w:spacing w:after="0" w:line="240" w:lineRule="auto"/>
            </w:pPr>
            <w:r/>
            <w:r>
              <w:rPr>
                <w:sz w:val="19"/>
              </w:rPr>
              <w:t>12 / 12</w:t>
            </w:r>
          </w:p>
        </w:tc>
        <w:tc>
          <w:tcPr>
            <w:tcW w:type="dxa" w:w="1757"/>
          </w:tcPr>
          <w:p>
            <w:pPr>
              <w:spacing w:after="0" w:line="240" w:lineRule="auto"/>
            </w:pPr>
            <w:r/>
            <w:r>
              <w:rPr>
                <w:sz w:val="19"/>
              </w:rPr>
              <w:t>10 / 12</w:t>
            </w:r>
          </w:p>
        </w:tc>
      </w:tr>
      <w:tr>
        <w:tc>
          <w:tcPr>
            <w:tcW w:type="dxa" w:w="2381"/>
            <w:shd w:val="clear" w:color="auto" w:fill="F3F6FB"/>
          </w:tcPr>
          <w:p>
            <w:pPr>
              <w:spacing w:after="0" w:line="240" w:lineRule="auto"/>
            </w:pPr>
            <w:r/>
            <w:r>
              <w:rPr>
                <w:b/>
                <w:sz w:val="19"/>
              </w:rPr>
              <w:t>Company announcement</w:t>
            </w:r>
          </w:p>
        </w:tc>
        <w:tc>
          <w:tcPr>
            <w:tcW w:type="dxa" w:w="1757"/>
            <w:shd w:val="clear" w:color="auto" w:fill="F3F6FB"/>
          </w:tcPr>
          <w:p>
            <w:pPr>
              <w:spacing w:after="0" w:line="240" w:lineRule="auto"/>
            </w:pPr>
            <w:r/>
            <w:r>
              <w:rPr>
                <w:sz w:val="19"/>
              </w:rPr>
              <w:t>12 / 12</w:t>
            </w:r>
          </w:p>
        </w:tc>
        <w:tc>
          <w:tcPr>
            <w:tcW w:type="dxa" w:w="1757"/>
            <w:shd w:val="clear" w:color="auto" w:fill="F3F6FB"/>
          </w:tcPr>
          <w:p>
            <w:pPr>
              <w:spacing w:after="0" w:line="240" w:lineRule="auto"/>
            </w:pPr>
            <w:r/>
            <w:r>
              <w:rPr>
                <w:sz w:val="19"/>
              </w:rPr>
              <w:t>12 / 12</w:t>
            </w:r>
          </w:p>
        </w:tc>
        <w:tc>
          <w:tcPr>
            <w:tcW w:type="dxa" w:w="1757"/>
            <w:shd w:val="clear" w:color="auto" w:fill="F3F6FB"/>
          </w:tcPr>
          <w:p>
            <w:pPr>
              <w:spacing w:after="0" w:line="240" w:lineRule="auto"/>
            </w:pPr>
            <w:r/>
            <w:r>
              <w:rPr>
                <w:sz w:val="19"/>
              </w:rPr>
              <w:t>12 / 12</w:t>
            </w:r>
          </w:p>
        </w:tc>
        <w:tc>
          <w:tcPr>
            <w:tcW w:type="dxa" w:w="1757"/>
            <w:shd w:val="clear" w:color="auto" w:fill="F3F6FB"/>
          </w:tcPr>
          <w:p>
            <w:pPr>
              <w:spacing w:after="0" w:line="240" w:lineRule="auto"/>
            </w:pPr>
            <w:r/>
            <w:r>
              <w:rPr>
                <w:sz w:val="19"/>
              </w:rPr>
              <w:t>12 / 12</w:t>
            </w:r>
          </w:p>
        </w:tc>
      </w:tr>
      <w:tr>
        <w:tc>
          <w:tcPr>
            <w:tcW w:type="dxa" w:w="2381"/>
          </w:tcPr>
          <w:p>
            <w:pPr>
              <w:spacing w:after="0" w:line="240" w:lineRule="auto"/>
            </w:pPr>
            <w:r/>
            <w:r>
              <w:rPr>
                <w:b/>
                <w:sz w:val="19"/>
              </w:rPr>
              <w:t>Analyst commentary</w:t>
            </w:r>
          </w:p>
        </w:tc>
        <w:tc>
          <w:tcPr>
            <w:tcW w:type="dxa" w:w="1757"/>
          </w:tcPr>
          <w:p>
            <w:pPr>
              <w:spacing w:after="0" w:line="240" w:lineRule="auto"/>
            </w:pPr>
            <w:r/>
            <w:r>
              <w:rPr>
                <w:sz w:val="19"/>
              </w:rPr>
              <w:t>12 / 12</w:t>
            </w:r>
          </w:p>
        </w:tc>
        <w:tc>
          <w:tcPr>
            <w:tcW w:type="dxa" w:w="1757"/>
          </w:tcPr>
          <w:p>
            <w:pPr>
              <w:spacing w:after="0" w:line="240" w:lineRule="auto"/>
            </w:pPr>
            <w:r/>
            <w:r>
              <w:rPr>
                <w:sz w:val="19"/>
              </w:rPr>
              <w:t>12 / 12</w:t>
            </w:r>
          </w:p>
        </w:tc>
        <w:tc>
          <w:tcPr>
            <w:tcW w:type="dxa" w:w="1757"/>
          </w:tcPr>
          <w:p>
            <w:pPr>
              <w:spacing w:after="0" w:line="240" w:lineRule="auto"/>
            </w:pPr>
            <w:r/>
            <w:r>
              <w:rPr>
                <w:sz w:val="19"/>
              </w:rPr>
              <w:t>11 / 12</w:t>
            </w:r>
          </w:p>
        </w:tc>
        <w:tc>
          <w:tcPr>
            <w:tcW w:type="dxa" w:w="1757"/>
          </w:tcPr>
          <w:p>
            <w:pPr>
              <w:spacing w:after="0" w:line="240" w:lineRule="auto"/>
            </w:pPr>
            <w:r/>
            <w:r>
              <w:rPr>
                <w:sz w:val="19"/>
              </w:rPr>
              <w:t>9 / 12</w:t>
            </w:r>
          </w:p>
        </w:tc>
      </w:tr>
      <w:tr>
        <w:tc>
          <w:tcPr>
            <w:tcW w:type="dxa" w:w="2381"/>
            <w:shd w:val="clear" w:color="auto" w:fill="F3F6FB"/>
          </w:tcPr>
          <w:p>
            <w:pPr>
              <w:spacing w:after="0" w:line="240" w:lineRule="auto"/>
            </w:pPr>
            <w:r/>
            <w:r>
              <w:rPr>
                <w:b/>
                <w:sz w:val="19"/>
              </w:rPr>
              <w:t>Investor comment</w:t>
            </w:r>
          </w:p>
        </w:tc>
        <w:tc>
          <w:tcPr>
            <w:tcW w:type="dxa" w:w="1757"/>
            <w:shd w:val="clear" w:color="auto" w:fill="F3F6FB"/>
          </w:tcPr>
          <w:p>
            <w:pPr>
              <w:spacing w:after="0" w:line="240" w:lineRule="auto"/>
            </w:pPr>
            <w:r/>
            <w:r>
              <w:rPr>
                <w:sz w:val="19"/>
              </w:rPr>
              <w:t>12 / 12</w:t>
            </w:r>
          </w:p>
        </w:tc>
        <w:tc>
          <w:tcPr>
            <w:tcW w:type="dxa" w:w="1757"/>
            <w:shd w:val="clear" w:color="auto" w:fill="F3F6FB"/>
          </w:tcPr>
          <w:p>
            <w:pPr>
              <w:spacing w:after="0" w:line="240" w:lineRule="auto"/>
            </w:pPr>
            <w:r/>
            <w:r>
              <w:rPr>
                <w:sz w:val="19"/>
              </w:rPr>
              <w:t>12 / 12</w:t>
            </w:r>
          </w:p>
        </w:tc>
        <w:tc>
          <w:tcPr>
            <w:tcW w:type="dxa" w:w="1757"/>
            <w:shd w:val="clear" w:color="auto" w:fill="F3F6FB"/>
          </w:tcPr>
          <w:p>
            <w:pPr>
              <w:spacing w:after="0" w:line="240" w:lineRule="auto"/>
            </w:pPr>
            <w:r/>
            <w:r>
              <w:rPr>
                <w:sz w:val="19"/>
              </w:rPr>
              <w:t>12 / 12</w:t>
            </w:r>
          </w:p>
        </w:tc>
        <w:tc>
          <w:tcPr>
            <w:tcW w:type="dxa" w:w="1757"/>
            <w:shd w:val="clear" w:color="auto" w:fill="F3F6FB"/>
          </w:tcPr>
          <w:p>
            <w:pPr>
              <w:spacing w:after="0" w:line="240" w:lineRule="auto"/>
            </w:pPr>
            <w:r/>
            <w:r>
              <w:rPr>
                <w:sz w:val="19"/>
              </w:rPr>
              <w:t>10 / 12</w:t>
            </w:r>
          </w:p>
        </w:tc>
      </w:tr>
      <w:tr>
        <w:tc>
          <w:tcPr>
            <w:tcW w:type="dxa" w:w="2381"/>
          </w:tcPr>
          <w:p>
            <w:pPr>
              <w:spacing w:after="0" w:line="240" w:lineRule="auto"/>
            </w:pPr>
            <w:r/>
            <w:r>
              <w:rPr>
                <w:b/>
                <w:sz w:val="19"/>
              </w:rPr>
              <w:t>Social-media comment</w:t>
            </w:r>
          </w:p>
        </w:tc>
        <w:tc>
          <w:tcPr>
            <w:tcW w:type="dxa" w:w="1757"/>
          </w:tcPr>
          <w:p>
            <w:pPr>
              <w:spacing w:after="0" w:line="240" w:lineRule="auto"/>
            </w:pPr>
            <w:r/>
            <w:r>
              <w:rPr>
                <w:sz w:val="19"/>
              </w:rPr>
              <w:t>11 / 12</w:t>
            </w:r>
          </w:p>
        </w:tc>
        <w:tc>
          <w:tcPr>
            <w:tcW w:type="dxa" w:w="1757"/>
          </w:tcPr>
          <w:p>
            <w:pPr>
              <w:spacing w:after="0" w:line="240" w:lineRule="auto"/>
            </w:pPr>
            <w:r/>
            <w:r>
              <w:rPr>
                <w:sz w:val="19"/>
              </w:rPr>
              <w:t>12 / 12</w:t>
            </w:r>
          </w:p>
        </w:tc>
        <w:tc>
          <w:tcPr>
            <w:tcW w:type="dxa" w:w="1757"/>
          </w:tcPr>
          <w:p>
            <w:pPr>
              <w:spacing w:after="0" w:line="240" w:lineRule="auto"/>
            </w:pPr>
            <w:r/>
            <w:r>
              <w:rPr>
                <w:sz w:val="19"/>
              </w:rPr>
              <w:t>11 / 12</w:t>
            </w:r>
          </w:p>
        </w:tc>
        <w:tc>
          <w:tcPr>
            <w:tcW w:type="dxa" w:w="1757"/>
          </w:tcPr>
          <w:p>
            <w:pPr>
              <w:spacing w:after="0" w:line="240" w:lineRule="auto"/>
            </w:pPr>
            <w:r/>
            <w:r>
              <w:rPr>
                <w:sz w:val="19"/>
              </w:rPr>
              <w:t>9 / 12</w:t>
            </w:r>
          </w:p>
        </w:tc>
      </w:tr>
    </w:tbl>
    <w:p>
      <w:pPr>
        <w:spacing w:after="40"/>
      </w:pPr>
    </w:p>
    <w:p>
      <w:pPr>
        <w:keepNext/>
        <w:jc w:val="center"/>
      </w:pPr>
      <w:r>
        <w:drawing>
          <wp:inline xmlns:a="http://schemas.openxmlformats.org/drawingml/2006/main" xmlns:pic="http://schemas.openxmlformats.org/drawingml/2006/picture">
            <wp:extent cx="5616000" cy="6194118"/>
            <wp:docPr id="8" name="Picture 8"/>
            <wp:cNvGraphicFramePr>
              <a:graphicFrameLocks noChangeAspect="1"/>
            </wp:cNvGraphicFramePr>
            <a:graphic>
              <a:graphicData uri="http://schemas.openxmlformats.org/drawingml/2006/picture">
                <pic:pic>
                  <pic:nvPicPr>
                    <pic:cNvPr id="0" name="shot_tests.png"/>
                    <pic:cNvPicPr/>
                  </pic:nvPicPr>
                  <pic:blipFill>
                    <a:blip r:embed="rId17"/>
                    <a:stretch>
                      <a:fillRect/>
                    </a:stretch>
                  </pic:blipFill>
                  <pic:spPr>
                    <a:xfrm>
                      <a:off x="0" y="0"/>
                      <a:ext cx="5616000" cy="6194118"/>
                    </a:xfrm>
                    <a:prstGeom prst="rect"/>
                  </pic:spPr>
                </pic:pic>
              </a:graphicData>
            </a:graphic>
          </wp:inline>
        </w:drawing>
      </w:r>
    </w:p>
    <w:p>
      <w:pPr>
        <w:spacing w:after="200"/>
        <w:jc w:val="center"/>
      </w:pPr>
      <w:r>
        <w:rPr>
          <w:b w:val="0"/>
          <w:i/>
          <w:color w:val="555F70"/>
          <w:sz w:val="18"/>
        </w:rPr>
        <w:t>Figure 8: Test Results page of the application</w:t>
      </w:r>
    </w:p>
    <w:p>
      <w:pPr>
        <w:pStyle w:val="Heading2"/>
      </w:pPr>
      <w:r>
        <w:t>7.2 Effect of prompt engineering</w:t>
      </w:r>
    </w:p>
    <w:p>
      <w:r>
        <w:rPr>
          <w:b w:val="0"/>
          <w:i w:val="0"/>
        </w:rPr>
        <w:t>With the same local model, the engineered few-shot prompt scored 60/60 and the minimal zero-shot prompt 58/60. The texts the zero-shot prompt got wrong are the ones the added rules and examples target:</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10"/>
            <w:shd w:val="clear" w:color="auto" w:fill="1F4FD8"/>
          </w:tcPr>
          <w:p>
            <w:r/>
            <w:r>
              <w:rPr>
                <w:b/>
                <w:color w:val="FFFFFF"/>
                <w:sz w:val="17"/>
              </w:rPr>
              <w:t>#</w:t>
            </w:r>
          </w:p>
        </w:tc>
        <w:tc>
          <w:tcPr>
            <w:tcW w:type="dxa" w:w="5386"/>
            <w:shd w:val="clear" w:color="auto" w:fill="1F4FD8"/>
          </w:tcPr>
          <w:p>
            <w:r/>
            <w:r>
              <w:rPr>
                <w:b/>
                <w:color w:val="FFFFFF"/>
                <w:sz w:val="17"/>
              </w:rPr>
              <w:t>Text (shortened)</w:t>
            </w:r>
          </w:p>
        </w:tc>
        <w:tc>
          <w:tcPr>
            <w:tcW w:type="dxa" w:w="1134"/>
            <w:shd w:val="clear" w:color="auto" w:fill="1F4FD8"/>
          </w:tcPr>
          <w:p>
            <w:r/>
            <w:r>
              <w:rPr>
                <w:b/>
                <w:color w:val="FFFFFF"/>
                <w:sz w:val="17"/>
              </w:rPr>
              <w:t>Expected</w:t>
            </w:r>
          </w:p>
        </w:tc>
        <w:tc>
          <w:tcPr>
            <w:tcW w:type="dxa" w:w="1191"/>
            <w:shd w:val="clear" w:color="auto" w:fill="1F4FD8"/>
          </w:tcPr>
          <w:p>
            <w:r/>
            <w:r>
              <w:rPr>
                <w:b/>
                <w:color w:val="FFFFFF"/>
                <w:sz w:val="17"/>
              </w:rPr>
              <w:t>Zero-shot</w:t>
            </w:r>
          </w:p>
        </w:tc>
        <w:tc>
          <w:tcPr>
            <w:tcW w:type="dxa" w:w="1191"/>
            <w:shd w:val="clear" w:color="auto" w:fill="1F4FD8"/>
          </w:tcPr>
          <w:p>
            <w:r/>
            <w:r>
              <w:rPr>
                <w:b/>
                <w:color w:val="FFFFFF"/>
                <w:sz w:val="17"/>
              </w:rPr>
              <w:t>Few-shot</w:t>
            </w:r>
          </w:p>
        </w:tc>
      </w:tr>
      <w:tr>
        <w:tc>
          <w:tcPr>
            <w:tcW w:type="dxa" w:w="510"/>
          </w:tcPr>
          <w:p>
            <w:pPr>
              <w:spacing w:after="0" w:line="240" w:lineRule="auto"/>
            </w:pPr>
            <w:r/>
            <w:r>
              <w:rPr>
                <w:sz w:val="17"/>
              </w:rPr>
              <w:t>33</w:t>
            </w:r>
          </w:p>
        </w:tc>
        <w:tc>
          <w:tcPr>
            <w:tcW w:type="dxa" w:w="5386"/>
          </w:tcPr>
          <w:p>
            <w:pPr>
              <w:spacing w:after="0" w:line="240" w:lineRule="auto"/>
            </w:pPr>
            <w:r/>
            <w:r>
              <w:rPr>
                <w:sz w:val="17"/>
              </w:rPr>
              <w:t>We maintain our HOLD rating on Meridian Finance with an unchanged target price. Loan growth and margins are tracking our estimates, and the current va…</w:t>
            </w:r>
          </w:p>
        </w:tc>
        <w:tc>
          <w:tcPr>
            <w:tcW w:type="dxa" w:w="1134"/>
          </w:tcPr>
          <w:p>
            <w:pPr>
              <w:spacing w:after="0" w:line="240" w:lineRule="auto"/>
            </w:pPr>
            <w:r/>
            <w:r>
              <w:rPr>
                <w:sz w:val="17"/>
              </w:rPr>
              <w:t>Neutral</w:t>
            </w:r>
          </w:p>
        </w:tc>
        <w:tc>
          <w:tcPr>
            <w:tcW w:type="dxa" w:w="1191"/>
          </w:tcPr>
          <w:p>
            <w:pPr>
              <w:spacing w:after="0" w:line="240" w:lineRule="auto"/>
            </w:pPr>
            <w:r/>
            <w:r>
              <w:rPr>
                <w:sz w:val="17"/>
              </w:rPr>
              <w:t>Positive</w:t>
            </w:r>
          </w:p>
        </w:tc>
        <w:tc>
          <w:tcPr>
            <w:tcW w:type="dxa" w:w="1191"/>
          </w:tcPr>
          <w:p>
            <w:pPr>
              <w:spacing w:after="0" w:line="240" w:lineRule="auto"/>
            </w:pPr>
            <w:r/>
            <w:r>
              <w:rPr>
                <w:sz w:val="17"/>
              </w:rPr>
              <w:t>Neutral</w:t>
            </w:r>
          </w:p>
        </w:tc>
      </w:tr>
      <w:tr>
        <w:tc>
          <w:tcPr>
            <w:tcW w:type="dxa" w:w="510"/>
            <w:shd w:val="clear" w:color="auto" w:fill="F3F6FB"/>
          </w:tcPr>
          <w:p>
            <w:pPr>
              <w:spacing w:after="0" w:line="240" w:lineRule="auto"/>
            </w:pPr>
            <w:r/>
            <w:r>
              <w:rPr>
                <w:sz w:val="17"/>
              </w:rPr>
              <w:t>54</w:t>
            </w:r>
          </w:p>
        </w:tc>
        <w:tc>
          <w:tcPr>
            <w:tcW w:type="dxa" w:w="5386"/>
            <w:shd w:val="clear" w:color="auto" w:fill="F3F6FB"/>
          </w:tcPr>
          <w:p>
            <w:pPr>
              <w:spacing w:after="0" w:line="240" w:lineRule="auto"/>
            </w:pPr>
            <w:r/>
            <w:r>
              <w:rPr>
                <w:sz w:val="17"/>
              </w:rPr>
              <w:t>Auditor quits, CFO quits... wow, Lotus Retail is really setting new standards in corporate governance 👏👏 Can't wait to see what else they're hiding lo…</w:t>
            </w:r>
          </w:p>
        </w:tc>
        <w:tc>
          <w:tcPr>
            <w:tcW w:type="dxa" w:w="1134"/>
            <w:shd w:val="clear" w:color="auto" w:fill="F3F6FB"/>
          </w:tcPr>
          <w:p>
            <w:pPr>
              <w:spacing w:after="0" w:line="240" w:lineRule="auto"/>
            </w:pPr>
            <w:r/>
            <w:r>
              <w:rPr>
                <w:sz w:val="17"/>
              </w:rPr>
              <w:t>Negative</w:t>
            </w:r>
          </w:p>
        </w:tc>
        <w:tc>
          <w:tcPr>
            <w:tcW w:type="dxa" w:w="1191"/>
            <w:shd w:val="clear" w:color="auto" w:fill="F3F6FB"/>
          </w:tcPr>
          <w:p>
            <w:pPr>
              <w:spacing w:after="0" w:line="240" w:lineRule="auto"/>
            </w:pPr>
            <w:r/>
            <w:r>
              <w:rPr>
                <w:sz w:val="17"/>
              </w:rPr>
              <w:t>Positive</w:t>
            </w:r>
          </w:p>
        </w:tc>
        <w:tc>
          <w:tcPr>
            <w:tcW w:type="dxa" w:w="1191"/>
            <w:shd w:val="clear" w:color="auto" w:fill="F3F6FB"/>
          </w:tcPr>
          <w:p>
            <w:pPr>
              <w:spacing w:after="0" w:line="240" w:lineRule="auto"/>
            </w:pPr>
            <w:r/>
            <w:r>
              <w:rPr>
                <w:sz w:val="17"/>
              </w:rPr>
              <w:t>Negative</w:t>
            </w:r>
          </w:p>
        </w:tc>
      </w:tr>
    </w:tbl>
    <w:p>
      <w:pPr>
        <w:spacing w:after="40"/>
      </w:pPr>
    </w:p>
    <w:p>
      <w:r>
        <w:rPr>
          <w:b w:val="0"/>
          <w:i w:val="0"/>
        </w:rPr>
        <w:t>The sarcastic post was read literally without the sarcasm rule and example, and an unchanged HOLD rating was read as good news without the definition of Neutral. The few-shot prompt is longer, so the local model needs more time per text (median 9.6 s against 2.8 s).</w:t>
      </w:r>
    </w:p>
    <w:p>
      <w:pPr>
        <w:pStyle w:val="Heading2"/>
      </w:pPr>
      <w:r>
        <w:t>7.3 LLM versus FinBERT</w:t>
      </w:r>
    </w:p>
    <w:p>
      <w:r>
        <w:rPr>
          <w:b w:val="0"/>
          <w:i w:val="0"/>
        </w:rPr>
        <w:t>FinBERT, a classifier trained on financial news, reached 50/60 (83.3%). 6 of its 10 errors are Neutral texts predicted as Positive or Negative: it reacts to individual words such as "offset", "weak" or "excluded" and does not weigh a balanced statement. It also missed slang ("rug pull", "bagholder", "super bullish" were predicted Neutral) and the statement that losses are shrinking (predicted Negative). It was perfect on formal company announcements, the kind of text it was trained on. The prompted LLMs handle these cases because the instruction tells them what to judge, and they also return the company and an explanation, which FinBERT cannot. FinBERT is by far the fastest (21 ms per text).</w:t>
      </w:r>
    </w:p>
    <w:p>
      <w:pPr>
        <w:pStyle w:val="Heading2"/>
      </w:pPr>
      <w:r>
        <w:t>7.4 Error analysis of the default configuration</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trPr>
        <w:tc>
          <w:tcPr>
            <w:tcW w:type="dxa" w:w="454"/>
            <w:shd w:val="clear" w:color="auto" w:fill="1F4FD8"/>
          </w:tcPr>
          <w:p>
            <w:r/>
            <w:r>
              <w:rPr>
                <w:b/>
                <w:color w:val="FFFFFF"/>
                <w:sz w:val="16"/>
              </w:rPr>
              <w:t>#</w:t>
            </w:r>
          </w:p>
        </w:tc>
        <w:tc>
          <w:tcPr>
            <w:tcW w:type="dxa" w:w="1247"/>
            <w:shd w:val="clear" w:color="auto" w:fill="1F4FD8"/>
          </w:tcPr>
          <w:p>
            <w:r/>
            <w:r>
              <w:rPr>
                <w:b/>
                <w:color w:val="FFFFFF"/>
                <w:sz w:val="16"/>
              </w:rPr>
              <w:t>Type</w:t>
            </w:r>
          </w:p>
        </w:tc>
        <w:tc>
          <w:tcPr>
            <w:tcW w:type="dxa" w:w="3175"/>
            <w:shd w:val="clear" w:color="auto" w:fill="1F4FD8"/>
          </w:tcPr>
          <w:p>
            <w:r/>
            <w:r>
              <w:rPr>
                <w:b/>
                <w:color w:val="FFFFFF"/>
                <w:sz w:val="16"/>
              </w:rPr>
              <w:t>Text</w:t>
            </w:r>
          </w:p>
        </w:tc>
        <w:tc>
          <w:tcPr>
            <w:tcW w:type="dxa" w:w="964"/>
            <w:shd w:val="clear" w:color="auto" w:fill="1F4FD8"/>
          </w:tcPr>
          <w:p>
            <w:r/>
            <w:r>
              <w:rPr>
                <w:b/>
                <w:color w:val="FFFFFF"/>
                <w:sz w:val="16"/>
              </w:rPr>
              <w:t>Expected</w:t>
            </w:r>
          </w:p>
        </w:tc>
        <w:tc>
          <w:tcPr>
            <w:tcW w:type="dxa" w:w="964"/>
            <w:shd w:val="clear" w:color="auto" w:fill="1F4FD8"/>
          </w:tcPr>
          <w:p>
            <w:r/>
            <w:r>
              <w:rPr>
                <w:b/>
                <w:color w:val="FFFFFF"/>
                <w:sz w:val="16"/>
              </w:rPr>
              <w:t>Predicted</w:t>
            </w:r>
          </w:p>
        </w:tc>
        <w:tc>
          <w:tcPr>
            <w:tcW w:type="dxa" w:w="2608"/>
            <w:shd w:val="clear" w:color="auto" w:fill="1F4FD8"/>
          </w:tcPr>
          <w:p>
            <w:r/>
            <w:r>
              <w:rPr>
                <w:b/>
                <w:color w:val="FFFFFF"/>
                <w:sz w:val="16"/>
              </w:rPr>
              <w:t>Model's reasoning</w:t>
            </w:r>
          </w:p>
        </w:tc>
      </w:tr>
      <w:tr>
        <w:tc>
          <w:tcPr>
            <w:tcW w:type="dxa" w:w="454"/>
          </w:tcPr>
          <w:p>
            <w:pPr>
              <w:spacing w:after="0" w:line="240" w:lineRule="auto"/>
            </w:pPr>
            <w:r/>
            <w:r>
              <w:rPr>
                <w:sz w:val="16"/>
              </w:rPr>
              <w:t>12</w:t>
            </w:r>
          </w:p>
        </w:tc>
        <w:tc>
          <w:tcPr>
            <w:tcW w:type="dxa" w:w="1247"/>
          </w:tcPr>
          <w:p>
            <w:pPr>
              <w:spacing w:after="0" w:line="240" w:lineRule="auto"/>
            </w:pPr>
            <w:r/>
            <w:r>
              <w:rPr>
                <w:sz w:val="16"/>
              </w:rPr>
              <w:t>Financial news</w:t>
            </w:r>
          </w:p>
        </w:tc>
        <w:tc>
          <w:tcPr>
            <w:tcW w:type="dxa" w:w="3175"/>
          </w:tcPr>
          <w:p>
            <w:pPr>
              <w:spacing w:after="0" w:line="240" w:lineRule="auto"/>
            </w:pPr>
            <w:r/>
            <w:r>
              <w:rPr>
                <w:sz w:val="16"/>
              </w:rPr>
              <w:t>Nexus Telecom's shares will be included in the Nifty Midcap 150 index and excluded from the Nifty Smallcap 250 index as part of the semi-annual index rebalancing effective from next month.</w:t>
            </w:r>
          </w:p>
        </w:tc>
        <w:tc>
          <w:tcPr>
            <w:tcW w:type="dxa" w:w="964"/>
          </w:tcPr>
          <w:p>
            <w:pPr>
              <w:spacing w:after="0" w:line="240" w:lineRule="auto"/>
            </w:pPr>
            <w:r/>
            <w:r>
              <w:rPr>
                <w:sz w:val="16"/>
              </w:rPr>
              <w:t>Neutral</w:t>
            </w:r>
          </w:p>
        </w:tc>
        <w:tc>
          <w:tcPr>
            <w:tcW w:type="dxa" w:w="964"/>
          </w:tcPr>
          <w:p>
            <w:pPr>
              <w:spacing w:after="0" w:line="240" w:lineRule="auto"/>
            </w:pPr>
            <w:r/>
            <w:r>
              <w:rPr>
                <w:sz w:val="16"/>
              </w:rPr>
              <w:t>Positive</w:t>
            </w:r>
          </w:p>
        </w:tc>
        <w:tc>
          <w:tcPr>
            <w:tcW w:type="dxa" w:w="2608"/>
          </w:tcPr>
          <w:p>
            <w:pPr>
              <w:spacing w:after="0" w:line="240" w:lineRule="auto"/>
            </w:pPr>
            <w:r/>
            <w:r>
              <w:rPr>
                <w:sz w:val="16"/>
              </w:rPr>
              <w:t>Being moved into the Nifty Midcap 150 index raises the company's visibility among institutional investors and signals a perceived upgrade in market capitalization, which is generally viewed favorably by investors. The exclusion from the Smallcap index is a natural consequence of the upgrade and does not imply a negative development. Hence the overall implication for Nexus Telecom's share price outlook is positive.</w:t>
            </w:r>
          </w:p>
        </w:tc>
      </w:tr>
      <w:tr>
        <w:tc>
          <w:tcPr>
            <w:tcW w:type="dxa" w:w="454"/>
            <w:shd w:val="clear" w:color="auto" w:fill="F3F6FB"/>
          </w:tcPr>
          <w:p>
            <w:pPr>
              <w:spacing w:after="0" w:line="240" w:lineRule="auto"/>
            </w:pPr>
            <w:r/>
            <w:r>
              <w:rPr>
                <w:sz w:val="16"/>
              </w:rPr>
              <w:t>60</w:t>
            </w:r>
          </w:p>
        </w:tc>
        <w:tc>
          <w:tcPr>
            <w:tcW w:type="dxa" w:w="1247"/>
            <w:shd w:val="clear" w:color="auto" w:fill="F3F6FB"/>
          </w:tcPr>
          <w:p>
            <w:pPr>
              <w:spacing w:after="0" w:line="240" w:lineRule="auto"/>
            </w:pPr>
            <w:r/>
            <w:r>
              <w:rPr>
                <w:sz w:val="16"/>
              </w:rPr>
              <w:t>Social-media comment</w:t>
            </w:r>
          </w:p>
        </w:tc>
        <w:tc>
          <w:tcPr>
            <w:tcW w:type="dxa" w:w="3175"/>
            <w:shd w:val="clear" w:color="auto" w:fill="F3F6FB"/>
          </w:tcPr>
          <w:p>
            <w:pPr>
              <w:spacing w:after="0" w:line="240" w:lineRule="auto"/>
            </w:pPr>
            <w:r/>
            <w:r>
              <w:rPr>
                <w:sz w:val="16"/>
              </w:rPr>
              <w:t>Index rebalancing update: Nexus Telecom moves from Smallcap 250 to Midcap 150 from next month. FYI for index fund followers.</w:t>
            </w:r>
          </w:p>
        </w:tc>
        <w:tc>
          <w:tcPr>
            <w:tcW w:type="dxa" w:w="964"/>
            <w:shd w:val="clear" w:color="auto" w:fill="F3F6FB"/>
          </w:tcPr>
          <w:p>
            <w:pPr>
              <w:spacing w:after="0" w:line="240" w:lineRule="auto"/>
            </w:pPr>
            <w:r/>
            <w:r>
              <w:rPr>
                <w:sz w:val="16"/>
              </w:rPr>
              <w:t>Neutral</w:t>
            </w:r>
          </w:p>
        </w:tc>
        <w:tc>
          <w:tcPr>
            <w:tcW w:type="dxa" w:w="964"/>
            <w:shd w:val="clear" w:color="auto" w:fill="F3F6FB"/>
          </w:tcPr>
          <w:p>
            <w:pPr>
              <w:spacing w:after="0" w:line="240" w:lineRule="auto"/>
            </w:pPr>
            <w:r/>
            <w:r>
              <w:rPr>
                <w:sz w:val="16"/>
              </w:rPr>
              <w:t>Positive</w:t>
            </w:r>
          </w:p>
        </w:tc>
        <w:tc>
          <w:tcPr>
            <w:tcW w:type="dxa" w:w="2608"/>
            <w:shd w:val="clear" w:color="auto" w:fill="F3F6FB"/>
          </w:tcPr>
          <w:p>
            <w:pPr>
              <w:spacing w:after="0" w:line="240" w:lineRule="auto"/>
            </w:pPr>
            <w:r/>
            <w:r>
              <w:rPr>
                <w:sz w:val="16"/>
              </w:rPr>
              <w:t>The move to a higher‑cap index signals a perceived upgrade in size and quality, which typically attracts index‑fund inflows and boosts investor confidence. This is a favourable development for Nexus Telecom's share price outlook.</w:t>
            </w:r>
          </w:p>
        </w:tc>
      </w:tr>
    </w:tbl>
    <w:p>
      <w:pPr>
        <w:spacing w:after="40"/>
      </w:pPr>
    </w:p>
    <w:p>
      <w:r>
        <w:rPr>
          <w:b w:val="0"/>
          <w:i w:val="0"/>
        </w:rPr>
        <w:t>Both errors concern the same event: the company moving from a small-cap to a mid-cap index. The team labelled these texts Neutral, because they are factual notices with no opinion. The model argued that moving to a higher index usually brings buying by index funds and more attention from institutional investors, which is favourable for the share price. Many market participants would agree with the model, so these two cases show an ambiguity in the labelling rather than a failure to understand the text. With the rule "factual notices are Neutral" applied strictly, the result is 58/60; if index inclusion is treated as mildly Positive, all 60 answers are acceptable. The local Qwen model followed the literal rule and labelled both Neutral. In a production system this kind of event should be written into the label definitions explicitly.</w:t>
      </w:r>
    </w:p>
    <w:p>
      <w:pPr>
        <w:pStyle w:val="Heading2"/>
      </w:pPr>
      <w:r>
        <w:t>7.5 Gemini (fallback engine)</w:t>
      </w:r>
    </w:p>
    <w:p>
      <w:r>
        <w:rPr>
          <w:b w:val="0"/>
          <w:i w:val="0"/>
        </w:rPr>
        <w:t>Gemini was also run on the test data set (run 7), but the free-tier key available to us allowed only a few requests: 7 of the 60 texts were answered (7 correct); the other requests were rejected by Google with "model currently experiencing high demand" (HTTP 503) or "quota exceeded" (HTTP 429). The run is therefore not comparable with the others and is not included in the tables above. It does show why the fallback chain ends with the local model, which has no quota.</w:t>
      </w:r>
    </w:p>
    <w:p>
      <w:pPr>
        <w:pStyle w:val="Heading2"/>
      </w:pPr>
      <w:r>
        <w:t>7.6 Response time</w:t>
      </w:r>
    </w:p>
    <w:p>
      <w:r>
        <w:rPr>
          <w:b w:val="0"/>
          <w:i w:val="0"/>
        </w:rPr>
        <w:t>Median time per text: Groq 3.42 s (network call), local Qwen with the few-shot prompt 9.6 s on an Apple-silicon laptop GPU, FinBERT 21 ms. The Groq figures include occasional slower responses (mean 5.04 s).</w:t>
      </w:r>
    </w:p>
    <w:p>
      <w:pPr>
        <w:pStyle w:val="Heading1"/>
      </w:pPr>
      <w:r>
        <w:t>8. Limitations, conclusion and future work</w:t>
      </w:r>
    </w:p>
    <w:p>
      <w:pPr>
        <w:pStyle w:val="Heading2"/>
      </w:pPr>
      <w:r>
        <w:t>Limitations</w:t>
      </w:r>
    </w:p>
    <w:p>
      <w:pPr>
        <w:pStyle w:val="ListBullet"/>
        <w:spacing w:after="40"/>
      </w:pPr>
      <w:r>
        <w:rPr>
          <w:b/>
        </w:rPr>
        <w:t>The test set is small and was written by the team.</w:t>
      </w:r>
      <w:r>
        <w:rPr>
          <w:b w:val="0"/>
        </w:rPr>
        <w:t xml:space="preserve"> 60 texts cannot represent the variety of real market text, and the same people wrote the texts, the labels and the prompt rules. Scores of 96.7% and 100.0% therefore show that the system works as designed on these cases; accuracy on real, unseen market text will be lower.</w:t>
      </w:r>
    </w:p>
    <w:p>
      <w:pPr>
        <w:pStyle w:val="ListBullet"/>
        <w:spacing w:after="40"/>
      </w:pPr>
      <w:r>
        <w:rPr>
          <w:b/>
        </w:rPr>
        <w:t>One error is one text out of 60</w:t>
      </w:r>
      <w:r>
        <w:rPr>
          <w:b w:val="0"/>
        </w:rPr>
        <w:t>, so differences of one or two texts between configurations are not statistically meaningful. The gap to FinBERT (10 errors) is.</w:t>
      </w:r>
    </w:p>
    <w:p>
      <w:pPr>
        <w:pStyle w:val="ListBullet"/>
        <w:spacing w:after="40"/>
      </w:pPr>
      <w:r>
        <w:rPr>
          <w:b/>
        </w:rPr>
        <w:t>Sentiment labels are partly subjective</w:t>
      </w:r>
      <w:r>
        <w:rPr>
          <w:b w:val="0"/>
        </w:rPr>
        <w:t>, especially between Neutral and a mild Positive / Negative (Section 7.4).</w:t>
      </w:r>
    </w:p>
    <w:p>
      <w:pPr>
        <w:pStyle w:val="ListBullet"/>
        <w:spacing w:after="40"/>
      </w:pPr>
      <w:r>
        <w:rPr>
          <w:b/>
        </w:rPr>
        <w:t>Confidence of the cloud LLMs is self-reported</w:t>
      </w:r>
      <w:r>
        <w:rPr>
          <w:b w:val="0"/>
        </w:rPr>
        <w:t xml:space="preserve"> by the model. Only the local Qwen engine and FinBERT give probabilities computed from the model's output distribution.</w:t>
      </w:r>
    </w:p>
    <w:p>
      <w:pPr>
        <w:pStyle w:val="ListBullet"/>
        <w:spacing w:after="40"/>
      </w:pPr>
      <w:r>
        <w:rPr>
          <w:b/>
        </w:rPr>
        <w:t>The default engine needs internet</w:t>
      </w:r>
      <w:r>
        <w:rPr>
          <w:b w:val="0"/>
        </w:rPr>
        <w:t xml:space="preserve"> and a Groq API key, and is subject to the rate limits of the key. The local engine is the fallback.</w:t>
      </w:r>
    </w:p>
    <w:p>
      <w:pPr>
        <w:pStyle w:val="ListBullet"/>
        <w:spacing w:after="40"/>
      </w:pPr>
      <w:r>
        <w:rPr>
          <w:b/>
        </w:rPr>
        <w:t>The Gemini key is a free-tier key</w:t>
      </w:r>
      <w:r>
        <w:rPr>
          <w:b w:val="0"/>
        </w:rPr>
        <w:t xml:space="preserve"> with a small quota, so Gemini is suitable as an occasional fallback only, and it could not be evaluated on the full test data set.</w:t>
      </w:r>
    </w:p>
    <w:p>
      <w:pPr>
        <w:pStyle w:val="ListBullet"/>
        <w:spacing w:after="40"/>
      </w:pPr>
      <w:r>
        <w:rPr>
          <w:b w:val="0"/>
        </w:rPr>
        <w:t>The Flask development server and SQLite are suitable for a demonstration, not for many simultaneous users. There is no user login.</w:t>
      </w:r>
    </w:p>
    <w:p>
      <w:pPr>
        <w:pStyle w:val="Heading2"/>
      </w:pPr>
      <w:r>
        <w:t>Conclusion</w:t>
      </w:r>
    </w:p>
    <w:p>
      <w:r>
        <w:rPr>
          <w:b w:val="0"/>
          <w:i w:val="0"/>
        </w:rPr>
        <w:t>All four tasks of the assignment are implemented and working together: a 60-text test data set of the five required types, an HTML / CSS frontend, a Flask backend with REST endpoints integrated with pre-trained LLMs through an engineered prompt, and a normalised database in which every LLM response is stored. On the test data set the prompted LLMs were clearly more accurate than the FinBERT baseline, and the engineered prompt was better than a plain zero-shot instruction with the same model.</w:t>
      </w:r>
    </w:p>
    <w:p>
      <w:pPr>
        <w:pStyle w:val="Heading2"/>
      </w:pPr>
      <w:r>
        <w:t>Future work</w:t>
      </w:r>
    </w:p>
    <w:p>
      <w:pPr>
        <w:pStyle w:val="ListBullet"/>
        <w:spacing w:after="40"/>
      </w:pPr>
      <w:r>
        <w:rPr>
          <w:b w:val="0"/>
        </w:rPr>
        <w:t>Test on a public labelled corpus such as the Financial PhraseBank, and on real exchange filings.</w:t>
      </w:r>
    </w:p>
    <w:p>
      <w:pPr>
        <w:pStyle w:val="ListBullet"/>
        <w:spacing w:after="40"/>
      </w:pPr>
      <w:r>
        <w:rPr>
          <w:b w:val="0"/>
        </w:rPr>
        <w:t>Aspect-level sentiment when one text mentions several companies.</w:t>
      </w:r>
    </w:p>
    <w:p>
      <w:pPr>
        <w:pStyle w:val="ListBullet"/>
        <w:spacing w:after="40"/>
      </w:pPr>
      <w:r>
        <w:rPr>
          <w:b w:val="0"/>
        </w:rPr>
        <w:t>Fetch news automatically for a ticker and show the sentiment trend of a company over time.</w:t>
      </w:r>
    </w:p>
    <w:p>
      <w:pPr>
        <w:pStyle w:val="ListBullet"/>
        <w:spacing w:after="40"/>
      </w:pPr>
      <w:r>
        <w:rPr>
          <w:b w:val="0"/>
        </w:rPr>
        <w:t>Fine-tune the small local model on labelled financial text (for example with LoRA).</w:t>
      </w:r>
    </w:p>
    <w:p>
      <w:pPr>
        <w:pStyle w:val="ListBullet"/>
        <w:spacing w:after="40"/>
      </w:pPr>
      <w:r>
        <w:rPr>
          <w:b w:val="0"/>
        </w:rPr>
        <w:t>Deploy behind a production WSGI server with user accounts.</w:t>
      </w:r>
    </w:p>
    <w:p>
      <w:pPr>
        <w:pStyle w:val="Heading1"/>
      </w:pPr>
      <w:r>
        <w:t>Appendix A. How to run the system</w:t>
      </w:r>
    </w:p>
    <w:p>
      <w:pPr>
        <w:spacing w:after="0" w:line="240" w:lineRule="auto"/>
        <w:ind w:left="170"/>
        <w:shd w:val="clear" w:color="auto" w:fill="F1F3F7"/>
      </w:pPr>
      <w:r>
        <w:rPr>
          <w:rFonts w:ascii="Menlo" w:hAnsi="Menlo" w:eastAsia="Menlo"/>
          <w:sz w:val="17"/>
        </w:rPr>
        <w:t># 1. install the dependencies</w:t>
      </w:r>
    </w:p>
    <w:p>
      <w:pPr>
        <w:spacing w:after="0" w:line="240" w:lineRule="auto"/>
        <w:ind w:left="170"/>
        <w:shd w:val="clear" w:color="auto" w:fill="F1F3F7"/>
      </w:pPr>
      <w:r>
        <w:rPr>
          <w:rFonts w:ascii="Menlo" w:hAnsi="Menlo" w:eastAsia="Menlo"/>
          <w:sz w:val="17"/>
        </w:rPr>
        <w:t>pip install -r requirements.txt</w:t>
      </w:r>
    </w:p>
    <w:p>
      <w:pPr>
        <w:spacing w:after="0" w:line="240" w:lineRule="auto"/>
        <w:ind w:left="170"/>
        <w:shd w:val="clear" w:color="auto" w:fill="F1F3F7"/>
      </w:pPr>
      <w:r>
        <w:rPr>
          <w:rFonts w:ascii="Menlo" w:hAnsi="Menlo" w:eastAsia="Menlo"/>
          <w:sz w:val="17"/>
        </w:rPr>
        <w:t xml:space="preserve"> </w:t>
      </w:r>
    </w:p>
    <w:p>
      <w:pPr>
        <w:spacing w:after="0" w:line="240" w:lineRule="auto"/>
        <w:ind w:left="170"/>
        <w:shd w:val="clear" w:color="auto" w:fill="F1F3F7"/>
      </w:pPr>
      <w:r>
        <w:rPr>
          <w:rFonts w:ascii="Menlo" w:hAnsi="Menlo" w:eastAsia="Menlo"/>
          <w:sz w:val="17"/>
        </w:rPr>
        <w:t># 2. copy .env.example to .env and put the API keys in it</w:t>
      </w:r>
    </w:p>
    <w:p>
      <w:pPr>
        <w:spacing w:after="0" w:line="240" w:lineRule="auto"/>
        <w:ind w:left="170"/>
        <w:shd w:val="clear" w:color="auto" w:fill="F1F3F7"/>
      </w:pPr>
      <w:r>
        <w:rPr>
          <w:rFonts w:ascii="Menlo" w:hAnsi="Menlo" w:eastAsia="Menlo"/>
          <w:sz w:val="17"/>
        </w:rPr>
        <w:t>#    GROQ_API_KEY=...      (default engine)</w:t>
      </w:r>
    </w:p>
    <w:p>
      <w:pPr>
        <w:spacing w:after="0" w:line="240" w:lineRule="auto"/>
        <w:ind w:left="170"/>
        <w:shd w:val="clear" w:color="auto" w:fill="F1F3F7"/>
      </w:pPr>
      <w:r>
        <w:rPr>
          <w:rFonts w:ascii="Menlo" w:hAnsi="Menlo" w:eastAsia="Menlo"/>
          <w:sz w:val="17"/>
        </w:rPr>
        <w:t>#    GEMINI_API_KEY=...    (fallback engine)</w:t>
      </w:r>
    </w:p>
    <w:p>
      <w:pPr>
        <w:spacing w:after="0" w:line="240" w:lineRule="auto"/>
        <w:ind w:left="170"/>
        <w:shd w:val="clear" w:color="auto" w:fill="F1F3F7"/>
      </w:pPr>
      <w:r>
        <w:rPr>
          <w:rFonts w:ascii="Menlo" w:hAnsi="Menlo" w:eastAsia="Menlo"/>
          <w:sz w:val="17"/>
        </w:rPr>
        <w:t>#    Without a key the application uses the local Qwen model automatically.</w:t>
      </w:r>
    </w:p>
    <w:p>
      <w:pPr>
        <w:spacing w:after="0" w:line="240" w:lineRule="auto"/>
        <w:ind w:left="170"/>
        <w:shd w:val="clear" w:color="auto" w:fill="F1F3F7"/>
      </w:pPr>
      <w:r>
        <w:rPr>
          <w:rFonts w:ascii="Menlo" w:hAnsi="Menlo" w:eastAsia="Menlo"/>
          <w:sz w:val="17"/>
        </w:rPr>
        <w:t xml:space="preserve"> </w:t>
      </w:r>
    </w:p>
    <w:p>
      <w:pPr>
        <w:spacing w:after="0" w:line="240" w:lineRule="auto"/>
        <w:ind w:left="170"/>
        <w:shd w:val="clear" w:color="auto" w:fill="F1F3F7"/>
      </w:pPr>
      <w:r>
        <w:rPr>
          <w:rFonts w:ascii="Menlo" w:hAnsi="Menlo" w:eastAsia="Menlo"/>
          <w:sz w:val="17"/>
        </w:rPr>
        <w:t># 3. start the application and open http://127.0.0.1:5050</w:t>
      </w:r>
    </w:p>
    <w:p>
      <w:pPr>
        <w:spacing w:after="0" w:line="240" w:lineRule="auto"/>
        <w:ind w:left="170"/>
        <w:shd w:val="clear" w:color="auto" w:fill="F1F3F7"/>
      </w:pPr>
      <w:r>
        <w:rPr>
          <w:rFonts w:ascii="Menlo" w:hAnsi="Menlo" w:eastAsia="Menlo"/>
          <w:sz w:val="17"/>
        </w:rPr>
        <w:t>python app.py</w:t>
      </w:r>
    </w:p>
    <w:p>
      <w:pPr>
        <w:spacing w:after="0" w:line="240" w:lineRule="auto"/>
        <w:ind w:left="170"/>
        <w:shd w:val="clear" w:color="auto" w:fill="F1F3F7"/>
      </w:pPr>
      <w:r>
        <w:rPr>
          <w:rFonts w:ascii="Menlo" w:hAnsi="Menlo" w:eastAsia="Menlo"/>
          <w:sz w:val="17"/>
        </w:rPr>
        <w:t xml:space="preserve"> </w:t>
      </w:r>
    </w:p>
    <w:p>
      <w:pPr>
        <w:spacing w:after="0" w:line="240" w:lineRule="auto"/>
        <w:ind w:left="170"/>
        <w:shd w:val="clear" w:color="auto" w:fill="F1F3F7"/>
      </w:pPr>
      <w:r>
        <w:rPr>
          <w:rFonts w:ascii="Menlo" w:hAnsi="Menlo" w:eastAsia="Menlo"/>
          <w:sz w:val="17"/>
        </w:rPr>
        <w:t># 4. test the system with the test data set</w:t>
      </w:r>
    </w:p>
    <w:p>
      <w:pPr>
        <w:spacing w:after="0" w:line="240" w:lineRule="auto"/>
        <w:ind w:left="170"/>
        <w:shd w:val="clear" w:color="auto" w:fill="F1F3F7"/>
      </w:pPr>
      <w:r>
        <w:rPr>
          <w:rFonts w:ascii="Menlo" w:hAnsi="Menlo" w:eastAsia="Menlo"/>
          <w:sz w:val="17"/>
        </w:rPr>
        <w:t>python run_tests.py --engine groq</w:t>
      </w:r>
    </w:p>
    <w:p>
      <w:pPr>
        <w:spacing w:after="0" w:line="240" w:lineRule="auto"/>
        <w:ind w:left="170"/>
        <w:shd w:val="clear" w:color="auto" w:fill="F1F3F7"/>
      </w:pPr>
      <w:r>
        <w:rPr>
          <w:rFonts w:ascii="Menlo" w:hAnsi="Menlo" w:eastAsia="Menlo"/>
          <w:sz w:val="17"/>
        </w:rPr>
        <w:t>python run_tests.py --engine llm --prompt fewshot-v2</w:t>
      </w:r>
    </w:p>
    <w:p>
      <w:pPr>
        <w:spacing w:after="0" w:line="240" w:lineRule="auto"/>
        <w:ind w:left="170"/>
        <w:shd w:val="clear" w:color="auto" w:fill="F1F3F7"/>
      </w:pPr>
      <w:r>
        <w:rPr>
          <w:rFonts w:ascii="Menlo" w:hAnsi="Menlo" w:eastAsia="Menlo"/>
          <w:sz w:val="17"/>
        </w:rPr>
        <w:t>python run_tests.py --engine llm --prompt zeroshot-v1</w:t>
      </w:r>
    </w:p>
    <w:p>
      <w:pPr>
        <w:spacing w:after="0" w:line="240" w:lineRule="auto"/>
        <w:ind w:left="170"/>
        <w:shd w:val="clear" w:color="auto" w:fill="F1F3F7"/>
      </w:pPr>
      <w:r>
        <w:rPr>
          <w:rFonts w:ascii="Menlo" w:hAnsi="Menlo" w:eastAsia="Menlo"/>
          <w:sz w:val="17"/>
        </w:rPr>
        <w:t>python run_tests.py --engine finbert</w:t>
      </w:r>
    </w:p>
    <w:p>
      <w:pPr>
        <w:spacing w:after="40"/>
      </w:pPr>
    </w:p>
    <w:p>
      <w:pPr>
        <w:pStyle w:val="ListBullet"/>
        <w:spacing w:after="40"/>
      </w:pPr>
      <w:r>
        <w:rPr>
          <w:b w:val="0"/>
        </w:rPr>
        <w:t>The first start downloads the local models from Hugging Face (Qwen2.5-1.5B-Instruct about 3 GB, FinBERT about 0.4 GB); afterwards they work offline.</w:t>
      </w:r>
    </w:p>
    <w:p>
      <w:pPr>
        <w:pStyle w:val="ListBullet"/>
        <w:spacing w:after="40"/>
      </w:pPr>
      <w:r>
        <w:rPr>
          <w:b w:val="0"/>
        </w:rPr>
        <w:t>The port is 5050 because on macOS port 5000 is used by AirPlay Receiver; it can be changed with the environment variable SMSA_PORT.</w:t>
      </w:r>
    </w:p>
    <w:p>
      <w:pPr>
        <w:pStyle w:val="ListBullet"/>
        <w:spacing w:after="40"/>
      </w:pPr>
      <w:r>
        <w:rPr>
          <w:b w:val="0"/>
        </w:rPr>
        <w:t>For a demonstration without internet, set SMSA_DEFAULT_ENGINE=llm in the .env file.</w:t>
      </w:r>
    </w:p>
    <w:p>
      <w:pPr>
        <w:pStyle w:val="ListBullet"/>
        <w:spacing w:after="40"/>
      </w:pPr>
      <w:r>
        <w:rPr>
          <w:b w:val="0"/>
        </w:rPr>
        <w:t>API keys are not included in the submitted zip. The .env file is listed in .gitignore.</w:t>
      </w:r>
    </w:p>
    <w:p>
      <w:r>
        <w:rPr>
          <w:b w:val="0"/>
          <w:i w:val="0"/>
        </w:rPr>
        <w:t>The submitted database also contains test run 1 (the first Groq run described in Section 5.3), an interrupted local run and the partial Gemini run (Section 7.5); they are kept as history and are not used in the comparison tables.</w:t>
      </w:r>
    </w:p>
    <w:p>
      <w:pPr>
        <w:sectPr>
          <w:footerReference w:type="default" r:id="rId9"/>
          <w:pgSz w:w="11906" w:h="16838"/>
          <w:pgMar w:top="1134" w:right="1247" w:bottom="1134" w:left="1247" w:header="720" w:footer="720" w:gutter="0"/>
          <w:cols w:space="720"/>
          <w:docGrid w:linePitch="360"/>
        </w:sectPr>
      </w:pPr>
    </w:p>
    <w:p>
      <w:pPr>
        <w:pStyle w:val="Heading1"/>
      </w:pPr>
      <w:r>
        <w:t>Appendix B. Test data set with the predictions of every model</w:t>
      </w:r>
    </w:p>
    <w:p>
      <w:r>
        <w:rPr>
          <w:b w:val="0"/>
          <w:i w:val="0"/>
          <w:sz w:val="19"/>
        </w:rPr>
        <w:t>Expected = label assigned by the team. A prediction that differs from the expected label is shown in red. Groq = gpt-oss-120b with the few-shot prompt; Qwen FS / ZS = local Qwen with the few-shot / zero-shot prompt.</w:t>
      </w:r>
    </w:p>
    <w:tbl>
      <w:tblPr>
        <w:tblStyle w:val="TableGrid"/>
        <w:tblW w:type="auto" w:w="0"/>
        <w:jc w:val="center"/>
        <w:tblLayout w:type="fixed"/>
        <w:tblLook w:firstColumn="1" w:firstRow="1" w:lastColumn="0" w:lastRow="0" w:noHBand="0" w:noVBand="1" w:val="04A0"/>
      </w:tblPr>
      <w:tblGrid>
        <w:gridCol w:w="1669"/>
        <w:gridCol w:w="1669"/>
        <w:gridCol w:w="1669"/>
        <w:gridCol w:w="1669"/>
        <w:gridCol w:w="1669"/>
        <w:gridCol w:w="1669"/>
        <w:gridCol w:w="1669"/>
        <w:gridCol w:w="1669"/>
        <w:gridCol w:w="1669"/>
      </w:tblGrid>
      <w:tr>
        <w:trPr>
          <w:tblHeader w:val="true"/>
        </w:trPr>
        <w:tc>
          <w:tcPr>
            <w:tcW w:type="dxa" w:w="454"/>
            <w:shd w:val="clear" w:color="auto" w:fill="1F4FD8"/>
          </w:tcPr>
          <w:p>
            <w:r/>
            <w:r>
              <w:rPr>
                <w:b/>
                <w:color w:val="FFFFFF"/>
                <w:sz w:val="15"/>
              </w:rPr>
              <w:t>#</w:t>
            </w:r>
          </w:p>
        </w:tc>
        <w:tc>
          <w:tcPr>
            <w:tcW w:type="dxa" w:w="1304"/>
            <w:shd w:val="clear" w:color="auto" w:fill="1F4FD8"/>
          </w:tcPr>
          <w:p>
            <w:r/>
            <w:r>
              <w:rPr>
                <w:b/>
                <w:color w:val="FFFFFF"/>
                <w:sz w:val="15"/>
              </w:rPr>
              <w:t>Type</w:t>
            </w:r>
          </w:p>
        </w:tc>
        <w:tc>
          <w:tcPr>
            <w:tcW w:type="dxa" w:w="1474"/>
            <w:shd w:val="clear" w:color="auto" w:fill="1F4FD8"/>
          </w:tcPr>
          <w:p>
            <w:r/>
            <w:r>
              <w:rPr>
                <w:b/>
                <w:color w:val="FFFFFF"/>
                <w:sz w:val="15"/>
              </w:rPr>
              <w:t>Company</w:t>
            </w:r>
          </w:p>
        </w:tc>
        <w:tc>
          <w:tcPr>
            <w:tcW w:type="dxa" w:w="7370"/>
            <w:shd w:val="clear" w:color="auto" w:fill="1F4FD8"/>
          </w:tcPr>
          <w:p>
            <w:r/>
            <w:r>
              <w:rPr>
                <w:b/>
                <w:color w:val="FFFFFF"/>
                <w:sz w:val="15"/>
              </w:rPr>
              <w:t>Financial text</w:t>
            </w:r>
          </w:p>
        </w:tc>
        <w:tc>
          <w:tcPr>
            <w:tcW w:type="dxa" w:w="907"/>
            <w:shd w:val="clear" w:color="auto" w:fill="1F4FD8"/>
          </w:tcPr>
          <w:p>
            <w:r/>
            <w:r>
              <w:rPr>
                <w:b/>
                <w:color w:val="FFFFFF"/>
                <w:sz w:val="15"/>
              </w:rPr>
              <w:t>Expected</w:t>
            </w:r>
          </w:p>
        </w:tc>
        <w:tc>
          <w:tcPr>
            <w:tcW w:type="dxa" w:w="879"/>
            <w:shd w:val="clear" w:color="auto" w:fill="1F4FD8"/>
          </w:tcPr>
          <w:p>
            <w:r/>
            <w:r>
              <w:rPr>
                <w:b/>
                <w:color w:val="FFFFFF"/>
                <w:sz w:val="15"/>
              </w:rPr>
              <w:t>Groq</w:t>
            </w:r>
          </w:p>
        </w:tc>
        <w:tc>
          <w:tcPr>
            <w:tcW w:type="dxa" w:w="879"/>
            <w:shd w:val="clear" w:color="auto" w:fill="1F4FD8"/>
          </w:tcPr>
          <w:p>
            <w:r/>
            <w:r>
              <w:rPr>
                <w:b/>
                <w:color w:val="FFFFFF"/>
                <w:sz w:val="15"/>
              </w:rPr>
              <w:t>Qwen FS</w:t>
            </w:r>
          </w:p>
        </w:tc>
        <w:tc>
          <w:tcPr>
            <w:tcW w:type="dxa" w:w="879"/>
            <w:shd w:val="clear" w:color="auto" w:fill="1F4FD8"/>
          </w:tcPr>
          <w:p>
            <w:r/>
            <w:r>
              <w:rPr>
                <w:b/>
                <w:color w:val="FFFFFF"/>
                <w:sz w:val="15"/>
              </w:rPr>
              <w:t>Qwen ZS</w:t>
            </w:r>
          </w:p>
        </w:tc>
        <w:tc>
          <w:tcPr>
            <w:tcW w:type="dxa" w:w="879"/>
            <w:shd w:val="clear" w:color="auto" w:fill="1F4FD8"/>
          </w:tcPr>
          <w:p>
            <w:r/>
            <w:r>
              <w:rPr>
                <w:b/>
                <w:color w:val="FFFFFF"/>
                <w:sz w:val="15"/>
              </w:rPr>
              <w:t>FinBERT</w:t>
            </w:r>
          </w:p>
        </w:tc>
      </w:tr>
      <w:tr>
        <w:tc>
          <w:tcPr>
            <w:tcW w:type="dxa" w:w="454"/>
          </w:tcPr>
          <w:p>
            <w:pPr>
              <w:spacing w:after="0" w:line="240" w:lineRule="auto"/>
            </w:pPr>
            <w:r/>
            <w:r>
              <w:rPr>
                <w:sz w:val="15"/>
              </w:rPr>
              <w:t>1</w:t>
            </w:r>
          </w:p>
        </w:tc>
        <w:tc>
          <w:tcPr>
            <w:tcW w:type="dxa" w:w="1304"/>
          </w:tcPr>
          <w:p>
            <w:pPr>
              <w:spacing w:after="0" w:line="240" w:lineRule="auto"/>
            </w:pPr>
            <w:r/>
            <w:r>
              <w:rPr>
                <w:sz w:val="15"/>
              </w:rPr>
              <w:t>Financial news</w:t>
            </w:r>
          </w:p>
        </w:tc>
        <w:tc>
          <w:tcPr>
            <w:tcW w:type="dxa" w:w="1474"/>
          </w:tcPr>
          <w:p>
            <w:pPr>
              <w:spacing w:after="0" w:line="240" w:lineRule="auto"/>
            </w:pPr>
            <w:r/>
            <w:r>
              <w:rPr>
                <w:sz w:val="15"/>
              </w:rPr>
              <w:t>Aurora Steel Ltd</w:t>
            </w:r>
          </w:p>
        </w:tc>
        <w:tc>
          <w:tcPr>
            <w:tcW w:type="dxa" w:w="7370"/>
          </w:tcPr>
          <w:p>
            <w:pPr>
              <w:spacing w:after="0" w:line="240" w:lineRule="auto"/>
            </w:pPr>
            <w:r/>
            <w:r>
              <w:rPr>
                <w:sz w:val="15"/>
              </w:rPr>
              <w:t>Aurora Steel Ltd reported a 32% year-on-year jump in quarterly net profit to Rs 1,845 crore, beating street estimates, as higher realisations and lower coking coal costs lifted margins. The stock rose 6% in early trade.</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2</w:t>
            </w:r>
          </w:p>
        </w:tc>
        <w:tc>
          <w:tcPr>
            <w:tcW w:type="dxa" w:w="1304"/>
            <w:shd w:val="clear" w:color="auto" w:fill="F3F6FB"/>
          </w:tcPr>
          <w:p>
            <w:pPr>
              <w:spacing w:after="0" w:line="240" w:lineRule="auto"/>
            </w:pPr>
            <w:r/>
            <w:r>
              <w:rPr>
                <w:sz w:val="15"/>
              </w:rPr>
              <w:t>Financial news</w:t>
            </w:r>
          </w:p>
        </w:tc>
        <w:tc>
          <w:tcPr>
            <w:tcW w:type="dxa" w:w="1474"/>
            <w:shd w:val="clear" w:color="auto" w:fill="F3F6FB"/>
          </w:tcPr>
          <w:p>
            <w:pPr>
              <w:spacing w:after="0" w:line="240" w:lineRule="auto"/>
            </w:pPr>
            <w:r/>
            <w:r>
              <w:rPr>
                <w:sz w:val="15"/>
              </w:rPr>
              <w:t>Brightwave Technologies</w:t>
            </w:r>
          </w:p>
        </w:tc>
        <w:tc>
          <w:tcPr>
            <w:tcW w:type="dxa" w:w="7370"/>
            <w:shd w:val="clear" w:color="auto" w:fill="F3F6FB"/>
          </w:tcPr>
          <w:p>
            <w:pPr>
              <w:spacing w:after="0" w:line="240" w:lineRule="auto"/>
            </w:pPr>
            <w:r/>
            <w:r>
              <w:rPr>
                <w:sz w:val="15"/>
              </w:rPr>
              <w:t>Brightwave Technologies shares hit a 52-week high after the IT services firm signed a five-year, $750 million digital transformation deal with a leading US bank, its largest contract to date.</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r>
      <w:tr>
        <w:tc>
          <w:tcPr>
            <w:tcW w:type="dxa" w:w="454"/>
          </w:tcPr>
          <w:p>
            <w:pPr>
              <w:spacing w:after="0" w:line="240" w:lineRule="auto"/>
            </w:pPr>
            <w:r/>
            <w:r>
              <w:rPr>
                <w:sz w:val="15"/>
              </w:rPr>
              <w:t>3</w:t>
            </w:r>
          </w:p>
        </w:tc>
        <w:tc>
          <w:tcPr>
            <w:tcW w:type="dxa" w:w="1304"/>
          </w:tcPr>
          <w:p>
            <w:pPr>
              <w:spacing w:after="0" w:line="240" w:lineRule="auto"/>
            </w:pPr>
            <w:r/>
            <w:r>
              <w:rPr>
                <w:sz w:val="15"/>
              </w:rPr>
              <w:t>Financial news</w:t>
            </w:r>
          </w:p>
        </w:tc>
        <w:tc>
          <w:tcPr>
            <w:tcW w:type="dxa" w:w="1474"/>
          </w:tcPr>
          <w:p>
            <w:pPr>
              <w:spacing w:after="0" w:line="240" w:lineRule="auto"/>
            </w:pPr>
            <w:r/>
            <w:r>
              <w:rPr>
                <w:sz w:val="15"/>
              </w:rPr>
              <w:t>Sunrise Pharma</w:t>
            </w:r>
          </w:p>
        </w:tc>
        <w:tc>
          <w:tcPr>
            <w:tcW w:type="dxa" w:w="7370"/>
          </w:tcPr>
          <w:p>
            <w:pPr>
              <w:spacing w:after="0" w:line="240" w:lineRule="auto"/>
            </w:pPr>
            <w:r/>
            <w:r>
              <w:rPr>
                <w:sz w:val="15"/>
              </w:rPr>
              <w:t>Sunrise Pharma received final approval from the US FDA for its generic version of a blockbuster diabetes drug, opening a market estimated at $1.2 billion annually. Analysts expect the launch to add meaningfully to earnings from next year.</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4</w:t>
            </w:r>
          </w:p>
        </w:tc>
        <w:tc>
          <w:tcPr>
            <w:tcW w:type="dxa" w:w="1304"/>
            <w:shd w:val="clear" w:color="auto" w:fill="F3F6FB"/>
          </w:tcPr>
          <w:p>
            <w:pPr>
              <w:spacing w:after="0" w:line="240" w:lineRule="auto"/>
            </w:pPr>
            <w:r/>
            <w:r>
              <w:rPr>
                <w:sz w:val="15"/>
              </w:rPr>
              <w:t>Financial news</w:t>
            </w:r>
          </w:p>
        </w:tc>
        <w:tc>
          <w:tcPr>
            <w:tcW w:type="dxa" w:w="1474"/>
            <w:shd w:val="clear" w:color="auto" w:fill="F3F6FB"/>
          </w:tcPr>
          <w:p>
            <w:pPr>
              <w:spacing w:after="0" w:line="240" w:lineRule="auto"/>
            </w:pPr>
            <w:r/>
            <w:r>
              <w:rPr>
                <w:sz w:val="15"/>
              </w:rPr>
              <w:t>Kaveri Power Ltd</w:t>
            </w:r>
          </w:p>
        </w:tc>
        <w:tc>
          <w:tcPr>
            <w:tcW w:type="dxa" w:w="7370"/>
            <w:shd w:val="clear" w:color="auto" w:fill="F3F6FB"/>
          </w:tcPr>
          <w:p>
            <w:pPr>
              <w:spacing w:after="0" w:line="240" w:lineRule="auto"/>
            </w:pPr>
            <w:r/>
            <w:r>
              <w:rPr>
                <w:sz w:val="15"/>
              </w:rPr>
              <w:t>Kaveri Power's net loss narrowed sharply to Rs 45 crore from Rs 390 crore a year ago, far better than analysts had feared, as plant utilisation improved. Shares surged 9%.</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r>
      <w:tr>
        <w:tc>
          <w:tcPr>
            <w:tcW w:type="dxa" w:w="454"/>
          </w:tcPr>
          <w:p>
            <w:pPr>
              <w:spacing w:after="0" w:line="240" w:lineRule="auto"/>
            </w:pPr>
            <w:r/>
            <w:r>
              <w:rPr>
                <w:sz w:val="15"/>
              </w:rPr>
              <w:t>5</w:t>
            </w:r>
          </w:p>
        </w:tc>
        <w:tc>
          <w:tcPr>
            <w:tcW w:type="dxa" w:w="1304"/>
          </w:tcPr>
          <w:p>
            <w:pPr>
              <w:spacing w:after="0" w:line="240" w:lineRule="auto"/>
            </w:pPr>
            <w:r/>
            <w:r>
              <w:rPr>
                <w:sz w:val="15"/>
              </w:rPr>
              <w:t>Financial news</w:t>
            </w:r>
          </w:p>
        </w:tc>
        <w:tc>
          <w:tcPr>
            <w:tcW w:type="dxa" w:w="1474"/>
          </w:tcPr>
          <w:p>
            <w:pPr>
              <w:spacing w:after="0" w:line="240" w:lineRule="auto"/>
            </w:pPr>
            <w:r/>
            <w:r>
              <w:rPr>
                <w:sz w:val="15"/>
              </w:rPr>
              <w:t>Pinnacle Motors</w:t>
            </w:r>
          </w:p>
        </w:tc>
        <w:tc>
          <w:tcPr>
            <w:tcW w:type="dxa" w:w="7370"/>
          </w:tcPr>
          <w:p>
            <w:pPr>
              <w:spacing w:after="0" w:line="240" w:lineRule="auto"/>
            </w:pPr>
            <w:r/>
            <w:r>
              <w:rPr>
                <w:sz w:val="15"/>
              </w:rPr>
              <w:t>Pinnacle Motors shares slumped 11% after the automaker reported a 40% drop in quarterly profit and warned that a semiconductor shortage would hit production for the rest of the year.</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6</w:t>
            </w:r>
          </w:p>
        </w:tc>
        <w:tc>
          <w:tcPr>
            <w:tcW w:type="dxa" w:w="1304"/>
            <w:shd w:val="clear" w:color="auto" w:fill="F3F6FB"/>
          </w:tcPr>
          <w:p>
            <w:pPr>
              <w:spacing w:after="0" w:line="240" w:lineRule="auto"/>
            </w:pPr>
            <w:r/>
            <w:r>
              <w:rPr>
                <w:sz w:val="15"/>
              </w:rPr>
              <w:t>Financial news</w:t>
            </w:r>
          </w:p>
        </w:tc>
        <w:tc>
          <w:tcPr>
            <w:tcW w:type="dxa" w:w="1474"/>
            <w:shd w:val="clear" w:color="auto" w:fill="F3F6FB"/>
          </w:tcPr>
          <w:p>
            <w:pPr>
              <w:spacing w:after="0" w:line="240" w:lineRule="auto"/>
            </w:pPr>
            <w:r/>
            <w:r>
              <w:rPr>
                <w:sz w:val="15"/>
              </w:rPr>
              <w:t>Everest Bank</w:t>
            </w:r>
          </w:p>
        </w:tc>
        <w:tc>
          <w:tcPr>
            <w:tcW w:type="dxa" w:w="7370"/>
            <w:shd w:val="clear" w:color="auto" w:fill="F3F6FB"/>
          </w:tcPr>
          <w:p>
            <w:pPr>
              <w:spacing w:after="0" w:line="240" w:lineRule="auto"/>
            </w:pPr>
            <w:r/>
            <w:r>
              <w:rPr>
                <w:sz w:val="15"/>
              </w:rPr>
              <w:t>The central bank imposed a penalty of Rs 25 crore on Everest Bank for lapses in KYC compliance and barred it from onboarding new credit-card customers until the deficiencies are fixed.</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7</w:t>
            </w:r>
          </w:p>
        </w:tc>
        <w:tc>
          <w:tcPr>
            <w:tcW w:type="dxa" w:w="1304"/>
          </w:tcPr>
          <w:p>
            <w:pPr>
              <w:spacing w:after="0" w:line="240" w:lineRule="auto"/>
            </w:pPr>
            <w:r/>
            <w:r>
              <w:rPr>
                <w:sz w:val="15"/>
              </w:rPr>
              <w:t>Financial news</w:t>
            </w:r>
          </w:p>
        </w:tc>
        <w:tc>
          <w:tcPr>
            <w:tcW w:type="dxa" w:w="1474"/>
          </w:tcPr>
          <w:p>
            <w:pPr>
              <w:spacing w:after="0" w:line="240" w:lineRule="auto"/>
            </w:pPr>
            <w:r/>
            <w:r>
              <w:rPr>
                <w:sz w:val="15"/>
              </w:rPr>
              <w:t>Lotus Retail</w:t>
            </w:r>
          </w:p>
        </w:tc>
        <w:tc>
          <w:tcPr>
            <w:tcW w:type="dxa" w:w="7370"/>
          </w:tcPr>
          <w:p>
            <w:pPr>
              <w:spacing w:after="0" w:line="240" w:lineRule="auto"/>
            </w:pPr>
            <w:r/>
            <w:r>
              <w:rPr>
                <w:sz w:val="15"/>
              </w:rPr>
              <w:t>Lotus Retail's quarterly revenue grew 8%, but net profit missed consensus estimates by a wide margin as discounting and higher rent costs squeezed margins; the stock fell 5% on the results.</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8</w:t>
            </w:r>
          </w:p>
        </w:tc>
        <w:tc>
          <w:tcPr>
            <w:tcW w:type="dxa" w:w="1304"/>
            <w:shd w:val="clear" w:color="auto" w:fill="F3F6FB"/>
          </w:tcPr>
          <w:p>
            <w:pPr>
              <w:spacing w:after="0" w:line="240" w:lineRule="auto"/>
            </w:pPr>
            <w:r/>
            <w:r>
              <w:rPr>
                <w:sz w:val="15"/>
              </w:rPr>
              <w:t>Financial news</w:t>
            </w:r>
          </w:p>
        </w:tc>
        <w:tc>
          <w:tcPr>
            <w:tcW w:type="dxa" w:w="1474"/>
            <w:shd w:val="clear" w:color="auto" w:fill="F3F6FB"/>
          </w:tcPr>
          <w:p>
            <w:pPr>
              <w:spacing w:after="0" w:line="240" w:lineRule="auto"/>
            </w:pPr>
            <w:r/>
            <w:r>
              <w:rPr>
                <w:sz w:val="15"/>
              </w:rPr>
              <w:t>Greenfield Agro</w:t>
            </w:r>
          </w:p>
        </w:tc>
        <w:tc>
          <w:tcPr>
            <w:tcW w:type="dxa" w:w="7370"/>
            <w:shd w:val="clear" w:color="auto" w:fill="F3F6FB"/>
          </w:tcPr>
          <w:p>
            <w:pPr>
              <w:spacing w:after="0" w:line="240" w:lineRule="auto"/>
            </w:pPr>
            <w:r/>
            <w:r>
              <w:rPr>
                <w:sz w:val="15"/>
              </w:rPr>
              <w:t>Rating agency CRISTAL downgraded Greenfield Agro's long-term debt to 'D' after the company delayed interest payments on its non-convertible debentures, citing a severe liquidity crunch.</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9</w:t>
            </w:r>
          </w:p>
        </w:tc>
        <w:tc>
          <w:tcPr>
            <w:tcW w:type="dxa" w:w="1304"/>
          </w:tcPr>
          <w:p>
            <w:pPr>
              <w:spacing w:after="0" w:line="240" w:lineRule="auto"/>
            </w:pPr>
            <w:r/>
            <w:r>
              <w:rPr>
                <w:sz w:val="15"/>
              </w:rPr>
              <w:t>Financial news</w:t>
            </w:r>
          </w:p>
        </w:tc>
        <w:tc>
          <w:tcPr>
            <w:tcW w:type="dxa" w:w="1474"/>
          </w:tcPr>
          <w:p>
            <w:pPr>
              <w:spacing w:after="0" w:line="240" w:lineRule="auto"/>
            </w:pPr>
            <w:r/>
            <w:r>
              <w:rPr>
                <w:sz w:val="15"/>
              </w:rPr>
              <w:t>Coastal Cements</w:t>
            </w:r>
          </w:p>
        </w:tc>
        <w:tc>
          <w:tcPr>
            <w:tcW w:type="dxa" w:w="7370"/>
          </w:tcPr>
          <w:p>
            <w:pPr>
              <w:spacing w:after="0" w:line="240" w:lineRule="auto"/>
            </w:pPr>
            <w:r/>
            <w:r>
              <w:rPr>
                <w:sz w:val="15"/>
              </w:rPr>
              <w:t>Coastal Cements will announce its results for the quarter ended September on October 24, the company said in a regulatory filing on Monday.</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10</w:t>
            </w:r>
          </w:p>
        </w:tc>
        <w:tc>
          <w:tcPr>
            <w:tcW w:type="dxa" w:w="1304"/>
            <w:shd w:val="clear" w:color="auto" w:fill="F3F6FB"/>
          </w:tcPr>
          <w:p>
            <w:pPr>
              <w:spacing w:after="0" w:line="240" w:lineRule="auto"/>
            </w:pPr>
            <w:r/>
            <w:r>
              <w:rPr>
                <w:sz w:val="15"/>
              </w:rPr>
              <w:t>Financial news</w:t>
            </w:r>
          </w:p>
        </w:tc>
        <w:tc>
          <w:tcPr>
            <w:tcW w:type="dxa" w:w="1474"/>
            <w:shd w:val="clear" w:color="auto" w:fill="F3F6FB"/>
          </w:tcPr>
          <w:p>
            <w:pPr>
              <w:spacing w:after="0" w:line="240" w:lineRule="auto"/>
            </w:pPr>
            <w:r/>
            <w:r>
              <w:rPr>
                <w:sz w:val="15"/>
              </w:rPr>
              <w:t>Meridian Finance</w:t>
            </w:r>
          </w:p>
        </w:tc>
        <w:tc>
          <w:tcPr>
            <w:tcW w:type="dxa" w:w="7370"/>
            <w:shd w:val="clear" w:color="auto" w:fill="F3F6FB"/>
          </w:tcPr>
          <w:p>
            <w:pPr>
              <w:spacing w:after="0" w:line="240" w:lineRule="auto"/>
            </w:pPr>
            <w:r/>
            <w:r>
              <w:rPr>
                <w:sz w:val="15"/>
              </w:rPr>
              <w:t>Meridian Finance's quarterly results were broadly in line with expectations: loan growth of 14% was offset by a slight rise in credit costs, and the stock ended the day flat.</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b/>
                <w:color w:val="C8333B"/>
                <w:sz w:val="15"/>
              </w:rPr>
              <w:t>Negative</w:t>
            </w:r>
          </w:p>
        </w:tc>
      </w:tr>
      <w:tr>
        <w:tc>
          <w:tcPr>
            <w:tcW w:type="dxa" w:w="454"/>
          </w:tcPr>
          <w:p>
            <w:pPr>
              <w:spacing w:after="0" w:line="240" w:lineRule="auto"/>
            </w:pPr>
            <w:r/>
            <w:r>
              <w:rPr>
                <w:sz w:val="15"/>
              </w:rPr>
              <w:t>11</w:t>
            </w:r>
          </w:p>
        </w:tc>
        <w:tc>
          <w:tcPr>
            <w:tcW w:type="dxa" w:w="1304"/>
          </w:tcPr>
          <w:p>
            <w:pPr>
              <w:spacing w:after="0" w:line="240" w:lineRule="auto"/>
            </w:pPr>
            <w:r/>
            <w:r>
              <w:rPr>
                <w:sz w:val="15"/>
              </w:rPr>
              <w:t>Financial news</w:t>
            </w:r>
          </w:p>
        </w:tc>
        <w:tc>
          <w:tcPr>
            <w:tcW w:type="dxa" w:w="1474"/>
          </w:tcPr>
          <w:p>
            <w:pPr>
              <w:spacing w:after="0" w:line="240" w:lineRule="auto"/>
            </w:pPr>
            <w:r/>
            <w:r>
              <w:rPr>
                <w:sz w:val="15"/>
              </w:rPr>
              <w:t>Horizon Airlines</w:t>
            </w:r>
          </w:p>
        </w:tc>
        <w:tc>
          <w:tcPr>
            <w:tcW w:type="dxa" w:w="7370"/>
          </w:tcPr>
          <w:p>
            <w:pPr>
              <w:spacing w:after="0" w:line="240" w:lineRule="auto"/>
            </w:pPr>
            <w:r/>
            <w:r>
              <w:rPr>
                <w:sz w:val="15"/>
              </w:rPr>
              <w:t>Horizon Airlines said it will shift its corporate headquarters from Gurugram to a new office in Delhi's Aerocity by March next year.</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12</w:t>
            </w:r>
          </w:p>
        </w:tc>
        <w:tc>
          <w:tcPr>
            <w:tcW w:type="dxa" w:w="1304"/>
            <w:shd w:val="clear" w:color="auto" w:fill="F3F6FB"/>
          </w:tcPr>
          <w:p>
            <w:pPr>
              <w:spacing w:after="0" w:line="240" w:lineRule="auto"/>
            </w:pPr>
            <w:r/>
            <w:r>
              <w:rPr>
                <w:sz w:val="15"/>
              </w:rPr>
              <w:t>Financial news</w:t>
            </w:r>
          </w:p>
        </w:tc>
        <w:tc>
          <w:tcPr>
            <w:tcW w:type="dxa" w:w="1474"/>
            <w:shd w:val="clear" w:color="auto" w:fill="F3F6FB"/>
          </w:tcPr>
          <w:p>
            <w:pPr>
              <w:spacing w:after="0" w:line="240" w:lineRule="auto"/>
            </w:pPr>
            <w:r/>
            <w:r>
              <w:rPr>
                <w:sz w:val="15"/>
              </w:rPr>
              <w:t>Nexus Telecom</w:t>
            </w:r>
          </w:p>
        </w:tc>
        <w:tc>
          <w:tcPr>
            <w:tcW w:type="dxa" w:w="7370"/>
            <w:shd w:val="clear" w:color="auto" w:fill="F3F6FB"/>
          </w:tcPr>
          <w:p>
            <w:pPr>
              <w:spacing w:after="0" w:line="240" w:lineRule="auto"/>
            </w:pPr>
            <w:r/>
            <w:r>
              <w:rPr>
                <w:sz w:val="15"/>
              </w:rPr>
              <w:t>Nexus Telecom's shares will be included in the Nifty Midcap 150 index and excluded from the Nifty Smallcap 250 index as part of the semi-annual index rebalancing effective from next month.</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b/>
                <w:color w:val="C8333B"/>
                <w:sz w:val="15"/>
              </w:rPr>
              <w:t>Positive</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b/>
                <w:color w:val="C8333B"/>
                <w:sz w:val="15"/>
              </w:rPr>
              <w:t>Negative</w:t>
            </w:r>
          </w:p>
        </w:tc>
      </w:tr>
      <w:tr>
        <w:tc>
          <w:tcPr>
            <w:tcW w:type="dxa" w:w="454"/>
          </w:tcPr>
          <w:p>
            <w:pPr>
              <w:spacing w:after="0" w:line="240" w:lineRule="auto"/>
            </w:pPr>
            <w:r/>
            <w:r>
              <w:rPr>
                <w:sz w:val="15"/>
              </w:rPr>
              <w:t>13</w:t>
            </w:r>
          </w:p>
        </w:tc>
        <w:tc>
          <w:tcPr>
            <w:tcW w:type="dxa" w:w="1304"/>
          </w:tcPr>
          <w:p>
            <w:pPr>
              <w:spacing w:after="0" w:line="240" w:lineRule="auto"/>
            </w:pPr>
            <w:r/>
            <w:r>
              <w:rPr>
                <w:sz w:val="15"/>
              </w:rPr>
              <w:t>Company announcement</w:t>
            </w:r>
          </w:p>
        </w:tc>
        <w:tc>
          <w:tcPr>
            <w:tcW w:type="dxa" w:w="1474"/>
          </w:tcPr>
          <w:p>
            <w:pPr>
              <w:spacing w:after="0" w:line="240" w:lineRule="auto"/>
            </w:pPr>
            <w:r/>
            <w:r>
              <w:rPr>
                <w:sz w:val="15"/>
              </w:rPr>
              <w:t>Aurora Steel Ltd</w:t>
            </w:r>
          </w:p>
        </w:tc>
        <w:tc>
          <w:tcPr>
            <w:tcW w:type="dxa" w:w="7370"/>
          </w:tcPr>
          <w:p>
            <w:pPr>
              <w:spacing w:after="0" w:line="240" w:lineRule="auto"/>
            </w:pPr>
            <w:r/>
            <w:r>
              <w:rPr>
                <w:sz w:val="15"/>
              </w:rPr>
              <w:t>Aurora Steel Ltd is pleased to announce that the Board of Directors has approved a buyback of equity shares worth Rs 2,000 crore at a price of Rs 1,450 per share, a premium of 22% to the current market price.</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14</w:t>
            </w:r>
          </w:p>
        </w:tc>
        <w:tc>
          <w:tcPr>
            <w:tcW w:type="dxa" w:w="1304"/>
            <w:shd w:val="clear" w:color="auto" w:fill="F3F6FB"/>
          </w:tcPr>
          <w:p>
            <w:pPr>
              <w:spacing w:after="0" w:line="240" w:lineRule="auto"/>
            </w:pPr>
            <w:r/>
            <w:r>
              <w:rPr>
                <w:sz w:val="15"/>
              </w:rPr>
              <w:t>Company announcement</w:t>
            </w:r>
          </w:p>
        </w:tc>
        <w:tc>
          <w:tcPr>
            <w:tcW w:type="dxa" w:w="1474"/>
            <w:shd w:val="clear" w:color="auto" w:fill="F3F6FB"/>
          </w:tcPr>
          <w:p>
            <w:pPr>
              <w:spacing w:after="0" w:line="240" w:lineRule="auto"/>
            </w:pPr>
            <w:r/>
            <w:r>
              <w:rPr>
                <w:sz w:val="15"/>
              </w:rPr>
              <w:t>Sunrise Pharma</w:t>
            </w:r>
          </w:p>
        </w:tc>
        <w:tc>
          <w:tcPr>
            <w:tcW w:type="dxa" w:w="7370"/>
            <w:shd w:val="clear" w:color="auto" w:fill="F3F6FB"/>
          </w:tcPr>
          <w:p>
            <w:pPr>
              <w:spacing w:after="0" w:line="240" w:lineRule="auto"/>
            </w:pPr>
            <w:r/>
            <w:r>
              <w:rPr>
                <w:sz w:val="15"/>
              </w:rPr>
              <w:t>Sunrise Pharma announces that the Board has recommended a final dividend of Rs 18 per share, the highest in the company's history, in addition to the interim dividend of Rs 7 paid earlier in the year.</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r>
      <w:tr>
        <w:tc>
          <w:tcPr>
            <w:tcW w:type="dxa" w:w="454"/>
          </w:tcPr>
          <w:p>
            <w:pPr>
              <w:spacing w:after="0" w:line="240" w:lineRule="auto"/>
            </w:pPr>
            <w:r/>
            <w:r>
              <w:rPr>
                <w:sz w:val="15"/>
              </w:rPr>
              <w:t>15</w:t>
            </w:r>
          </w:p>
        </w:tc>
        <w:tc>
          <w:tcPr>
            <w:tcW w:type="dxa" w:w="1304"/>
          </w:tcPr>
          <w:p>
            <w:pPr>
              <w:spacing w:after="0" w:line="240" w:lineRule="auto"/>
            </w:pPr>
            <w:r/>
            <w:r>
              <w:rPr>
                <w:sz w:val="15"/>
              </w:rPr>
              <w:t>Company announcement</w:t>
            </w:r>
          </w:p>
        </w:tc>
        <w:tc>
          <w:tcPr>
            <w:tcW w:type="dxa" w:w="1474"/>
          </w:tcPr>
          <w:p>
            <w:pPr>
              <w:spacing w:after="0" w:line="240" w:lineRule="auto"/>
            </w:pPr>
            <w:r/>
            <w:r>
              <w:rPr>
                <w:sz w:val="15"/>
              </w:rPr>
              <w:t>Vertex Infra Projects</w:t>
            </w:r>
          </w:p>
        </w:tc>
        <w:tc>
          <w:tcPr>
            <w:tcW w:type="dxa" w:w="7370"/>
          </w:tcPr>
          <w:p>
            <w:pPr>
              <w:spacing w:after="0" w:line="240" w:lineRule="auto"/>
            </w:pPr>
            <w:r/>
            <w:r>
              <w:rPr>
                <w:sz w:val="15"/>
              </w:rPr>
              <w:t>Vertex Infra Projects Ltd hereby informs that it has been declared the lowest bidder (L1) for a Rs 3,400 crore metro rail project, taking the company's order book to a record Rs 28,000 crore.</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16</w:t>
            </w:r>
          </w:p>
        </w:tc>
        <w:tc>
          <w:tcPr>
            <w:tcW w:type="dxa" w:w="1304"/>
            <w:shd w:val="clear" w:color="auto" w:fill="F3F6FB"/>
          </w:tcPr>
          <w:p>
            <w:pPr>
              <w:spacing w:after="0" w:line="240" w:lineRule="auto"/>
            </w:pPr>
            <w:r/>
            <w:r>
              <w:rPr>
                <w:sz w:val="15"/>
              </w:rPr>
              <w:t>Company announcement</w:t>
            </w:r>
          </w:p>
        </w:tc>
        <w:tc>
          <w:tcPr>
            <w:tcW w:type="dxa" w:w="1474"/>
            <w:shd w:val="clear" w:color="auto" w:fill="F3F6FB"/>
          </w:tcPr>
          <w:p>
            <w:pPr>
              <w:spacing w:after="0" w:line="240" w:lineRule="auto"/>
            </w:pPr>
            <w:r/>
            <w:r>
              <w:rPr>
                <w:sz w:val="15"/>
              </w:rPr>
              <w:t>Brightwave Technologies</w:t>
            </w:r>
          </w:p>
        </w:tc>
        <w:tc>
          <w:tcPr>
            <w:tcW w:type="dxa" w:w="7370"/>
            <w:shd w:val="clear" w:color="auto" w:fill="F3F6FB"/>
          </w:tcPr>
          <w:p>
            <w:pPr>
              <w:spacing w:after="0" w:line="240" w:lineRule="auto"/>
            </w:pPr>
            <w:r/>
            <w:r>
              <w:rPr>
                <w:sz w:val="15"/>
              </w:rPr>
              <w:t>Brightwave Technologies announces the successful completion of the acquisition of CloudNine Analytics, which is expected to be earnings-accretive from the first full year and adds 120 enterprise clients.</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r>
      <w:tr>
        <w:tc>
          <w:tcPr>
            <w:tcW w:type="dxa" w:w="454"/>
          </w:tcPr>
          <w:p>
            <w:pPr>
              <w:spacing w:after="0" w:line="240" w:lineRule="auto"/>
            </w:pPr>
            <w:r/>
            <w:r>
              <w:rPr>
                <w:sz w:val="15"/>
              </w:rPr>
              <w:t>17</w:t>
            </w:r>
          </w:p>
        </w:tc>
        <w:tc>
          <w:tcPr>
            <w:tcW w:type="dxa" w:w="1304"/>
          </w:tcPr>
          <w:p>
            <w:pPr>
              <w:spacing w:after="0" w:line="240" w:lineRule="auto"/>
            </w:pPr>
            <w:r/>
            <w:r>
              <w:rPr>
                <w:sz w:val="15"/>
              </w:rPr>
              <w:t>Company announcement</w:t>
            </w:r>
          </w:p>
        </w:tc>
        <w:tc>
          <w:tcPr>
            <w:tcW w:type="dxa" w:w="1474"/>
          </w:tcPr>
          <w:p>
            <w:pPr>
              <w:spacing w:after="0" w:line="240" w:lineRule="auto"/>
            </w:pPr>
            <w:r/>
            <w:r>
              <w:rPr>
                <w:sz w:val="15"/>
              </w:rPr>
              <w:t>Greenfield Agro</w:t>
            </w:r>
          </w:p>
        </w:tc>
        <w:tc>
          <w:tcPr>
            <w:tcW w:type="dxa" w:w="7370"/>
          </w:tcPr>
          <w:p>
            <w:pPr>
              <w:spacing w:after="0" w:line="240" w:lineRule="auto"/>
            </w:pPr>
            <w:r/>
            <w:r>
              <w:rPr>
                <w:sz w:val="15"/>
              </w:rPr>
              <w:t>Greenfield Agro Ltd informs the exchange that it has defaulted on the repayment of principal and interest of Rs 310 crore due to its lenders on 30 September.</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18</w:t>
            </w:r>
          </w:p>
        </w:tc>
        <w:tc>
          <w:tcPr>
            <w:tcW w:type="dxa" w:w="1304"/>
            <w:shd w:val="clear" w:color="auto" w:fill="F3F6FB"/>
          </w:tcPr>
          <w:p>
            <w:pPr>
              <w:spacing w:after="0" w:line="240" w:lineRule="auto"/>
            </w:pPr>
            <w:r/>
            <w:r>
              <w:rPr>
                <w:sz w:val="15"/>
              </w:rPr>
              <w:t>Company announcement</w:t>
            </w:r>
          </w:p>
        </w:tc>
        <w:tc>
          <w:tcPr>
            <w:tcW w:type="dxa" w:w="1474"/>
            <w:shd w:val="clear" w:color="auto" w:fill="F3F6FB"/>
          </w:tcPr>
          <w:p>
            <w:pPr>
              <w:spacing w:after="0" w:line="240" w:lineRule="auto"/>
            </w:pPr>
            <w:r/>
            <w:r>
              <w:rPr>
                <w:sz w:val="15"/>
              </w:rPr>
              <w:t>Pinnacle Motors</w:t>
            </w:r>
          </w:p>
        </w:tc>
        <w:tc>
          <w:tcPr>
            <w:tcW w:type="dxa" w:w="7370"/>
            <w:shd w:val="clear" w:color="auto" w:fill="F3F6FB"/>
          </w:tcPr>
          <w:p>
            <w:pPr>
              <w:spacing w:after="0" w:line="240" w:lineRule="auto"/>
            </w:pPr>
            <w:r/>
            <w:r>
              <w:rPr>
                <w:sz w:val="15"/>
              </w:rPr>
              <w:t>Pinnacle Motors announces the temporary suspension of operations at its Pune manufacturing plant with immediate effect following a major fire; the plant accounts for nearly 35% of the company's output.</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19</w:t>
            </w:r>
          </w:p>
        </w:tc>
        <w:tc>
          <w:tcPr>
            <w:tcW w:type="dxa" w:w="1304"/>
          </w:tcPr>
          <w:p>
            <w:pPr>
              <w:spacing w:after="0" w:line="240" w:lineRule="auto"/>
            </w:pPr>
            <w:r/>
            <w:r>
              <w:rPr>
                <w:sz w:val="15"/>
              </w:rPr>
              <w:t>Company announcement</w:t>
            </w:r>
          </w:p>
        </w:tc>
        <w:tc>
          <w:tcPr>
            <w:tcW w:type="dxa" w:w="1474"/>
          </w:tcPr>
          <w:p>
            <w:pPr>
              <w:spacing w:after="0" w:line="240" w:lineRule="auto"/>
            </w:pPr>
            <w:r/>
            <w:r>
              <w:rPr>
                <w:sz w:val="15"/>
              </w:rPr>
              <w:t>Lotus Retail</w:t>
            </w:r>
          </w:p>
        </w:tc>
        <w:tc>
          <w:tcPr>
            <w:tcW w:type="dxa" w:w="7370"/>
          </w:tcPr>
          <w:p>
            <w:pPr>
              <w:spacing w:after="0" w:line="240" w:lineRule="auto"/>
            </w:pPr>
            <w:r/>
            <w:r>
              <w:rPr>
                <w:sz w:val="15"/>
              </w:rPr>
              <w:t>Lotus Retail Ltd informs that its Chief Financial Officer and the statutory auditor have resigned with immediate effect, and the auditor has raised concerns about certain related-party transactions.</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20</w:t>
            </w:r>
          </w:p>
        </w:tc>
        <w:tc>
          <w:tcPr>
            <w:tcW w:type="dxa" w:w="1304"/>
            <w:shd w:val="clear" w:color="auto" w:fill="F3F6FB"/>
          </w:tcPr>
          <w:p>
            <w:pPr>
              <w:spacing w:after="0" w:line="240" w:lineRule="auto"/>
            </w:pPr>
            <w:r/>
            <w:r>
              <w:rPr>
                <w:sz w:val="15"/>
              </w:rPr>
              <w:t>Company announcement</w:t>
            </w:r>
          </w:p>
        </w:tc>
        <w:tc>
          <w:tcPr>
            <w:tcW w:type="dxa" w:w="1474"/>
            <w:shd w:val="clear" w:color="auto" w:fill="F3F6FB"/>
          </w:tcPr>
          <w:p>
            <w:pPr>
              <w:spacing w:after="0" w:line="240" w:lineRule="auto"/>
            </w:pPr>
            <w:r/>
            <w:r>
              <w:rPr>
                <w:sz w:val="15"/>
              </w:rPr>
              <w:t>Everest Bank</w:t>
            </w:r>
          </w:p>
        </w:tc>
        <w:tc>
          <w:tcPr>
            <w:tcW w:type="dxa" w:w="7370"/>
            <w:shd w:val="clear" w:color="auto" w:fill="F3F6FB"/>
          </w:tcPr>
          <w:p>
            <w:pPr>
              <w:spacing w:after="0" w:line="240" w:lineRule="auto"/>
            </w:pPr>
            <w:r/>
            <w:r>
              <w:rPr>
                <w:sz w:val="15"/>
              </w:rPr>
              <w:t>Everest Bank announces that the Enforcement Directorate has initiated an investigation into alleged irregularities in loans sanctioned to a group of real-estate companies, and has attached assets worth Rs 800 crore.</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21</w:t>
            </w:r>
          </w:p>
        </w:tc>
        <w:tc>
          <w:tcPr>
            <w:tcW w:type="dxa" w:w="1304"/>
          </w:tcPr>
          <w:p>
            <w:pPr>
              <w:spacing w:after="0" w:line="240" w:lineRule="auto"/>
            </w:pPr>
            <w:r/>
            <w:r>
              <w:rPr>
                <w:sz w:val="15"/>
              </w:rPr>
              <w:t>Company announcement</w:t>
            </w:r>
          </w:p>
        </w:tc>
        <w:tc>
          <w:tcPr>
            <w:tcW w:type="dxa" w:w="1474"/>
          </w:tcPr>
          <w:p>
            <w:pPr>
              <w:spacing w:after="0" w:line="240" w:lineRule="auto"/>
            </w:pPr>
            <w:r/>
            <w:r>
              <w:rPr>
                <w:sz w:val="15"/>
              </w:rPr>
              <w:t>Coastal Cements</w:t>
            </w:r>
          </w:p>
        </w:tc>
        <w:tc>
          <w:tcPr>
            <w:tcW w:type="dxa" w:w="7370"/>
          </w:tcPr>
          <w:p>
            <w:pPr>
              <w:spacing w:after="0" w:line="240" w:lineRule="auto"/>
            </w:pPr>
            <w:r/>
            <w:r>
              <w:rPr>
                <w:sz w:val="15"/>
              </w:rPr>
              <w:t>Coastal Cements Ltd hereby informs that a meeting of the Board of Directors is scheduled on 24 October to consider and approve the unaudited financial results for the quarter ended 30 September.</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22</w:t>
            </w:r>
          </w:p>
        </w:tc>
        <w:tc>
          <w:tcPr>
            <w:tcW w:type="dxa" w:w="1304"/>
            <w:shd w:val="clear" w:color="auto" w:fill="F3F6FB"/>
          </w:tcPr>
          <w:p>
            <w:pPr>
              <w:spacing w:after="0" w:line="240" w:lineRule="auto"/>
            </w:pPr>
            <w:r/>
            <w:r>
              <w:rPr>
                <w:sz w:val="15"/>
              </w:rPr>
              <w:t>Company announcement</w:t>
            </w:r>
          </w:p>
        </w:tc>
        <w:tc>
          <w:tcPr>
            <w:tcW w:type="dxa" w:w="1474"/>
            <w:shd w:val="clear" w:color="auto" w:fill="F3F6FB"/>
          </w:tcPr>
          <w:p>
            <w:pPr>
              <w:spacing w:after="0" w:line="240" w:lineRule="auto"/>
            </w:pPr>
            <w:r/>
            <w:r>
              <w:rPr>
                <w:sz w:val="15"/>
              </w:rPr>
              <w:t>Meridian Finance</w:t>
            </w:r>
          </w:p>
        </w:tc>
        <w:tc>
          <w:tcPr>
            <w:tcW w:type="dxa" w:w="7370"/>
            <w:shd w:val="clear" w:color="auto" w:fill="F3F6FB"/>
          </w:tcPr>
          <w:p>
            <w:pPr>
              <w:spacing w:after="0" w:line="240" w:lineRule="auto"/>
            </w:pPr>
            <w:r/>
            <w:r>
              <w:rPr>
                <w:sz w:val="15"/>
              </w:rPr>
              <w:t>Pursuant to Regulation 30 of the SEBI (LODR) Regulations, Meridian Finance Ltd informs that the trading window for dealing in its securities will remain closed for designated persons until 48 hours after the declaration of results.</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r>
      <w:tr>
        <w:tc>
          <w:tcPr>
            <w:tcW w:type="dxa" w:w="454"/>
          </w:tcPr>
          <w:p>
            <w:pPr>
              <w:spacing w:after="0" w:line="240" w:lineRule="auto"/>
            </w:pPr>
            <w:r/>
            <w:r>
              <w:rPr>
                <w:sz w:val="15"/>
              </w:rPr>
              <w:t>23</w:t>
            </w:r>
          </w:p>
        </w:tc>
        <w:tc>
          <w:tcPr>
            <w:tcW w:type="dxa" w:w="1304"/>
          </w:tcPr>
          <w:p>
            <w:pPr>
              <w:spacing w:after="0" w:line="240" w:lineRule="auto"/>
            </w:pPr>
            <w:r/>
            <w:r>
              <w:rPr>
                <w:sz w:val="15"/>
              </w:rPr>
              <w:t>Company announcement</w:t>
            </w:r>
          </w:p>
        </w:tc>
        <w:tc>
          <w:tcPr>
            <w:tcW w:type="dxa" w:w="1474"/>
          </w:tcPr>
          <w:p>
            <w:pPr>
              <w:spacing w:after="0" w:line="240" w:lineRule="auto"/>
            </w:pPr>
            <w:r/>
            <w:r>
              <w:rPr>
                <w:sz w:val="15"/>
              </w:rPr>
              <w:t>Horizon Airlines</w:t>
            </w:r>
          </w:p>
        </w:tc>
        <w:tc>
          <w:tcPr>
            <w:tcW w:type="dxa" w:w="7370"/>
          </w:tcPr>
          <w:p>
            <w:pPr>
              <w:spacing w:after="0" w:line="240" w:lineRule="auto"/>
            </w:pPr>
            <w:r/>
            <w:r>
              <w:rPr>
                <w:sz w:val="15"/>
              </w:rPr>
              <w:t>Horizon Airlines Ltd informs that the 18th Annual General Meeting of the company will be held on 12 August through video conferencing, and the record date for the purpose of the AGM is 5 August.</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24</w:t>
            </w:r>
          </w:p>
        </w:tc>
        <w:tc>
          <w:tcPr>
            <w:tcW w:type="dxa" w:w="1304"/>
            <w:shd w:val="clear" w:color="auto" w:fill="F3F6FB"/>
          </w:tcPr>
          <w:p>
            <w:pPr>
              <w:spacing w:after="0" w:line="240" w:lineRule="auto"/>
            </w:pPr>
            <w:r/>
            <w:r>
              <w:rPr>
                <w:sz w:val="15"/>
              </w:rPr>
              <w:t>Company announcement</w:t>
            </w:r>
          </w:p>
        </w:tc>
        <w:tc>
          <w:tcPr>
            <w:tcW w:type="dxa" w:w="1474"/>
            <w:shd w:val="clear" w:color="auto" w:fill="F3F6FB"/>
          </w:tcPr>
          <w:p>
            <w:pPr>
              <w:spacing w:after="0" w:line="240" w:lineRule="auto"/>
            </w:pPr>
            <w:r/>
            <w:r>
              <w:rPr>
                <w:sz w:val="15"/>
              </w:rPr>
              <w:t>Nexus Telecom</w:t>
            </w:r>
          </w:p>
        </w:tc>
        <w:tc>
          <w:tcPr>
            <w:tcW w:type="dxa" w:w="7370"/>
            <w:shd w:val="clear" w:color="auto" w:fill="F3F6FB"/>
          </w:tcPr>
          <w:p>
            <w:pPr>
              <w:spacing w:after="0" w:line="240" w:lineRule="auto"/>
            </w:pPr>
            <w:r/>
            <w:r>
              <w:rPr>
                <w:sz w:val="15"/>
              </w:rPr>
              <w:t>Nexus Telecom Ltd announces the appointment of M/s Rao &amp; Associates, Chartered Accountants, as the secretarial auditor of the company for a term of five years, subject to shareholders' approval.</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r>
      <w:tr>
        <w:tc>
          <w:tcPr>
            <w:tcW w:type="dxa" w:w="454"/>
          </w:tcPr>
          <w:p>
            <w:pPr>
              <w:spacing w:after="0" w:line="240" w:lineRule="auto"/>
            </w:pPr>
            <w:r/>
            <w:r>
              <w:rPr>
                <w:sz w:val="15"/>
              </w:rPr>
              <w:t>25</w:t>
            </w:r>
          </w:p>
        </w:tc>
        <w:tc>
          <w:tcPr>
            <w:tcW w:type="dxa" w:w="1304"/>
          </w:tcPr>
          <w:p>
            <w:pPr>
              <w:spacing w:after="0" w:line="240" w:lineRule="auto"/>
            </w:pPr>
            <w:r/>
            <w:r>
              <w:rPr>
                <w:sz w:val="15"/>
              </w:rPr>
              <w:t>Analyst commentary</w:t>
            </w:r>
          </w:p>
        </w:tc>
        <w:tc>
          <w:tcPr>
            <w:tcW w:type="dxa" w:w="1474"/>
          </w:tcPr>
          <w:p>
            <w:pPr>
              <w:spacing w:after="0" w:line="240" w:lineRule="auto"/>
            </w:pPr>
            <w:r/>
            <w:r>
              <w:rPr>
                <w:sz w:val="15"/>
              </w:rPr>
              <w:t>Brightwave Technologies</w:t>
            </w:r>
          </w:p>
        </w:tc>
        <w:tc>
          <w:tcPr>
            <w:tcW w:type="dxa" w:w="7370"/>
          </w:tcPr>
          <w:p>
            <w:pPr>
              <w:spacing w:after="0" w:line="240" w:lineRule="auto"/>
            </w:pPr>
            <w:r/>
            <w:r>
              <w:rPr>
                <w:sz w:val="15"/>
              </w:rPr>
              <w:t>We upgrade Brightwave Technologies to BUY from HOLD and raise our target price to Rs 1,850, implying 28% upside. Strong deal wins and improving margins give us confidence in double-digit earnings growth over FY26-28.</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26</w:t>
            </w:r>
          </w:p>
        </w:tc>
        <w:tc>
          <w:tcPr>
            <w:tcW w:type="dxa" w:w="1304"/>
            <w:shd w:val="clear" w:color="auto" w:fill="F3F6FB"/>
          </w:tcPr>
          <w:p>
            <w:pPr>
              <w:spacing w:after="0" w:line="240" w:lineRule="auto"/>
            </w:pPr>
            <w:r/>
            <w:r>
              <w:rPr>
                <w:sz w:val="15"/>
              </w:rPr>
              <w:t>Analyst commentary</w:t>
            </w:r>
          </w:p>
        </w:tc>
        <w:tc>
          <w:tcPr>
            <w:tcW w:type="dxa" w:w="1474"/>
            <w:shd w:val="clear" w:color="auto" w:fill="F3F6FB"/>
          </w:tcPr>
          <w:p>
            <w:pPr>
              <w:spacing w:after="0" w:line="240" w:lineRule="auto"/>
            </w:pPr>
            <w:r/>
            <w:r>
              <w:rPr>
                <w:sz w:val="15"/>
              </w:rPr>
              <w:t>Aurora Steel Ltd</w:t>
            </w:r>
          </w:p>
        </w:tc>
        <w:tc>
          <w:tcPr>
            <w:tcW w:type="dxa" w:w="7370"/>
            <w:shd w:val="clear" w:color="auto" w:fill="F3F6FB"/>
          </w:tcPr>
          <w:p>
            <w:pPr>
              <w:spacing w:after="0" w:line="240" w:lineRule="auto"/>
            </w:pPr>
            <w:r/>
            <w:r>
              <w:rPr>
                <w:sz w:val="15"/>
              </w:rPr>
              <w:t>Aurora Steel remains our top pick in the metals space. Capacity expansion is on track, costs are falling and we see return on equity improving to 20% by FY27. Reiterate OUTPERFORM.</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r>
      <w:tr>
        <w:tc>
          <w:tcPr>
            <w:tcW w:type="dxa" w:w="454"/>
          </w:tcPr>
          <w:p>
            <w:pPr>
              <w:spacing w:after="0" w:line="240" w:lineRule="auto"/>
            </w:pPr>
            <w:r/>
            <w:r>
              <w:rPr>
                <w:sz w:val="15"/>
              </w:rPr>
              <w:t>27</w:t>
            </w:r>
          </w:p>
        </w:tc>
        <w:tc>
          <w:tcPr>
            <w:tcW w:type="dxa" w:w="1304"/>
          </w:tcPr>
          <w:p>
            <w:pPr>
              <w:spacing w:after="0" w:line="240" w:lineRule="auto"/>
            </w:pPr>
            <w:r/>
            <w:r>
              <w:rPr>
                <w:sz w:val="15"/>
              </w:rPr>
              <w:t>Analyst commentary</w:t>
            </w:r>
          </w:p>
        </w:tc>
        <w:tc>
          <w:tcPr>
            <w:tcW w:type="dxa" w:w="1474"/>
          </w:tcPr>
          <w:p>
            <w:pPr>
              <w:spacing w:after="0" w:line="240" w:lineRule="auto"/>
            </w:pPr>
            <w:r/>
            <w:r>
              <w:rPr>
                <w:sz w:val="15"/>
              </w:rPr>
              <w:t>Kaveri Power Ltd</w:t>
            </w:r>
          </w:p>
        </w:tc>
        <w:tc>
          <w:tcPr>
            <w:tcW w:type="dxa" w:w="7370"/>
          </w:tcPr>
          <w:p>
            <w:pPr>
              <w:spacing w:after="0" w:line="240" w:lineRule="auto"/>
            </w:pPr>
            <w:r/>
            <w:r>
              <w:rPr>
                <w:sz w:val="15"/>
              </w:rPr>
              <w:t>Kaveri Power's turnaround is gaining momentum: we expect the company to turn profitable next quarter as the new tariff order kicks in. We initiate coverage with a BUY rating and a target of Rs 260.</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28</w:t>
            </w:r>
          </w:p>
        </w:tc>
        <w:tc>
          <w:tcPr>
            <w:tcW w:type="dxa" w:w="1304"/>
            <w:shd w:val="clear" w:color="auto" w:fill="F3F6FB"/>
          </w:tcPr>
          <w:p>
            <w:pPr>
              <w:spacing w:after="0" w:line="240" w:lineRule="auto"/>
            </w:pPr>
            <w:r/>
            <w:r>
              <w:rPr>
                <w:sz w:val="15"/>
              </w:rPr>
              <w:t>Analyst commentary</w:t>
            </w:r>
          </w:p>
        </w:tc>
        <w:tc>
          <w:tcPr>
            <w:tcW w:type="dxa" w:w="1474"/>
            <w:shd w:val="clear" w:color="auto" w:fill="F3F6FB"/>
          </w:tcPr>
          <w:p>
            <w:pPr>
              <w:spacing w:after="0" w:line="240" w:lineRule="auto"/>
            </w:pPr>
            <w:r/>
            <w:r>
              <w:rPr>
                <w:sz w:val="15"/>
              </w:rPr>
              <w:t>Sunrise Pharma</w:t>
            </w:r>
          </w:p>
        </w:tc>
        <w:tc>
          <w:tcPr>
            <w:tcW w:type="dxa" w:w="7370"/>
            <w:shd w:val="clear" w:color="auto" w:fill="F3F6FB"/>
          </w:tcPr>
          <w:p>
            <w:pPr>
              <w:spacing w:after="0" w:line="240" w:lineRule="auto"/>
            </w:pPr>
            <w:r/>
            <w:r>
              <w:rPr>
                <w:sz w:val="15"/>
              </w:rPr>
              <w:t>Sunrise Pharma's US pipeline is the strongest among Indian peers, with 12 approvals expected over two years. We raise our FY27 EPS estimate by 15% and maintain ADD with a higher target price.</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r>
      <w:tr>
        <w:tc>
          <w:tcPr>
            <w:tcW w:type="dxa" w:w="454"/>
          </w:tcPr>
          <w:p>
            <w:pPr>
              <w:spacing w:after="0" w:line="240" w:lineRule="auto"/>
            </w:pPr>
            <w:r/>
            <w:r>
              <w:rPr>
                <w:sz w:val="15"/>
              </w:rPr>
              <w:t>29</w:t>
            </w:r>
          </w:p>
        </w:tc>
        <w:tc>
          <w:tcPr>
            <w:tcW w:type="dxa" w:w="1304"/>
          </w:tcPr>
          <w:p>
            <w:pPr>
              <w:spacing w:after="0" w:line="240" w:lineRule="auto"/>
            </w:pPr>
            <w:r/>
            <w:r>
              <w:rPr>
                <w:sz w:val="15"/>
              </w:rPr>
              <w:t>Analyst commentary</w:t>
            </w:r>
          </w:p>
        </w:tc>
        <w:tc>
          <w:tcPr>
            <w:tcW w:type="dxa" w:w="1474"/>
          </w:tcPr>
          <w:p>
            <w:pPr>
              <w:spacing w:after="0" w:line="240" w:lineRule="auto"/>
            </w:pPr>
            <w:r/>
            <w:r>
              <w:rPr>
                <w:sz w:val="15"/>
              </w:rPr>
              <w:t>Pinnacle Motors</w:t>
            </w:r>
          </w:p>
        </w:tc>
        <w:tc>
          <w:tcPr>
            <w:tcW w:type="dxa" w:w="7370"/>
          </w:tcPr>
          <w:p>
            <w:pPr>
              <w:spacing w:after="0" w:line="240" w:lineRule="auto"/>
            </w:pPr>
            <w:r/>
            <w:r>
              <w:rPr>
                <w:sz w:val="15"/>
              </w:rPr>
              <w:t>We downgrade Pinnacle Motors to SELL. Rising competition in the EV segment, market-share losses and elevated inventory levels are likely to pressure margins; we cut our target price by 25% to Rs 540.</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30</w:t>
            </w:r>
          </w:p>
        </w:tc>
        <w:tc>
          <w:tcPr>
            <w:tcW w:type="dxa" w:w="1304"/>
            <w:shd w:val="clear" w:color="auto" w:fill="F3F6FB"/>
          </w:tcPr>
          <w:p>
            <w:pPr>
              <w:spacing w:after="0" w:line="240" w:lineRule="auto"/>
            </w:pPr>
            <w:r/>
            <w:r>
              <w:rPr>
                <w:sz w:val="15"/>
              </w:rPr>
              <w:t>Analyst commentary</w:t>
            </w:r>
          </w:p>
        </w:tc>
        <w:tc>
          <w:tcPr>
            <w:tcW w:type="dxa" w:w="1474"/>
            <w:shd w:val="clear" w:color="auto" w:fill="F3F6FB"/>
          </w:tcPr>
          <w:p>
            <w:pPr>
              <w:spacing w:after="0" w:line="240" w:lineRule="auto"/>
            </w:pPr>
            <w:r/>
            <w:r>
              <w:rPr>
                <w:sz w:val="15"/>
              </w:rPr>
              <w:t>Lotus Retail</w:t>
            </w:r>
          </w:p>
        </w:tc>
        <w:tc>
          <w:tcPr>
            <w:tcW w:type="dxa" w:w="7370"/>
            <w:shd w:val="clear" w:color="auto" w:fill="F3F6FB"/>
          </w:tcPr>
          <w:p>
            <w:pPr>
              <w:spacing w:after="0" w:line="240" w:lineRule="auto"/>
            </w:pPr>
            <w:r/>
            <w:r>
              <w:rPr>
                <w:sz w:val="15"/>
              </w:rPr>
              <w:t>Lotus Retail's same-store sales growth has decelerated for the fourth consecutive quarter. With store expansion slowing and rentals rising, we see downside risk to consensus earnings and maintain UNDERPERFORM.</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31</w:t>
            </w:r>
          </w:p>
        </w:tc>
        <w:tc>
          <w:tcPr>
            <w:tcW w:type="dxa" w:w="1304"/>
          </w:tcPr>
          <w:p>
            <w:pPr>
              <w:spacing w:after="0" w:line="240" w:lineRule="auto"/>
            </w:pPr>
            <w:r/>
            <w:r>
              <w:rPr>
                <w:sz w:val="15"/>
              </w:rPr>
              <w:t>Analyst commentary</w:t>
            </w:r>
          </w:p>
        </w:tc>
        <w:tc>
          <w:tcPr>
            <w:tcW w:type="dxa" w:w="1474"/>
          </w:tcPr>
          <w:p>
            <w:pPr>
              <w:spacing w:after="0" w:line="240" w:lineRule="auto"/>
            </w:pPr>
            <w:r/>
            <w:r>
              <w:rPr>
                <w:sz w:val="15"/>
              </w:rPr>
              <w:t>Greenfield Agro</w:t>
            </w:r>
          </w:p>
        </w:tc>
        <w:tc>
          <w:tcPr>
            <w:tcW w:type="dxa" w:w="7370"/>
          </w:tcPr>
          <w:p>
            <w:pPr>
              <w:spacing w:after="0" w:line="240" w:lineRule="auto"/>
            </w:pPr>
            <w:r/>
            <w:r>
              <w:rPr>
                <w:sz w:val="15"/>
              </w:rPr>
              <w:t>Given the default on its debt and the absence of a credible refinancing plan, we suspend our rating on Greenfield Agro and advise investors to exit; equity holders face a meaningful risk of dilution or loss.</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32</w:t>
            </w:r>
          </w:p>
        </w:tc>
        <w:tc>
          <w:tcPr>
            <w:tcW w:type="dxa" w:w="1304"/>
            <w:shd w:val="clear" w:color="auto" w:fill="F3F6FB"/>
          </w:tcPr>
          <w:p>
            <w:pPr>
              <w:spacing w:after="0" w:line="240" w:lineRule="auto"/>
            </w:pPr>
            <w:r/>
            <w:r>
              <w:rPr>
                <w:sz w:val="15"/>
              </w:rPr>
              <w:t>Analyst commentary</w:t>
            </w:r>
          </w:p>
        </w:tc>
        <w:tc>
          <w:tcPr>
            <w:tcW w:type="dxa" w:w="1474"/>
            <w:shd w:val="clear" w:color="auto" w:fill="F3F6FB"/>
          </w:tcPr>
          <w:p>
            <w:pPr>
              <w:spacing w:after="0" w:line="240" w:lineRule="auto"/>
            </w:pPr>
            <w:r/>
            <w:r>
              <w:rPr>
                <w:sz w:val="15"/>
              </w:rPr>
              <w:t>Everest Bank</w:t>
            </w:r>
          </w:p>
        </w:tc>
        <w:tc>
          <w:tcPr>
            <w:tcW w:type="dxa" w:w="7370"/>
            <w:shd w:val="clear" w:color="auto" w:fill="F3F6FB"/>
          </w:tcPr>
          <w:p>
            <w:pPr>
              <w:spacing w:after="0" w:line="240" w:lineRule="auto"/>
            </w:pPr>
            <w:r/>
            <w:r>
              <w:rPr>
                <w:sz w:val="15"/>
              </w:rPr>
              <w:t>Everest Bank's asset-quality deterioration is worse than we expected: gross NPAs rose to 6.8% and slippages in the unsecured book remain high. We cut our earnings estimates by 18% and move to REDUCE.</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33</w:t>
            </w:r>
          </w:p>
        </w:tc>
        <w:tc>
          <w:tcPr>
            <w:tcW w:type="dxa" w:w="1304"/>
          </w:tcPr>
          <w:p>
            <w:pPr>
              <w:spacing w:after="0" w:line="240" w:lineRule="auto"/>
            </w:pPr>
            <w:r/>
            <w:r>
              <w:rPr>
                <w:sz w:val="15"/>
              </w:rPr>
              <w:t>Analyst commentary</w:t>
            </w:r>
          </w:p>
        </w:tc>
        <w:tc>
          <w:tcPr>
            <w:tcW w:type="dxa" w:w="1474"/>
          </w:tcPr>
          <w:p>
            <w:pPr>
              <w:spacing w:after="0" w:line="240" w:lineRule="auto"/>
            </w:pPr>
            <w:r/>
            <w:r>
              <w:rPr>
                <w:sz w:val="15"/>
              </w:rPr>
              <w:t>Meridian Finance</w:t>
            </w:r>
          </w:p>
        </w:tc>
        <w:tc>
          <w:tcPr>
            <w:tcW w:type="dxa" w:w="7370"/>
          </w:tcPr>
          <w:p>
            <w:pPr>
              <w:spacing w:after="0" w:line="240" w:lineRule="auto"/>
            </w:pPr>
            <w:r/>
            <w:r>
              <w:rPr>
                <w:sz w:val="15"/>
              </w:rPr>
              <w:t>We maintain our HOLD rating on Meridian Finance with an unchanged target price. Loan growth and margins are tracking our estimates, and the current valuation fairly reflects the company's prospects.</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b/>
                <w:color w:val="C8333B"/>
                <w:sz w:val="15"/>
              </w:rPr>
              <w:t>Positive</w:t>
            </w:r>
          </w:p>
        </w:tc>
        <w:tc>
          <w:tcPr>
            <w:tcW w:type="dxa" w:w="879"/>
          </w:tcPr>
          <w:p>
            <w:pPr>
              <w:spacing w:after="0" w:line="240" w:lineRule="auto"/>
            </w:pPr>
            <w:r/>
            <w:r>
              <w:rPr>
                <w:b/>
                <w:color w:val="C8333B"/>
                <w:sz w:val="15"/>
              </w:rPr>
              <w:t>Positive</w:t>
            </w:r>
          </w:p>
        </w:tc>
      </w:tr>
      <w:tr>
        <w:tc>
          <w:tcPr>
            <w:tcW w:type="dxa" w:w="454"/>
            <w:shd w:val="clear" w:color="auto" w:fill="F3F6FB"/>
          </w:tcPr>
          <w:p>
            <w:pPr>
              <w:spacing w:after="0" w:line="240" w:lineRule="auto"/>
            </w:pPr>
            <w:r/>
            <w:r>
              <w:rPr>
                <w:sz w:val="15"/>
              </w:rPr>
              <w:t>34</w:t>
            </w:r>
          </w:p>
        </w:tc>
        <w:tc>
          <w:tcPr>
            <w:tcW w:type="dxa" w:w="1304"/>
            <w:shd w:val="clear" w:color="auto" w:fill="F3F6FB"/>
          </w:tcPr>
          <w:p>
            <w:pPr>
              <w:spacing w:after="0" w:line="240" w:lineRule="auto"/>
            </w:pPr>
            <w:r/>
            <w:r>
              <w:rPr>
                <w:sz w:val="15"/>
              </w:rPr>
              <w:t>Analyst commentary</w:t>
            </w:r>
          </w:p>
        </w:tc>
        <w:tc>
          <w:tcPr>
            <w:tcW w:type="dxa" w:w="1474"/>
            <w:shd w:val="clear" w:color="auto" w:fill="F3F6FB"/>
          </w:tcPr>
          <w:p>
            <w:pPr>
              <w:spacing w:after="0" w:line="240" w:lineRule="auto"/>
            </w:pPr>
            <w:r/>
            <w:r>
              <w:rPr>
                <w:sz w:val="15"/>
              </w:rPr>
              <w:t>Coastal Cements</w:t>
            </w:r>
          </w:p>
        </w:tc>
        <w:tc>
          <w:tcPr>
            <w:tcW w:type="dxa" w:w="7370"/>
            <w:shd w:val="clear" w:color="auto" w:fill="F3F6FB"/>
          </w:tcPr>
          <w:p>
            <w:pPr>
              <w:spacing w:after="0" w:line="240" w:lineRule="auto"/>
            </w:pPr>
            <w:r/>
            <w:r>
              <w:rPr>
                <w:sz w:val="15"/>
              </w:rPr>
              <w:t>Coastal Cements' results were in line with our forecasts. Volume growth was healthy, but pricing remained weak; we see balanced risks and keep our NEUTRAL stance.</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b/>
                <w:color w:val="C8333B"/>
                <w:sz w:val="15"/>
              </w:rPr>
              <w:t>Negative</w:t>
            </w:r>
          </w:p>
        </w:tc>
      </w:tr>
      <w:tr>
        <w:tc>
          <w:tcPr>
            <w:tcW w:type="dxa" w:w="454"/>
          </w:tcPr>
          <w:p>
            <w:pPr>
              <w:spacing w:after="0" w:line="240" w:lineRule="auto"/>
            </w:pPr>
            <w:r/>
            <w:r>
              <w:rPr>
                <w:sz w:val="15"/>
              </w:rPr>
              <w:t>35</w:t>
            </w:r>
          </w:p>
        </w:tc>
        <w:tc>
          <w:tcPr>
            <w:tcW w:type="dxa" w:w="1304"/>
          </w:tcPr>
          <w:p>
            <w:pPr>
              <w:spacing w:after="0" w:line="240" w:lineRule="auto"/>
            </w:pPr>
            <w:r/>
            <w:r>
              <w:rPr>
                <w:sz w:val="15"/>
              </w:rPr>
              <w:t>Analyst commentary</w:t>
            </w:r>
          </w:p>
        </w:tc>
        <w:tc>
          <w:tcPr>
            <w:tcW w:type="dxa" w:w="1474"/>
          </w:tcPr>
          <w:p>
            <w:pPr>
              <w:spacing w:after="0" w:line="240" w:lineRule="auto"/>
            </w:pPr>
            <w:r/>
            <w:r>
              <w:rPr>
                <w:sz w:val="15"/>
              </w:rPr>
              <w:t>Horizon Airlines</w:t>
            </w:r>
          </w:p>
        </w:tc>
        <w:tc>
          <w:tcPr>
            <w:tcW w:type="dxa" w:w="7370"/>
          </w:tcPr>
          <w:p>
            <w:pPr>
              <w:spacing w:after="0" w:line="240" w:lineRule="auto"/>
            </w:pPr>
            <w:r/>
            <w:r>
              <w:rPr>
                <w:sz w:val="15"/>
              </w:rPr>
              <w:t>Horizon Airlines benefits from strong travel demand, but high fuel prices and a stretched balance sheet offset the positives. We initiate coverage with an EQUAL-WEIGHT rating.</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36</w:t>
            </w:r>
          </w:p>
        </w:tc>
        <w:tc>
          <w:tcPr>
            <w:tcW w:type="dxa" w:w="1304"/>
            <w:shd w:val="clear" w:color="auto" w:fill="F3F6FB"/>
          </w:tcPr>
          <w:p>
            <w:pPr>
              <w:spacing w:after="0" w:line="240" w:lineRule="auto"/>
            </w:pPr>
            <w:r/>
            <w:r>
              <w:rPr>
                <w:sz w:val="15"/>
              </w:rPr>
              <w:t>Analyst commentary</w:t>
            </w:r>
          </w:p>
        </w:tc>
        <w:tc>
          <w:tcPr>
            <w:tcW w:type="dxa" w:w="1474"/>
            <w:shd w:val="clear" w:color="auto" w:fill="F3F6FB"/>
          </w:tcPr>
          <w:p>
            <w:pPr>
              <w:spacing w:after="0" w:line="240" w:lineRule="auto"/>
            </w:pPr>
            <w:r/>
            <w:r>
              <w:rPr>
                <w:sz w:val="15"/>
              </w:rPr>
              <w:t>Nexus Telecom</w:t>
            </w:r>
          </w:p>
        </w:tc>
        <w:tc>
          <w:tcPr>
            <w:tcW w:type="dxa" w:w="7370"/>
            <w:shd w:val="clear" w:color="auto" w:fill="F3F6FB"/>
          </w:tcPr>
          <w:p>
            <w:pPr>
              <w:spacing w:after="0" w:line="240" w:lineRule="auto"/>
            </w:pPr>
            <w:r/>
            <w:r>
              <w:rPr>
                <w:sz w:val="15"/>
              </w:rPr>
              <w:t>Nexus Telecom's tariff hike should support revenue, but the higher spectrum payments due next year will absorb most of the benefit. Our estimates are unchanged and we reiterate HOLD.</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b/>
                <w:color w:val="C8333B"/>
                <w:sz w:val="15"/>
              </w:rPr>
              <w:t>Positive</w:t>
            </w:r>
          </w:p>
        </w:tc>
      </w:tr>
      <w:tr>
        <w:tc>
          <w:tcPr>
            <w:tcW w:type="dxa" w:w="454"/>
          </w:tcPr>
          <w:p>
            <w:pPr>
              <w:spacing w:after="0" w:line="240" w:lineRule="auto"/>
            </w:pPr>
            <w:r/>
            <w:r>
              <w:rPr>
                <w:sz w:val="15"/>
              </w:rPr>
              <w:t>37</w:t>
            </w:r>
          </w:p>
        </w:tc>
        <w:tc>
          <w:tcPr>
            <w:tcW w:type="dxa" w:w="1304"/>
          </w:tcPr>
          <w:p>
            <w:pPr>
              <w:spacing w:after="0" w:line="240" w:lineRule="auto"/>
            </w:pPr>
            <w:r/>
            <w:r>
              <w:rPr>
                <w:sz w:val="15"/>
              </w:rPr>
              <w:t>Investor comment</w:t>
            </w:r>
          </w:p>
        </w:tc>
        <w:tc>
          <w:tcPr>
            <w:tcW w:type="dxa" w:w="1474"/>
          </w:tcPr>
          <w:p>
            <w:pPr>
              <w:spacing w:after="0" w:line="240" w:lineRule="auto"/>
            </w:pPr>
            <w:r/>
            <w:r>
              <w:rPr>
                <w:sz w:val="15"/>
              </w:rPr>
              <w:t>Sunrise Pharma</w:t>
            </w:r>
          </w:p>
        </w:tc>
        <w:tc>
          <w:tcPr>
            <w:tcW w:type="dxa" w:w="7370"/>
          </w:tcPr>
          <w:p>
            <w:pPr>
              <w:spacing w:after="0" w:line="240" w:lineRule="auto"/>
            </w:pPr>
            <w:r/>
            <w:r>
              <w:rPr>
                <w:sz w:val="15"/>
              </w:rPr>
              <w:t>I've held Sunrise Pharma since 2019 and the management has delivered on every promise. With the new FDA approvals, I'm increasing my position - this is a long-term compounder.</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38</w:t>
            </w:r>
          </w:p>
        </w:tc>
        <w:tc>
          <w:tcPr>
            <w:tcW w:type="dxa" w:w="1304"/>
            <w:shd w:val="clear" w:color="auto" w:fill="F3F6FB"/>
          </w:tcPr>
          <w:p>
            <w:pPr>
              <w:spacing w:after="0" w:line="240" w:lineRule="auto"/>
            </w:pPr>
            <w:r/>
            <w:r>
              <w:rPr>
                <w:sz w:val="15"/>
              </w:rPr>
              <w:t>Investor comment</w:t>
            </w:r>
          </w:p>
        </w:tc>
        <w:tc>
          <w:tcPr>
            <w:tcW w:type="dxa" w:w="1474"/>
            <w:shd w:val="clear" w:color="auto" w:fill="F3F6FB"/>
          </w:tcPr>
          <w:p>
            <w:pPr>
              <w:spacing w:after="0" w:line="240" w:lineRule="auto"/>
            </w:pPr>
            <w:r/>
            <w:r>
              <w:rPr>
                <w:sz w:val="15"/>
              </w:rPr>
              <w:t>Aurora Steel Ltd</w:t>
            </w:r>
          </w:p>
        </w:tc>
        <w:tc>
          <w:tcPr>
            <w:tcW w:type="dxa" w:w="7370"/>
            <w:shd w:val="clear" w:color="auto" w:fill="F3F6FB"/>
          </w:tcPr>
          <w:p>
            <w:pPr>
              <w:spacing w:after="0" w:line="240" w:lineRule="auto"/>
            </w:pPr>
            <w:r/>
            <w:r>
              <w:rPr>
                <w:sz w:val="15"/>
              </w:rPr>
              <w:t>Aurora Steel's buyback at a 22% premium shows the promoters believe the stock is undervalued. As a shareholder I'm very happy and will tender part of my holding.</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r>
      <w:tr>
        <w:tc>
          <w:tcPr>
            <w:tcW w:type="dxa" w:w="454"/>
          </w:tcPr>
          <w:p>
            <w:pPr>
              <w:spacing w:after="0" w:line="240" w:lineRule="auto"/>
            </w:pPr>
            <w:r/>
            <w:r>
              <w:rPr>
                <w:sz w:val="15"/>
              </w:rPr>
              <w:t>39</w:t>
            </w:r>
          </w:p>
        </w:tc>
        <w:tc>
          <w:tcPr>
            <w:tcW w:type="dxa" w:w="1304"/>
          </w:tcPr>
          <w:p>
            <w:pPr>
              <w:spacing w:after="0" w:line="240" w:lineRule="auto"/>
            </w:pPr>
            <w:r/>
            <w:r>
              <w:rPr>
                <w:sz w:val="15"/>
              </w:rPr>
              <w:t>Investor comment</w:t>
            </w:r>
          </w:p>
        </w:tc>
        <w:tc>
          <w:tcPr>
            <w:tcW w:type="dxa" w:w="1474"/>
          </w:tcPr>
          <w:p>
            <w:pPr>
              <w:spacing w:after="0" w:line="240" w:lineRule="auto"/>
            </w:pPr>
            <w:r/>
            <w:r>
              <w:rPr>
                <w:sz w:val="15"/>
              </w:rPr>
              <w:t>Vertex Infra Projects</w:t>
            </w:r>
          </w:p>
        </w:tc>
        <w:tc>
          <w:tcPr>
            <w:tcW w:type="dxa" w:w="7370"/>
          </w:tcPr>
          <w:p>
            <w:pPr>
              <w:spacing w:after="0" w:line="240" w:lineRule="auto"/>
            </w:pPr>
            <w:r/>
            <w:r>
              <w:rPr>
                <w:sz w:val="15"/>
              </w:rPr>
              <w:t>Vertex Infra's order book is now almost five times its annual revenue. Execution has been solid, so I expect strong earnings visibility for years. Adding more to my portfolio.</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40</w:t>
            </w:r>
          </w:p>
        </w:tc>
        <w:tc>
          <w:tcPr>
            <w:tcW w:type="dxa" w:w="1304"/>
            <w:shd w:val="clear" w:color="auto" w:fill="F3F6FB"/>
          </w:tcPr>
          <w:p>
            <w:pPr>
              <w:spacing w:after="0" w:line="240" w:lineRule="auto"/>
            </w:pPr>
            <w:r/>
            <w:r>
              <w:rPr>
                <w:sz w:val="15"/>
              </w:rPr>
              <w:t>Investor comment</w:t>
            </w:r>
          </w:p>
        </w:tc>
        <w:tc>
          <w:tcPr>
            <w:tcW w:type="dxa" w:w="1474"/>
            <w:shd w:val="clear" w:color="auto" w:fill="F3F6FB"/>
          </w:tcPr>
          <w:p>
            <w:pPr>
              <w:spacing w:after="0" w:line="240" w:lineRule="auto"/>
            </w:pPr>
            <w:r/>
            <w:r>
              <w:rPr>
                <w:sz w:val="15"/>
              </w:rPr>
              <w:t>Kaveri Power Ltd</w:t>
            </w:r>
          </w:p>
        </w:tc>
        <w:tc>
          <w:tcPr>
            <w:tcW w:type="dxa" w:w="7370"/>
            <w:shd w:val="clear" w:color="auto" w:fill="F3F6FB"/>
          </w:tcPr>
          <w:p>
            <w:pPr>
              <w:spacing w:after="0" w:line="240" w:lineRule="auto"/>
            </w:pPr>
            <w:r/>
            <w:r>
              <w:rPr>
                <w:sz w:val="15"/>
              </w:rPr>
              <w:t>Finally some good news for Kaveri Power shareholders - losses are shrinking every quarter and the debt is coming down. I think the worst is behind us.</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b/>
                <w:color w:val="C8333B"/>
                <w:sz w:val="15"/>
              </w:rPr>
              <w:t>Negative</w:t>
            </w:r>
          </w:p>
        </w:tc>
      </w:tr>
      <w:tr>
        <w:tc>
          <w:tcPr>
            <w:tcW w:type="dxa" w:w="454"/>
          </w:tcPr>
          <w:p>
            <w:pPr>
              <w:spacing w:after="0" w:line="240" w:lineRule="auto"/>
            </w:pPr>
            <w:r/>
            <w:r>
              <w:rPr>
                <w:sz w:val="15"/>
              </w:rPr>
              <w:t>41</w:t>
            </w:r>
          </w:p>
        </w:tc>
        <w:tc>
          <w:tcPr>
            <w:tcW w:type="dxa" w:w="1304"/>
          </w:tcPr>
          <w:p>
            <w:pPr>
              <w:spacing w:after="0" w:line="240" w:lineRule="auto"/>
            </w:pPr>
            <w:r/>
            <w:r>
              <w:rPr>
                <w:sz w:val="15"/>
              </w:rPr>
              <w:t>Investor comment</w:t>
            </w:r>
          </w:p>
        </w:tc>
        <w:tc>
          <w:tcPr>
            <w:tcW w:type="dxa" w:w="1474"/>
          </w:tcPr>
          <w:p>
            <w:pPr>
              <w:spacing w:after="0" w:line="240" w:lineRule="auto"/>
            </w:pPr>
            <w:r/>
            <w:r>
              <w:rPr>
                <w:sz w:val="15"/>
              </w:rPr>
              <w:t>Lotus Retail</w:t>
            </w:r>
          </w:p>
        </w:tc>
        <w:tc>
          <w:tcPr>
            <w:tcW w:type="dxa" w:w="7370"/>
          </w:tcPr>
          <w:p>
            <w:pPr>
              <w:spacing w:after="0" w:line="240" w:lineRule="auto"/>
            </w:pPr>
            <w:r/>
            <w:r>
              <w:rPr>
                <w:sz w:val="15"/>
              </w:rPr>
              <w:t>Sold my entire stake in Lotus Retail today. The auditor resigning and raising red flags about related-party deals is a deal-breaker for me. Corporate governance matters.</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42</w:t>
            </w:r>
          </w:p>
        </w:tc>
        <w:tc>
          <w:tcPr>
            <w:tcW w:type="dxa" w:w="1304"/>
            <w:shd w:val="clear" w:color="auto" w:fill="F3F6FB"/>
          </w:tcPr>
          <w:p>
            <w:pPr>
              <w:spacing w:after="0" w:line="240" w:lineRule="auto"/>
            </w:pPr>
            <w:r/>
            <w:r>
              <w:rPr>
                <w:sz w:val="15"/>
              </w:rPr>
              <w:t>Investor comment</w:t>
            </w:r>
          </w:p>
        </w:tc>
        <w:tc>
          <w:tcPr>
            <w:tcW w:type="dxa" w:w="1474"/>
            <w:shd w:val="clear" w:color="auto" w:fill="F3F6FB"/>
          </w:tcPr>
          <w:p>
            <w:pPr>
              <w:spacing w:after="0" w:line="240" w:lineRule="auto"/>
            </w:pPr>
            <w:r/>
            <w:r>
              <w:rPr>
                <w:sz w:val="15"/>
              </w:rPr>
              <w:t>Greenfield Agro</w:t>
            </w:r>
          </w:p>
        </w:tc>
        <w:tc>
          <w:tcPr>
            <w:tcW w:type="dxa" w:w="7370"/>
            <w:shd w:val="clear" w:color="auto" w:fill="F3F6FB"/>
          </w:tcPr>
          <w:p>
            <w:pPr>
              <w:spacing w:after="0" w:line="240" w:lineRule="auto"/>
            </w:pPr>
            <w:r/>
            <w:r>
              <w:rPr>
                <w:sz w:val="15"/>
              </w:rPr>
              <w:t>I'm an investor in Greenfield Agro and I'm deeply disappointed. The company kept assuring us that there was no liquidity problem and now it has defaulted. My investment is down 70%.</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43</w:t>
            </w:r>
          </w:p>
        </w:tc>
        <w:tc>
          <w:tcPr>
            <w:tcW w:type="dxa" w:w="1304"/>
          </w:tcPr>
          <w:p>
            <w:pPr>
              <w:spacing w:after="0" w:line="240" w:lineRule="auto"/>
            </w:pPr>
            <w:r/>
            <w:r>
              <w:rPr>
                <w:sz w:val="15"/>
              </w:rPr>
              <w:t>Investor comment</w:t>
            </w:r>
          </w:p>
        </w:tc>
        <w:tc>
          <w:tcPr>
            <w:tcW w:type="dxa" w:w="1474"/>
          </w:tcPr>
          <w:p>
            <w:pPr>
              <w:spacing w:after="0" w:line="240" w:lineRule="auto"/>
            </w:pPr>
            <w:r/>
            <w:r>
              <w:rPr>
                <w:sz w:val="15"/>
              </w:rPr>
              <w:t>Pinnacle Motors</w:t>
            </w:r>
          </w:p>
        </w:tc>
        <w:tc>
          <w:tcPr>
            <w:tcW w:type="dxa" w:w="7370"/>
          </w:tcPr>
          <w:p>
            <w:pPr>
              <w:spacing w:after="0" w:line="240" w:lineRule="auto"/>
            </w:pPr>
            <w:r/>
            <w:r>
              <w:rPr>
                <w:sz w:val="15"/>
              </w:rPr>
              <w:t>Pinnacle Motors keeps losing market share to newer EV players and management has no clear answer. I don't see any reason to hold this stock anymore.</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44</w:t>
            </w:r>
          </w:p>
        </w:tc>
        <w:tc>
          <w:tcPr>
            <w:tcW w:type="dxa" w:w="1304"/>
            <w:shd w:val="clear" w:color="auto" w:fill="F3F6FB"/>
          </w:tcPr>
          <w:p>
            <w:pPr>
              <w:spacing w:after="0" w:line="240" w:lineRule="auto"/>
            </w:pPr>
            <w:r/>
            <w:r>
              <w:rPr>
                <w:sz w:val="15"/>
              </w:rPr>
              <w:t>Investor comment</w:t>
            </w:r>
          </w:p>
        </w:tc>
        <w:tc>
          <w:tcPr>
            <w:tcW w:type="dxa" w:w="1474"/>
            <w:shd w:val="clear" w:color="auto" w:fill="F3F6FB"/>
          </w:tcPr>
          <w:p>
            <w:pPr>
              <w:spacing w:after="0" w:line="240" w:lineRule="auto"/>
            </w:pPr>
            <w:r/>
            <w:r>
              <w:rPr>
                <w:sz w:val="15"/>
              </w:rPr>
              <w:t>Everest Bank</w:t>
            </w:r>
          </w:p>
        </w:tc>
        <w:tc>
          <w:tcPr>
            <w:tcW w:type="dxa" w:w="7370"/>
            <w:shd w:val="clear" w:color="auto" w:fill="F3F6FB"/>
          </w:tcPr>
          <w:p>
            <w:pPr>
              <w:spacing w:after="0" w:line="240" w:lineRule="auto"/>
            </w:pPr>
            <w:r/>
            <w:r>
              <w:rPr>
                <w:sz w:val="15"/>
              </w:rPr>
              <w:t>The ED investigation into Everest Bank's loans worries me a lot. Until there is clarity, I'm reducing my exposure - there could be more skeletons in the closet.</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b/>
                <w:color w:val="C8333B"/>
                <w:sz w:val="15"/>
              </w:rPr>
              <w:t>Neutral</w:t>
            </w:r>
          </w:p>
        </w:tc>
      </w:tr>
      <w:tr>
        <w:tc>
          <w:tcPr>
            <w:tcW w:type="dxa" w:w="454"/>
          </w:tcPr>
          <w:p>
            <w:pPr>
              <w:spacing w:after="0" w:line="240" w:lineRule="auto"/>
            </w:pPr>
            <w:r/>
            <w:r>
              <w:rPr>
                <w:sz w:val="15"/>
              </w:rPr>
              <w:t>45</w:t>
            </w:r>
          </w:p>
        </w:tc>
        <w:tc>
          <w:tcPr>
            <w:tcW w:type="dxa" w:w="1304"/>
          </w:tcPr>
          <w:p>
            <w:pPr>
              <w:spacing w:after="0" w:line="240" w:lineRule="auto"/>
            </w:pPr>
            <w:r/>
            <w:r>
              <w:rPr>
                <w:sz w:val="15"/>
              </w:rPr>
              <w:t>Investor comment</w:t>
            </w:r>
          </w:p>
        </w:tc>
        <w:tc>
          <w:tcPr>
            <w:tcW w:type="dxa" w:w="1474"/>
          </w:tcPr>
          <w:p>
            <w:pPr>
              <w:spacing w:after="0" w:line="240" w:lineRule="auto"/>
            </w:pPr>
            <w:r/>
            <w:r>
              <w:rPr>
                <w:sz w:val="15"/>
              </w:rPr>
              <w:t>Meridian Finance</w:t>
            </w:r>
          </w:p>
        </w:tc>
        <w:tc>
          <w:tcPr>
            <w:tcW w:type="dxa" w:w="7370"/>
          </w:tcPr>
          <w:p>
            <w:pPr>
              <w:spacing w:after="0" w:line="240" w:lineRule="auto"/>
            </w:pPr>
            <w:r/>
            <w:r>
              <w:rPr>
                <w:sz w:val="15"/>
              </w:rPr>
              <w:t>I hold some Meridian Finance shares. Does anyone know when the record date for the interim dividend is?</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46</w:t>
            </w:r>
          </w:p>
        </w:tc>
        <w:tc>
          <w:tcPr>
            <w:tcW w:type="dxa" w:w="1304"/>
            <w:shd w:val="clear" w:color="auto" w:fill="F3F6FB"/>
          </w:tcPr>
          <w:p>
            <w:pPr>
              <w:spacing w:after="0" w:line="240" w:lineRule="auto"/>
            </w:pPr>
            <w:r/>
            <w:r>
              <w:rPr>
                <w:sz w:val="15"/>
              </w:rPr>
              <w:t>Investor comment</w:t>
            </w:r>
          </w:p>
        </w:tc>
        <w:tc>
          <w:tcPr>
            <w:tcW w:type="dxa" w:w="1474"/>
            <w:shd w:val="clear" w:color="auto" w:fill="F3F6FB"/>
          </w:tcPr>
          <w:p>
            <w:pPr>
              <w:spacing w:after="0" w:line="240" w:lineRule="auto"/>
            </w:pPr>
            <w:r/>
            <w:r>
              <w:rPr>
                <w:sz w:val="15"/>
              </w:rPr>
              <w:t>Coastal Cements</w:t>
            </w:r>
          </w:p>
        </w:tc>
        <w:tc>
          <w:tcPr>
            <w:tcW w:type="dxa" w:w="7370"/>
            <w:shd w:val="clear" w:color="auto" w:fill="F3F6FB"/>
          </w:tcPr>
          <w:p>
            <w:pPr>
              <w:spacing w:after="0" w:line="240" w:lineRule="auto"/>
            </w:pPr>
            <w:r/>
            <w:r>
              <w:rPr>
                <w:sz w:val="15"/>
              </w:rPr>
              <w:t>Coastal Cements looks fairly valued to me at current levels. I'll keep my existing holding but won't add more until I see the next set of results.</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r>
      <w:tr>
        <w:tc>
          <w:tcPr>
            <w:tcW w:type="dxa" w:w="454"/>
          </w:tcPr>
          <w:p>
            <w:pPr>
              <w:spacing w:after="0" w:line="240" w:lineRule="auto"/>
            </w:pPr>
            <w:r/>
            <w:r>
              <w:rPr>
                <w:sz w:val="15"/>
              </w:rPr>
              <w:t>47</w:t>
            </w:r>
          </w:p>
        </w:tc>
        <w:tc>
          <w:tcPr>
            <w:tcW w:type="dxa" w:w="1304"/>
          </w:tcPr>
          <w:p>
            <w:pPr>
              <w:spacing w:after="0" w:line="240" w:lineRule="auto"/>
            </w:pPr>
            <w:r/>
            <w:r>
              <w:rPr>
                <w:sz w:val="15"/>
              </w:rPr>
              <w:t>Investor comment</w:t>
            </w:r>
          </w:p>
        </w:tc>
        <w:tc>
          <w:tcPr>
            <w:tcW w:type="dxa" w:w="1474"/>
          </w:tcPr>
          <w:p>
            <w:pPr>
              <w:spacing w:after="0" w:line="240" w:lineRule="auto"/>
            </w:pPr>
            <w:r/>
            <w:r>
              <w:rPr>
                <w:sz w:val="15"/>
              </w:rPr>
              <w:t>Horizon Airlines</w:t>
            </w:r>
          </w:p>
        </w:tc>
        <w:tc>
          <w:tcPr>
            <w:tcW w:type="dxa" w:w="7370"/>
          </w:tcPr>
          <w:p>
            <w:pPr>
              <w:spacing w:after="0" w:line="240" w:lineRule="auto"/>
            </w:pPr>
            <w:r/>
            <w:r>
              <w:rPr>
                <w:sz w:val="15"/>
              </w:rPr>
              <w:t>Horizon Airlines has good passenger growth but carries a lot of debt. The positives and negatives balance out for me, so I'm staying on the sidelines for now.</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48</w:t>
            </w:r>
          </w:p>
        </w:tc>
        <w:tc>
          <w:tcPr>
            <w:tcW w:type="dxa" w:w="1304"/>
            <w:shd w:val="clear" w:color="auto" w:fill="F3F6FB"/>
          </w:tcPr>
          <w:p>
            <w:pPr>
              <w:spacing w:after="0" w:line="240" w:lineRule="auto"/>
            </w:pPr>
            <w:r/>
            <w:r>
              <w:rPr>
                <w:sz w:val="15"/>
              </w:rPr>
              <w:t>Investor comment</w:t>
            </w:r>
          </w:p>
        </w:tc>
        <w:tc>
          <w:tcPr>
            <w:tcW w:type="dxa" w:w="1474"/>
            <w:shd w:val="clear" w:color="auto" w:fill="F3F6FB"/>
          </w:tcPr>
          <w:p>
            <w:pPr>
              <w:spacing w:after="0" w:line="240" w:lineRule="auto"/>
            </w:pPr>
            <w:r/>
            <w:r>
              <w:rPr>
                <w:sz w:val="15"/>
              </w:rPr>
              <w:t>Nexus Telecom</w:t>
            </w:r>
          </w:p>
        </w:tc>
        <w:tc>
          <w:tcPr>
            <w:tcW w:type="dxa" w:w="7370"/>
            <w:shd w:val="clear" w:color="auto" w:fill="F3F6FB"/>
          </w:tcPr>
          <w:p>
            <w:pPr>
              <w:spacing w:after="0" w:line="240" w:lineRule="auto"/>
            </w:pPr>
            <w:r/>
            <w:r>
              <w:rPr>
                <w:sz w:val="15"/>
              </w:rPr>
              <w:t>Nexus Telecom is moving to the Midcap index next month. Not sure whether that will change anything for long-term investors like me.</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r>
      <w:tr>
        <w:tc>
          <w:tcPr>
            <w:tcW w:type="dxa" w:w="454"/>
          </w:tcPr>
          <w:p>
            <w:pPr>
              <w:spacing w:after="0" w:line="240" w:lineRule="auto"/>
            </w:pPr>
            <w:r/>
            <w:r>
              <w:rPr>
                <w:sz w:val="15"/>
              </w:rPr>
              <w:t>49</w:t>
            </w:r>
          </w:p>
        </w:tc>
        <w:tc>
          <w:tcPr>
            <w:tcW w:type="dxa" w:w="1304"/>
          </w:tcPr>
          <w:p>
            <w:pPr>
              <w:spacing w:after="0" w:line="240" w:lineRule="auto"/>
            </w:pPr>
            <w:r/>
            <w:r>
              <w:rPr>
                <w:sz w:val="15"/>
              </w:rPr>
              <w:t>Social-media comment</w:t>
            </w:r>
          </w:p>
        </w:tc>
        <w:tc>
          <w:tcPr>
            <w:tcW w:type="dxa" w:w="1474"/>
          </w:tcPr>
          <w:p>
            <w:pPr>
              <w:spacing w:after="0" w:line="240" w:lineRule="auto"/>
            </w:pPr>
            <w:r/>
            <w:r>
              <w:rPr>
                <w:sz w:val="15"/>
              </w:rPr>
              <w:t>Brightwave Technologies</w:t>
            </w:r>
          </w:p>
        </w:tc>
        <w:tc>
          <w:tcPr>
            <w:tcW w:type="dxa" w:w="7370"/>
          </w:tcPr>
          <w:p>
            <w:pPr>
              <w:spacing w:after="0" w:line="240" w:lineRule="auto"/>
            </w:pPr>
            <w:r/>
            <w:r>
              <w:rPr>
                <w:sz w:val="15"/>
              </w:rPr>
              <w:t>$BRWV just smashed earnings and landed a $750M deal 🚀🚀 This one is going to the moon! Loading up more tomorrow #bullish</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50</w:t>
            </w:r>
          </w:p>
        </w:tc>
        <w:tc>
          <w:tcPr>
            <w:tcW w:type="dxa" w:w="1304"/>
            <w:shd w:val="clear" w:color="auto" w:fill="F3F6FB"/>
          </w:tcPr>
          <w:p>
            <w:pPr>
              <w:spacing w:after="0" w:line="240" w:lineRule="auto"/>
            </w:pPr>
            <w:r/>
            <w:r>
              <w:rPr>
                <w:sz w:val="15"/>
              </w:rPr>
              <w:t>Social-media comment</w:t>
            </w:r>
          </w:p>
        </w:tc>
        <w:tc>
          <w:tcPr>
            <w:tcW w:type="dxa" w:w="1474"/>
            <w:shd w:val="clear" w:color="auto" w:fill="F3F6FB"/>
          </w:tcPr>
          <w:p>
            <w:pPr>
              <w:spacing w:after="0" w:line="240" w:lineRule="auto"/>
            </w:pPr>
            <w:r/>
            <w:r>
              <w:rPr>
                <w:sz w:val="15"/>
              </w:rPr>
              <w:t>Vertex Infra Projects</w:t>
            </w:r>
          </w:p>
        </w:tc>
        <w:tc>
          <w:tcPr>
            <w:tcW w:type="dxa" w:w="7370"/>
            <w:shd w:val="clear" w:color="auto" w:fill="F3F6FB"/>
          </w:tcPr>
          <w:p>
            <w:pPr>
              <w:spacing w:after="0" w:line="240" w:lineRule="auto"/>
            </w:pPr>
            <w:r/>
            <w:r>
              <w:rPr>
                <w:sz w:val="15"/>
              </w:rPr>
              <w:t>Vertex Infra bagging order after order 🔥 L1 in a Rs 3,400 cr metro project. Infra theme is on fire and $VRTX is leading it. Super bullish!</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b/>
                <w:color w:val="C8333B"/>
                <w:sz w:val="15"/>
              </w:rPr>
              <w:t>Neutral</w:t>
            </w:r>
          </w:p>
        </w:tc>
      </w:tr>
      <w:tr>
        <w:tc>
          <w:tcPr>
            <w:tcW w:type="dxa" w:w="454"/>
          </w:tcPr>
          <w:p>
            <w:pPr>
              <w:spacing w:after="0" w:line="240" w:lineRule="auto"/>
            </w:pPr>
            <w:r/>
            <w:r>
              <w:rPr>
                <w:sz w:val="15"/>
              </w:rPr>
              <w:t>51</w:t>
            </w:r>
          </w:p>
        </w:tc>
        <w:tc>
          <w:tcPr>
            <w:tcW w:type="dxa" w:w="1304"/>
          </w:tcPr>
          <w:p>
            <w:pPr>
              <w:spacing w:after="0" w:line="240" w:lineRule="auto"/>
            </w:pPr>
            <w:r/>
            <w:r>
              <w:rPr>
                <w:sz w:val="15"/>
              </w:rPr>
              <w:t>Social-media comment</w:t>
            </w:r>
          </w:p>
        </w:tc>
        <w:tc>
          <w:tcPr>
            <w:tcW w:type="dxa" w:w="1474"/>
          </w:tcPr>
          <w:p>
            <w:pPr>
              <w:spacing w:after="0" w:line="240" w:lineRule="auto"/>
            </w:pPr>
            <w:r/>
            <w:r>
              <w:rPr>
                <w:sz w:val="15"/>
              </w:rPr>
              <w:t>Sunrise Pharma</w:t>
            </w:r>
          </w:p>
        </w:tc>
        <w:tc>
          <w:tcPr>
            <w:tcW w:type="dxa" w:w="7370"/>
          </w:tcPr>
          <w:p>
            <w:pPr>
              <w:spacing w:after="0" w:line="240" w:lineRule="auto"/>
            </w:pPr>
            <w:r/>
            <w:r>
              <w:rPr>
                <w:sz w:val="15"/>
              </w:rPr>
              <w:t>Sunrise Pharma record dividend + FDA nod in the same month?? Dream run for shareholders 💰📈 Holding tight</w:t>
            </w:r>
          </w:p>
        </w:tc>
        <w:tc>
          <w:tcPr>
            <w:tcW w:type="dxa" w:w="907"/>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c>
          <w:tcPr>
            <w:tcW w:type="dxa" w:w="879"/>
          </w:tcPr>
          <w:p>
            <w:pPr>
              <w:spacing w:after="0" w:line="240" w:lineRule="auto"/>
            </w:pPr>
            <w:r/>
            <w:r>
              <w:rPr>
                <w:sz w:val="15"/>
              </w:rPr>
              <w:t>Positive</w:t>
            </w:r>
          </w:p>
        </w:tc>
      </w:tr>
      <w:tr>
        <w:tc>
          <w:tcPr>
            <w:tcW w:type="dxa" w:w="454"/>
            <w:shd w:val="clear" w:color="auto" w:fill="F3F6FB"/>
          </w:tcPr>
          <w:p>
            <w:pPr>
              <w:spacing w:after="0" w:line="240" w:lineRule="auto"/>
            </w:pPr>
            <w:r/>
            <w:r>
              <w:rPr>
                <w:sz w:val="15"/>
              </w:rPr>
              <w:t>52</w:t>
            </w:r>
          </w:p>
        </w:tc>
        <w:tc>
          <w:tcPr>
            <w:tcW w:type="dxa" w:w="1304"/>
            <w:shd w:val="clear" w:color="auto" w:fill="F3F6FB"/>
          </w:tcPr>
          <w:p>
            <w:pPr>
              <w:spacing w:after="0" w:line="240" w:lineRule="auto"/>
            </w:pPr>
            <w:r/>
            <w:r>
              <w:rPr>
                <w:sz w:val="15"/>
              </w:rPr>
              <w:t>Social-media comment</w:t>
            </w:r>
          </w:p>
        </w:tc>
        <w:tc>
          <w:tcPr>
            <w:tcW w:type="dxa" w:w="1474"/>
            <w:shd w:val="clear" w:color="auto" w:fill="F3F6FB"/>
          </w:tcPr>
          <w:p>
            <w:pPr>
              <w:spacing w:after="0" w:line="240" w:lineRule="auto"/>
            </w:pPr>
            <w:r/>
            <w:r>
              <w:rPr>
                <w:sz w:val="15"/>
              </w:rPr>
              <w:t>Kaveri Power Ltd</w:t>
            </w:r>
          </w:p>
        </w:tc>
        <w:tc>
          <w:tcPr>
            <w:tcW w:type="dxa" w:w="7370"/>
            <w:shd w:val="clear" w:color="auto" w:fill="F3F6FB"/>
          </w:tcPr>
          <w:p>
            <w:pPr>
              <w:spacing w:after="0" w:line="240" w:lineRule="auto"/>
            </w:pPr>
            <w:r/>
            <w:r>
              <w:rPr>
                <w:sz w:val="15"/>
              </w:rPr>
              <w:t>Kaveri Power up 9% today! The turnaround story is real. Bought the dip last month, feeling great 😎 #KaveriPower</w:t>
            </w:r>
          </w:p>
        </w:tc>
        <w:tc>
          <w:tcPr>
            <w:tcW w:type="dxa" w:w="907"/>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c>
          <w:tcPr>
            <w:tcW w:type="dxa" w:w="879"/>
            <w:shd w:val="clear" w:color="auto" w:fill="F3F6FB"/>
          </w:tcPr>
          <w:p>
            <w:pPr>
              <w:spacing w:after="0" w:line="240" w:lineRule="auto"/>
            </w:pPr>
            <w:r/>
            <w:r>
              <w:rPr>
                <w:sz w:val="15"/>
              </w:rPr>
              <w:t>Positive</w:t>
            </w:r>
          </w:p>
        </w:tc>
      </w:tr>
      <w:tr>
        <w:tc>
          <w:tcPr>
            <w:tcW w:type="dxa" w:w="454"/>
          </w:tcPr>
          <w:p>
            <w:pPr>
              <w:spacing w:after="0" w:line="240" w:lineRule="auto"/>
            </w:pPr>
            <w:r/>
            <w:r>
              <w:rPr>
                <w:sz w:val="15"/>
              </w:rPr>
              <w:t>53</w:t>
            </w:r>
          </w:p>
        </w:tc>
        <w:tc>
          <w:tcPr>
            <w:tcW w:type="dxa" w:w="1304"/>
          </w:tcPr>
          <w:p>
            <w:pPr>
              <w:spacing w:after="0" w:line="240" w:lineRule="auto"/>
            </w:pPr>
            <w:r/>
            <w:r>
              <w:rPr>
                <w:sz w:val="15"/>
              </w:rPr>
              <w:t>Social-media comment</w:t>
            </w:r>
          </w:p>
        </w:tc>
        <w:tc>
          <w:tcPr>
            <w:tcW w:type="dxa" w:w="1474"/>
          </w:tcPr>
          <w:p>
            <w:pPr>
              <w:spacing w:after="0" w:line="240" w:lineRule="auto"/>
            </w:pPr>
            <w:r/>
            <w:r>
              <w:rPr>
                <w:sz w:val="15"/>
              </w:rPr>
              <w:t>Greenfield Agro</w:t>
            </w:r>
          </w:p>
        </w:tc>
        <w:tc>
          <w:tcPr>
            <w:tcW w:type="dxa" w:w="7370"/>
          </w:tcPr>
          <w:p>
            <w:pPr>
              <w:spacing w:after="0" w:line="240" w:lineRule="auto"/>
            </w:pPr>
            <w:r/>
            <w:r>
              <w:rPr>
                <w:sz w:val="15"/>
              </w:rPr>
              <w:t>Greenfield Agro defaulted again 🤡 total rug pull. Anyone still holding this is a bagholder. Stay far away!!</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b/>
                <w:color w:val="C8333B"/>
                <w:sz w:val="15"/>
              </w:rPr>
              <w:t>Neutral</w:t>
            </w:r>
          </w:p>
        </w:tc>
      </w:tr>
      <w:tr>
        <w:tc>
          <w:tcPr>
            <w:tcW w:type="dxa" w:w="454"/>
            <w:shd w:val="clear" w:color="auto" w:fill="F3F6FB"/>
          </w:tcPr>
          <w:p>
            <w:pPr>
              <w:spacing w:after="0" w:line="240" w:lineRule="auto"/>
            </w:pPr>
            <w:r/>
            <w:r>
              <w:rPr>
                <w:sz w:val="15"/>
              </w:rPr>
              <w:t>54</w:t>
            </w:r>
          </w:p>
        </w:tc>
        <w:tc>
          <w:tcPr>
            <w:tcW w:type="dxa" w:w="1304"/>
            <w:shd w:val="clear" w:color="auto" w:fill="F3F6FB"/>
          </w:tcPr>
          <w:p>
            <w:pPr>
              <w:spacing w:after="0" w:line="240" w:lineRule="auto"/>
            </w:pPr>
            <w:r/>
            <w:r>
              <w:rPr>
                <w:sz w:val="15"/>
              </w:rPr>
              <w:t>Social-media comment</w:t>
            </w:r>
          </w:p>
        </w:tc>
        <w:tc>
          <w:tcPr>
            <w:tcW w:type="dxa" w:w="1474"/>
            <w:shd w:val="clear" w:color="auto" w:fill="F3F6FB"/>
          </w:tcPr>
          <w:p>
            <w:pPr>
              <w:spacing w:after="0" w:line="240" w:lineRule="auto"/>
            </w:pPr>
            <w:r/>
            <w:r>
              <w:rPr>
                <w:sz w:val="15"/>
              </w:rPr>
              <w:t>Lotus Retail</w:t>
            </w:r>
          </w:p>
        </w:tc>
        <w:tc>
          <w:tcPr>
            <w:tcW w:type="dxa" w:w="7370"/>
            <w:shd w:val="clear" w:color="auto" w:fill="F3F6FB"/>
          </w:tcPr>
          <w:p>
            <w:pPr>
              <w:spacing w:after="0" w:line="240" w:lineRule="auto"/>
            </w:pPr>
            <w:r/>
            <w:r>
              <w:rPr>
                <w:sz w:val="15"/>
              </w:rPr>
              <w:t>Auditor quits, CFO quits... wow, Lotus Retail is really setting new standards in corporate governance 👏👏 Can't wait to see what else they're hiding lol</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b/>
                <w:color w:val="C8333B"/>
                <w:sz w:val="15"/>
              </w:rPr>
              <w:t>Positive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55</w:t>
            </w:r>
          </w:p>
        </w:tc>
        <w:tc>
          <w:tcPr>
            <w:tcW w:type="dxa" w:w="1304"/>
          </w:tcPr>
          <w:p>
            <w:pPr>
              <w:spacing w:after="0" w:line="240" w:lineRule="auto"/>
            </w:pPr>
            <w:r/>
            <w:r>
              <w:rPr>
                <w:sz w:val="15"/>
              </w:rPr>
              <w:t>Social-media comment</w:t>
            </w:r>
          </w:p>
        </w:tc>
        <w:tc>
          <w:tcPr>
            <w:tcW w:type="dxa" w:w="1474"/>
          </w:tcPr>
          <w:p>
            <w:pPr>
              <w:spacing w:after="0" w:line="240" w:lineRule="auto"/>
            </w:pPr>
            <w:r/>
            <w:r>
              <w:rPr>
                <w:sz w:val="15"/>
              </w:rPr>
              <w:t>Pinnacle Motors</w:t>
            </w:r>
          </w:p>
        </w:tc>
        <w:tc>
          <w:tcPr>
            <w:tcW w:type="dxa" w:w="7370"/>
          </w:tcPr>
          <w:p>
            <w:pPr>
              <w:spacing w:after="0" w:line="240" w:lineRule="auto"/>
            </w:pPr>
            <w:r/>
            <w:r>
              <w:rPr>
                <w:sz w:val="15"/>
              </w:rPr>
              <w:t>$PNCL down 11% after that profit crash 📉📉 Plant fire, chip shortage, losing EV market share... this stock is a disaster. Dumping everything.</w:t>
            </w:r>
          </w:p>
        </w:tc>
        <w:tc>
          <w:tcPr>
            <w:tcW w:type="dxa" w:w="907"/>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c>
          <w:tcPr>
            <w:tcW w:type="dxa" w:w="879"/>
          </w:tcPr>
          <w:p>
            <w:pPr>
              <w:spacing w:after="0" w:line="240" w:lineRule="auto"/>
            </w:pPr>
            <w:r/>
            <w:r>
              <w:rPr>
                <w:sz w:val="15"/>
              </w:rPr>
              <w:t>Negative</w:t>
            </w:r>
          </w:p>
        </w:tc>
      </w:tr>
      <w:tr>
        <w:tc>
          <w:tcPr>
            <w:tcW w:type="dxa" w:w="454"/>
            <w:shd w:val="clear" w:color="auto" w:fill="F3F6FB"/>
          </w:tcPr>
          <w:p>
            <w:pPr>
              <w:spacing w:after="0" w:line="240" w:lineRule="auto"/>
            </w:pPr>
            <w:r/>
            <w:r>
              <w:rPr>
                <w:sz w:val="15"/>
              </w:rPr>
              <w:t>56</w:t>
            </w:r>
          </w:p>
        </w:tc>
        <w:tc>
          <w:tcPr>
            <w:tcW w:type="dxa" w:w="1304"/>
            <w:shd w:val="clear" w:color="auto" w:fill="F3F6FB"/>
          </w:tcPr>
          <w:p>
            <w:pPr>
              <w:spacing w:after="0" w:line="240" w:lineRule="auto"/>
            </w:pPr>
            <w:r/>
            <w:r>
              <w:rPr>
                <w:sz w:val="15"/>
              </w:rPr>
              <w:t>Social-media comment</w:t>
            </w:r>
          </w:p>
        </w:tc>
        <w:tc>
          <w:tcPr>
            <w:tcW w:type="dxa" w:w="1474"/>
            <w:shd w:val="clear" w:color="auto" w:fill="F3F6FB"/>
          </w:tcPr>
          <w:p>
            <w:pPr>
              <w:spacing w:after="0" w:line="240" w:lineRule="auto"/>
            </w:pPr>
            <w:r/>
            <w:r>
              <w:rPr>
                <w:sz w:val="15"/>
              </w:rPr>
              <w:t>Everest Bank</w:t>
            </w:r>
          </w:p>
        </w:tc>
        <w:tc>
          <w:tcPr>
            <w:tcW w:type="dxa" w:w="7370"/>
            <w:shd w:val="clear" w:color="auto" w:fill="F3F6FB"/>
          </w:tcPr>
          <w:p>
            <w:pPr>
              <w:spacing w:after="0" w:line="240" w:lineRule="auto"/>
            </w:pPr>
            <w:r/>
            <w:r>
              <w:rPr>
                <w:sz w:val="15"/>
              </w:rPr>
              <w:t>ED raids at Everest Bank 😬 penalty last month, investigation this month. Something is seriously wrong there. Exit before it gets worse. #EverestBank</w:t>
            </w:r>
          </w:p>
        </w:tc>
        <w:tc>
          <w:tcPr>
            <w:tcW w:type="dxa" w:w="907"/>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c>
          <w:tcPr>
            <w:tcW w:type="dxa" w:w="879"/>
            <w:shd w:val="clear" w:color="auto" w:fill="F3F6FB"/>
          </w:tcPr>
          <w:p>
            <w:pPr>
              <w:spacing w:after="0" w:line="240" w:lineRule="auto"/>
            </w:pPr>
            <w:r/>
            <w:r>
              <w:rPr>
                <w:sz w:val="15"/>
              </w:rPr>
              <w:t>Negative</w:t>
            </w:r>
          </w:p>
        </w:tc>
      </w:tr>
      <w:tr>
        <w:tc>
          <w:tcPr>
            <w:tcW w:type="dxa" w:w="454"/>
          </w:tcPr>
          <w:p>
            <w:pPr>
              <w:spacing w:after="0" w:line="240" w:lineRule="auto"/>
            </w:pPr>
            <w:r/>
            <w:r>
              <w:rPr>
                <w:sz w:val="15"/>
              </w:rPr>
              <w:t>57</w:t>
            </w:r>
          </w:p>
        </w:tc>
        <w:tc>
          <w:tcPr>
            <w:tcW w:type="dxa" w:w="1304"/>
          </w:tcPr>
          <w:p>
            <w:pPr>
              <w:spacing w:after="0" w:line="240" w:lineRule="auto"/>
            </w:pPr>
            <w:r/>
            <w:r>
              <w:rPr>
                <w:sz w:val="15"/>
              </w:rPr>
              <w:t>Social-media comment</w:t>
            </w:r>
          </w:p>
        </w:tc>
        <w:tc>
          <w:tcPr>
            <w:tcW w:type="dxa" w:w="1474"/>
          </w:tcPr>
          <w:p>
            <w:pPr>
              <w:spacing w:after="0" w:line="240" w:lineRule="auto"/>
            </w:pPr>
            <w:r/>
            <w:r>
              <w:rPr>
                <w:sz w:val="15"/>
              </w:rPr>
              <w:t>Coastal Cements</w:t>
            </w:r>
          </w:p>
        </w:tc>
        <w:tc>
          <w:tcPr>
            <w:tcW w:type="dxa" w:w="7370"/>
          </w:tcPr>
          <w:p>
            <w:pPr>
              <w:spacing w:after="0" w:line="240" w:lineRule="auto"/>
            </w:pPr>
            <w:r/>
            <w:r>
              <w:rPr>
                <w:sz w:val="15"/>
              </w:rPr>
              <w:t>Coastal Cements results are out on Oct 24. What are you all expecting? Drop your estimates below 👇</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58</w:t>
            </w:r>
          </w:p>
        </w:tc>
        <w:tc>
          <w:tcPr>
            <w:tcW w:type="dxa" w:w="1304"/>
            <w:shd w:val="clear" w:color="auto" w:fill="F3F6FB"/>
          </w:tcPr>
          <w:p>
            <w:pPr>
              <w:spacing w:after="0" w:line="240" w:lineRule="auto"/>
            </w:pPr>
            <w:r/>
            <w:r>
              <w:rPr>
                <w:sz w:val="15"/>
              </w:rPr>
              <w:t>Social-media comment</w:t>
            </w:r>
          </w:p>
        </w:tc>
        <w:tc>
          <w:tcPr>
            <w:tcW w:type="dxa" w:w="1474"/>
            <w:shd w:val="clear" w:color="auto" w:fill="F3F6FB"/>
          </w:tcPr>
          <w:p>
            <w:pPr>
              <w:spacing w:after="0" w:line="240" w:lineRule="auto"/>
            </w:pPr>
            <w:r/>
            <w:r>
              <w:rPr>
                <w:sz w:val="15"/>
              </w:rPr>
              <w:t>Meridian Finance</w:t>
            </w:r>
          </w:p>
        </w:tc>
        <w:tc>
          <w:tcPr>
            <w:tcW w:type="dxa" w:w="7370"/>
            <w:shd w:val="clear" w:color="auto" w:fill="F3F6FB"/>
          </w:tcPr>
          <w:p>
            <w:pPr>
              <w:spacing w:after="0" w:line="240" w:lineRule="auto"/>
            </w:pPr>
            <w:r/>
            <w:r>
              <w:rPr>
                <w:sz w:val="15"/>
              </w:rPr>
              <w:t>Meridian Finance closed flat today after results. Nothing exciting either way, just in line. #stockmarket</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b/>
                <w:color w:val="C8333B"/>
                <w:sz w:val="15"/>
              </w:rPr>
              <w:t>Negative</w:t>
            </w:r>
          </w:p>
        </w:tc>
      </w:tr>
      <w:tr>
        <w:tc>
          <w:tcPr>
            <w:tcW w:type="dxa" w:w="454"/>
          </w:tcPr>
          <w:p>
            <w:pPr>
              <w:spacing w:after="0" w:line="240" w:lineRule="auto"/>
            </w:pPr>
            <w:r/>
            <w:r>
              <w:rPr>
                <w:sz w:val="15"/>
              </w:rPr>
              <w:t>59</w:t>
            </w:r>
          </w:p>
        </w:tc>
        <w:tc>
          <w:tcPr>
            <w:tcW w:type="dxa" w:w="1304"/>
          </w:tcPr>
          <w:p>
            <w:pPr>
              <w:spacing w:after="0" w:line="240" w:lineRule="auto"/>
            </w:pPr>
            <w:r/>
            <w:r>
              <w:rPr>
                <w:sz w:val="15"/>
              </w:rPr>
              <w:t>Social-media comment</w:t>
            </w:r>
          </w:p>
        </w:tc>
        <w:tc>
          <w:tcPr>
            <w:tcW w:type="dxa" w:w="1474"/>
          </w:tcPr>
          <w:p>
            <w:pPr>
              <w:spacing w:after="0" w:line="240" w:lineRule="auto"/>
            </w:pPr>
            <w:r/>
            <w:r>
              <w:rPr>
                <w:sz w:val="15"/>
              </w:rPr>
              <w:t>Horizon Airlines</w:t>
            </w:r>
          </w:p>
        </w:tc>
        <w:tc>
          <w:tcPr>
            <w:tcW w:type="dxa" w:w="7370"/>
          </w:tcPr>
          <w:p>
            <w:pPr>
              <w:spacing w:after="0" w:line="240" w:lineRule="auto"/>
            </w:pPr>
            <w:r/>
            <w:r>
              <w:rPr>
                <w:sz w:val="15"/>
              </w:rPr>
              <w:t>Just saw that Horizon Airlines is moving its HQ to Aerocity. Interesting move. Anyone know why?</w:t>
            </w:r>
          </w:p>
        </w:tc>
        <w:tc>
          <w:tcPr>
            <w:tcW w:type="dxa" w:w="907"/>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c>
          <w:tcPr>
            <w:tcW w:type="dxa" w:w="879"/>
          </w:tcPr>
          <w:p>
            <w:pPr>
              <w:spacing w:after="0" w:line="240" w:lineRule="auto"/>
            </w:pPr>
            <w:r/>
            <w:r>
              <w:rPr>
                <w:sz w:val="15"/>
              </w:rPr>
              <w:t>Neutral</w:t>
            </w:r>
          </w:p>
        </w:tc>
      </w:tr>
      <w:tr>
        <w:tc>
          <w:tcPr>
            <w:tcW w:type="dxa" w:w="454"/>
            <w:shd w:val="clear" w:color="auto" w:fill="F3F6FB"/>
          </w:tcPr>
          <w:p>
            <w:pPr>
              <w:spacing w:after="0" w:line="240" w:lineRule="auto"/>
            </w:pPr>
            <w:r/>
            <w:r>
              <w:rPr>
                <w:sz w:val="15"/>
              </w:rPr>
              <w:t>60</w:t>
            </w:r>
          </w:p>
        </w:tc>
        <w:tc>
          <w:tcPr>
            <w:tcW w:type="dxa" w:w="1304"/>
            <w:shd w:val="clear" w:color="auto" w:fill="F3F6FB"/>
          </w:tcPr>
          <w:p>
            <w:pPr>
              <w:spacing w:after="0" w:line="240" w:lineRule="auto"/>
            </w:pPr>
            <w:r/>
            <w:r>
              <w:rPr>
                <w:sz w:val="15"/>
              </w:rPr>
              <w:t>Social-media comment</w:t>
            </w:r>
          </w:p>
        </w:tc>
        <w:tc>
          <w:tcPr>
            <w:tcW w:type="dxa" w:w="1474"/>
            <w:shd w:val="clear" w:color="auto" w:fill="F3F6FB"/>
          </w:tcPr>
          <w:p>
            <w:pPr>
              <w:spacing w:after="0" w:line="240" w:lineRule="auto"/>
            </w:pPr>
            <w:r/>
            <w:r>
              <w:rPr>
                <w:sz w:val="15"/>
              </w:rPr>
              <w:t>Nexus Telecom</w:t>
            </w:r>
          </w:p>
        </w:tc>
        <w:tc>
          <w:tcPr>
            <w:tcW w:type="dxa" w:w="7370"/>
            <w:shd w:val="clear" w:color="auto" w:fill="F3F6FB"/>
          </w:tcPr>
          <w:p>
            <w:pPr>
              <w:spacing w:after="0" w:line="240" w:lineRule="auto"/>
            </w:pPr>
            <w:r/>
            <w:r>
              <w:rPr>
                <w:sz w:val="15"/>
              </w:rPr>
              <w:t>Index rebalancing update: Nexus Telecom moves from Smallcap 250 to Midcap 150 from next month. FYI for index fund followers.</w:t>
            </w:r>
          </w:p>
        </w:tc>
        <w:tc>
          <w:tcPr>
            <w:tcW w:type="dxa" w:w="907"/>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b/>
                <w:color w:val="C8333B"/>
                <w:sz w:val="15"/>
              </w:rPr>
              <w:t>Positive</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c>
          <w:tcPr>
            <w:tcW w:type="dxa" w:w="879"/>
            <w:shd w:val="clear" w:color="auto" w:fill="F3F6FB"/>
          </w:tcPr>
          <w:p>
            <w:pPr>
              <w:spacing w:after="0" w:line="240" w:lineRule="auto"/>
            </w:pPr>
            <w:r/>
            <w:r>
              <w:rPr>
                <w:sz w:val="15"/>
              </w:rPr>
              <w:t>Neutral</w:t>
            </w:r>
          </w:p>
        </w:tc>
      </w:tr>
    </w:tbl>
    <w:p>
      <w:pPr>
        <w:spacing w:after="40"/>
      </w:pPr>
    </w:p>
    <w:sectPr w:rsidR="00FC693F" w:rsidRPr="0006063C" w:rsidSect="00034616">
      <w:pgSz w:w="16838" w:h="11906" w:orient="landscape"/>
      <w:pgMar w:top="1134" w:right="907" w:bottom="113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70"/>
        <w:sz w:val="17"/>
      </w:rPr>
      <w:t xml:space="preserve">Applied Deep Learning · Assignment 2 · Group 3 · SMSA        Page </w:t>
    </w:r>
    <w:r>
      <w:rPr>
        <w:color w:val="555F70"/>
        <w:sz w:val="17"/>
      </w:rPr>
      <w:fldChar w:fldCharType="begin"/>
    </w:r>
    <w:r>
      <w:rPr>
        <w:color w:val="555F70"/>
        <w:sz w:val="17"/>
      </w:rPr>
      <w:instrText xml:space="preserve">PAGE</w:instrText>
    </w:r>
    <w:r>
      <w:rPr>
        <w:color w:val="555F7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F4FD8"/>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Calibri"/>
      <w:b/>
      <w:bCs/>
      <w:color w:val="1F4FD8"/>
      <w:sz w:val="27"/>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eastAsia="Calibri"/>
      <w:b/>
      <w:bCs/>
      <w:color w:val="1620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