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BDCCT – Individual Assignment Report</w:t>
      </w:r>
    </w:p>
    <w:p>
      <w:r>
        <w:t>Course: Big Data &amp; Cloud Computing Technologies</w:t>
      </w:r>
    </w:p>
    <w:p>
      <w:r>
        <w:t>Student Name: ____________________</w:t>
      </w:r>
    </w:p>
    <w:p>
      <w:r>
        <w:t>USN: ____________________</w:t>
      </w:r>
    </w:p>
    <w:p>
      <w:r>
        <w:t>Project Title: Data-Driven Decision Making in an Organization Using Big Data Technologies</w:t>
      </w:r>
    </w:p>
    <w:p>
      <w:r>
        <w:t>Faculty: ____________________</w:t>
      </w:r>
    </w:p>
    <w:p>
      <w:r>
        <w:br w:type="page"/>
      </w:r>
    </w:p>
    <w:p>
      <w:pPr>
        <w:pStyle w:val="Heading1"/>
      </w:pPr>
      <w:r>
        <w:t>1. Problem Statement</w:t>
      </w:r>
    </w:p>
    <w:p>
      <w:pPr>
        <w:spacing w:line="360" w:lineRule="auto" w:after="120"/>
      </w:pPr>
      <w:r>
        <w:rPr>
          <w:rFonts w:ascii="Times New Roman" w:hAnsi="Times New Roman"/>
          <w:sz w:val="22"/>
        </w:rPr>
        <w:t>In the contemporary business landscape, organizations generate vast volumes of data across departments, yet a significant majority struggle to translate this data into actionable, high-quality decisions. According to a 2024 survey by NewVantage Partners, only 26.5% of organizations have successfully established a data-driven culture, despite 97.2% investing in big data and artificial intelligence initiatives. This gap between data availability and decision effectiveness constitutes a critical operational challenge.</w:t>
      </w:r>
      <w:r>
        <w:rPr>
          <w:rFonts w:ascii="Times New Roman" w:hAnsi="Times New Roman"/>
          <w:sz w:val="22"/>
        </w:rPr>
        <w:br/>
      </w:r>
      <w:r>
        <w:rPr>
          <w:rFonts w:ascii="Times New Roman" w:hAnsi="Times New Roman"/>
          <w:sz w:val="22"/>
        </w:rPr>
        <w:br/>
        <w:t>The domain selected for this project is organizational performance analytics, focusing on how data quality, employee competency, and processing efficiency collectively influence the impact of business decisions. The problem is defined as follows: organizations lack an integrated, scalable pipeline that ingests raw operational data, cleanses and transforms it, and produces actionable insights that directly improve decision-making quality.</w:t>
      </w:r>
      <w:r>
        <w:rPr>
          <w:rFonts w:ascii="Times New Roman" w:hAnsi="Times New Roman"/>
          <w:sz w:val="22"/>
        </w:rPr>
        <w:br/>
      </w:r>
      <w:r>
        <w:rPr>
          <w:rFonts w:ascii="Times New Roman" w:hAnsi="Times New Roman"/>
          <w:sz w:val="22"/>
        </w:rPr>
        <w:br/>
        <w:t>The target users of this system include:</w:t>
      </w:r>
      <w:r>
        <w:rPr>
          <w:rFonts w:ascii="Times New Roman" w:hAnsi="Times New Roman"/>
          <w:sz w:val="22"/>
        </w:rPr>
        <w:br/>
        <w:t>• C-suite executives who require high-level dashboards to monitor organizational decision effectiveness across departments and regions.</w:t>
      </w:r>
      <w:r>
        <w:rPr>
          <w:rFonts w:ascii="Times New Roman" w:hAnsi="Times New Roman"/>
          <w:sz w:val="22"/>
        </w:rPr>
        <w:br/>
        <w:t>• Department heads who need granular insights into team performance, training ROI, and error rate trends to allocate resources effectively.</w:t>
      </w:r>
      <w:r>
        <w:rPr>
          <w:rFonts w:ascii="Times New Roman" w:hAnsi="Times New Roman"/>
          <w:sz w:val="22"/>
        </w:rPr>
        <w:br/>
        <w:t>• Data analysts who require clean, transformed data in efficient storage formats (Parquet) for advanced analytics and machine learning.</w:t>
      </w:r>
      <w:r>
        <w:rPr>
          <w:rFonts w:ascii="Times New Roman" w:hAnsi="Times New Roman"/>
          <w:sz w:val="22"/>
        </w:rPr>
        <w:br/>
        <w:t>• HR managers who need visibility into attrition risk patterns and their correlation with employee satisfaction and performance metrics.</w:t>
      </w:r>
      <w:r>
        <w:rPr>
          <w:rFonts w:ascii="Times New Roman" w:hAnsi="Times New Roman"/>
          <w:sz w:val="22"/>
        </w:rPr>
        <w:br/>
      </w:r>
      <w:r>
        <w:rPr>
          <w:rFonts w:ascii="Times New Roman" w:hAnsi="Times New Roman"/>
          <w:sz w:val="22"/>
        </w:rPr>
        <w:br/>
        <w:t>The problem matters because poor decision-making—driven by low data quality, high error rates, and fragmented analytics pipelines—directly translates to revenue loss, employee attrition, and competitive disadvantage. Research by McKinsey Global Institute estimates that data-driven organizations are 23 times more likely to acquire customers and 19 times more likely to be profitable. By building a robust big data pipeline that surfaces the key drivers of decision impact, this project demonstrates how organizations can systematically improve their decision-making capability.</w:t>
      </w:r>
      <w:r>
        <w:rPr>
          <w:rFonts w:ascii="Times New Roman" w:hAnsi="Times New Roman"/>
          <w:sz w:val="22"/>
        </w:rPr>
        <w:br/>
      </w:r>
      <w:r>
        <w:rPr>
          <w:rFonts w:ascii="Times New Roman" w:hAnsi="Times New Roman"/>
          <w:sz w:val="22"/>
        </w:rPr>
        <w:br/>
        <w:t>The dataset used in this project comprises 123,847 records spanning 15 variables across 6 departments, 4 regions, and a 2-year time horizon (January 2024 – December 2025). The data simulates realistic organizational behavior including correlated variables, missing values, outliers, and seasonal patterns—mirroring the messiness of real-world enterprise data. The target variable, Decision Impact Score, is modeled as a composite of data quality, employee performance, error rate, training investment, and customer satisfaction, reflecting the multifaceted nature of organizational decision-making.</w:t>
      </w:r>
    </w:p>
    <w:p>
      <w:pPr>
        <w:pStyle w:val="Heading1"/>
      </w:pPr>
      <w:r>
        <w:t>2. Pipeline Design</w:t>
      </w:r>
    </w:p>
    <w:p>
      <w:pPr>
        <w:spacing w:line="360" w:lineRule="auto" w:after="120"/>
      </w:pPr>
      <w:r>
        <w:rPr>
          <w:rFonts w:ascii="Times New Roman" w:hAnsi="Times New Roman"/>
          <w:sz w:val="22"/>
        </w:rPr>
        <w:t>The data pipeline designed for this project follows a five-stage architecture that transforms raw organizational data into actionable business insights. Each stage is carefully selected to balance performance, scalability, and ease of implementation.</w:t>
      </w:r>
      <w:r>
        <w:rPr>
          <w:rFonts w:ascii="Times New Roman" w:hAnsi="Times New Roman"/>
          <w:sz w:val="22"/>
        </w:rPr>
        <w:br/>
      </w:r>
      <w:r>
        <w:rPr>
          <w:rFonts w:ascii="Times New Roman" w:hAnsi="Times New Roman"/>
          <w:sz w:val="22"/>
        </w:rPr>
        <w:br/>
        <w:t>Stage 1 — Data Source &amp; Ingestion:</w:t>
      </w:r>
      <w:r>
        <w:rPr>
          <w:rFonts w:ascii="Times New Roman" w:hAnsi="Times New Roman"/>
          <w:sz w:val="22"/>
        </w:rPr>
        <w:br/>
        <w:t>The raw dataset (data_driven_decision_realistic.csv, 123,847 rows × 15 columns) is stored as a CSV file, simulating data exported from an enterprise resource planning (ERP) system. In a production environment, this data would reside in Google Cloud Storage (GCS) buckets, enabling integration with GCP Dataproc for automated ingestion. The CSV format was chosen for portability and human readability during development, with Parquet as the target format for production storage.</w:t>
      </w:r>
      <w:r>
        <w:rPr>
          <w:rFonts w:ascii="Times New Roman" w:hAnsi="Times New Roman"/>
          <w:sz w:val="22"/>
        </w:rPr>
        <w:br/>
      </w:r>
      <w:r>
        <w:rPr>
          <w:rFonts w:ascii="Times New Roman" w:hAnsi="Times New Roman"/>
          <w:sz w:val="22"/>
        </w:rPr>
        <w:br/>
        <w:t>Stage 2 — Data Processing (PySpark):</w:t>
      </w:r>
      <w:r>
        <w:rPr>
          <w:rFonts w:ascii="Times New Roman" w:hAnsi="Times New Roman"/>
          <w:sz w:val="22"/>
        </w:rPr>
        <w:br/>
        <w:t>Apache Spark, accessed through PySpark, serves as the core processing engine. Spark was selected for three reasons: (1) its distributed computing architecture enables horizontal scaling from thousands to billions of records without code changes, (2) its lazy evaluation and Catalyst optimizer provide automatic query optimization, and (3) its native support for structured data via DataFrames aligns with the tabular nature of organizational data. The processing stage includes schema enforcement using StructType, null imputation via median replacement, duplicate removal, outlier capping using the IQR method, and feature engineering.</w:t>
      </w:r>
      <w:r>
        <w:rPr>
          <w:rFonts w:ascii="Times New Roman" w:hAnsi="Times New Roman"/>
          <w:sz w:val="22"/>
        </w:rPr>
        <w:br/>
      </w:r>
      <w:r>
        <w:rPr>
          <w:rFonts w:ascii="Times New Roman" w:hAnsi="Times New Roman"/>
          <w:sz w:val="22"/>
        </w:rPr>
        <w:br/>
        <w:t>Stage 3 — Data Transformation:</w:t>
      </w:r>
      <w:r>
        <w:rPr>
          <w:rFonts w:ascii="Times New Roman" w:hAnsi="Times New Roman"/>
          <w:sz w:val="22"/>
        </w:rPr>
        <w:br/>
        <w:t>Feature engineering creates derived variables that enhance analytical power. New features include experience_training_ratio (measuring training efficiency relative to tenure), efficiency_score (performance per unit processing time), quality_error_interaction (capturing the combined effect of data quality and error rate), and temporal features (month, quarter, day of week) extracted from timestamps. These features increase the dimensionality of analysis without requiring additional data collection.</w:t>
      </w:r>
      <w:r>
        <w:rPr>
          <w:rFonts w:ascii="Times New Roman" w:hAnsi="Times New Roman"/>
          <w:sz w:val="22"/>
        </w:rPr>
        <w:br/>
      </w:r>
      <w:r>
        <w:rPr>
          <w:rFonts w:ascii="Times New Roman" w:hAnsi="Times New Roman"/>
          <w:sz w:val="22"/>
        </w:rPr>
        <w:br/>
        <w:t>Stage 4 — Data Storage:</w:t>
      </w:r>
      <w:r>
        <w:rPr>
          <w:rFonts w:ascii="Times New Roman" w:hAnsi="Times New Roman"/>
          <w:sz w:val="22"/>
        </w:rPr>
        <w:br/>
        <w:t>Processed data is stored in Apache Parquet format, partitioned by Department. Parquet was selected over CSV for three reasons: (1) columnar storage reduces I/O for analytical queries that access subsets of columns, (2) built-in compression (Snappy) reduces storage footprint by 60–80%, and (3) predicate pushdown enables Spark to skip irrelevant data partitions during reads. Department-based partitioning aligns with the most common analytical access pattern.</w:t>
      </w:r>
      <w:r>
        <w:rPr>
          <w:rFonts w:ascii="Times New Roman" w:hAnsi="Times New Roman"/>
          <w:sz w:val="22"/>
        </w:rPr>
        <w:br/>
      </w:r>
      <w:r>
        <w:rPr>
          <w:rFonts w:ascii="Times New Roman" w:hAnsi="Times New Roman"/>
          <w:sz w:val="22"/>
        </w:rPr>
        <w:br/>
        <w:t>Stage 5 — Visualization &amp; Insight Delivery:</w:t>
      </w:r>
      <w:r>
        <w:rPr>
          <w:rFonts w:ascii="Times New Roman" w:hAnsi="Times New Roman"/>
          <w:sz w:val="22"/>
        </w:rPr>
        <w:br/>
        <w:t>Streamlit, an open-source Python framework, powers the interactive dashboard. Streamlit was chosen over Power BI and Tableau for three reasons: (1) native Python integration eliminates the need for data export and re-import, (2) it supports real-time filtering and interactive exploration without licensing costs, and (3) deployment is trivial via Streamlit Cloud or GCP Cloud Run. The dashboard presents KPI cards, time-series trends, departmental comparisons, and data quality analyses.</w:t>
      </w:r>
      <w:r>
        <w:rPr>
          <w:rFonts w:ascii="Times New Roman" w:hAnsi="Times New Roman"/>
          <w:sz w:val="22"/>
        </w:rPr>
        <w:br/>
      </w:r>
      <w:r>
        <w:rPr>
          <w:rFonts w:ascii="Times New Roman" w:hAnsi="Times New Roman"/>
          <w:sz w:val="22"/>
        </w:rPr>
        <w:br/>
        <w:t>Design Justification:</w:t>
      </w:r>
      <w:r>
        <w:rPr>
          <w:rFonts w:ascii="Times New Roman" w:hAnsi="Times New Roman"/>
          <w:sz w:val="22"/>
        </w:rPr>
        <w:br/>
        <w:t>The pipeline is designed for reproducibility (all steps are coded, not manual), scalability (Spark and GCP can handle petabyte-scale data), and maintainability (modular Python scripts with clear separation of concerns). The choice of open-source tools (Spark, Streamlit, Parquet) eliminates vendor lock-in and reduces total cost of ownership.</w:t>
      </w:r>
    </w:p>
    <w:p>
      <w:pPr>
        <w:pStyle w:val="Heading1"/>
      </w:pPr>
      <w:r>
        <w:t>3. System Architecture</w:t>
      </w:r>
    </w:p>
    <w:p>
      <w:pPr>
        <w:spacing w:line="360" w:lineRule="auto" w:after="120"/>
      </w:pPr>
      <w:r>
        <w:rPr>
          <w:rFonts w:ascii="Times New Roman" w:hAnsi="Times New Roman"/>
          <w:sz w:val="22"/>
        </w:rPr>
        <w:t>The system architecture follows a layered design pattern where each component has a single responsibility and communicates with adjacent layers through well-defined interfaces.</w:t>
      </w:r>
      <w:r>
        <w:rPr>
          <w:rFonts w:ascii="Times New Roman" w:hAnsi="Times New Roman"/>
          <w:sz w:val="22"/>
        </w:rPr>
        <w:br/>
      </w:r>
      <w:r>
        <w:rPr>
          <w:rFonts w:ascii="Times New Roman" w:hAnsi="Times New Roman"/>
          <w:sz w:val="22"/>
        </w:rPr>
        <w:br/>
        <w:t>Architecture Diagram:</w:t>
      </w:r>
      <w:r>
        <w:rPr>
          <w:rFonts w:ascii="Times New Roman" w:hAnsi="Times New Roman"/>
          <w:sz w:val="22"/>
        </w:rPr>
        <w:br/>
      </w:r>
      <w:r>
        <w:rPr>
          <w:rFonts w:ascii="Times New Roman" w:hAnsi="Times New Roman"/>
          <w:sz w:val="22"/>
        </w:rPr>
        <w:br/>
        <w:t>┌─────────────────────────────────────────────────────────────────────┐</w:t>
      </w:r>
      <w:r>
        <w:rPr>
          <w:rFonts w:ascii="Times New Roman" w:hAnsi="Times New Roman"/>
          <w:sz w:val="22"/>
        </w:rPr>
        <w:br/>
        <w:t>│                    SYSTEM ARCHITECTURE                              │</w:t>
      </w:r>
      <w:r>
        <w:rPr>
          <w:rFonts w:ascii="Times New Roman" w:hAnsi="Times New Roman"/>
          <w:sz w:val="22"/>
        </w:rPr>
        <w:br/>
        <w:t>├─────────────────────────────────────────────────────────────────────┤</w:t>
      </w:r>
      <w:r>
        <w:rPr>
          <w:rFonts w:ascii="Times New Roman" w:hAnsi="Times New Roman"/>
          <w:sz w:val="22"/>
        </w:rPr>
        <w:br/>
        <w:t>│                                                                     │</w:t>
      </w:r>
      <w:r>
        <w:rPr>
          <w:rFonts w:ascii="Times New Roman" w:hAnsi="Times New Roman"/>
          <w:sz w:val="22"/>
        </w:rPr>
        <w:br/>
        <w:t>│  [Data Sources]                                                     │</w:t>
      </w:r>
      <w:r>
        <w:rPr>
          <w:rFonts w:ascii="Times New Roman" w:hAnsi="Times New Roman"/>
          <w:sz w:val="22"/>
        </w:rPr>
        <w:br/>
        <w:t>│    ├── CSV Files (ERP Exports)                                     │</w:t>
      </w:r>
      <w:r>
        <w:rPr>
          <w:rFonts w:ascii="Times New Roman" w:hAnsi="Times New Roman"/>
          <w:sz w:val="22"/>
        </w:rPr>
        <w:br/>
        <w:t>│    ├── Databases (PostgreSQL, MySQL)                                │</w:t>
      </w:r>
      <w:r>
        <w:rPr>
          <w:rFonts w:ascii="Times New Roman" w:hAnsi="Times New Roman"/>
          <w:sz w:val="22"/>
        </w:rPr>
        <w:br/>
        <w:t>│    └── APIs (CRM, HRMS)                                            │</w:t>
      </w:r>
      <w:r>
        <w:rPr>
          <w:rFonts w:ascii="Times New Roman" w:hAnsi="Times New Roman"/>
          <w:sz w:val="22"/>
        </w:rPr>
        <w:br/>
        <w:t>│         │                                                           │</w:t>
      </w:r>
      <w:r>
        <w:rPr>
          <w:rFonts w:ascii="Times New Roman" w:hAnsi="Times New Roman"/>
          <w:sz w:val="22"/>
        </w:rPr>
        <w:br/>
        <w:t>│         ▼                                                           │</w:t>
      </w:r>
      <w:r>
        <w:rPr>
          <w:rFonts w:ascii="Times New Roman" w:hAnsi="Times New Roman"/>
          <w:sz w:val="22"/>
        </w:rPr>
        <w:br/>
        <w:t>│  [Data Ingestion Layer]                                             │</w:t>
      </w:r>
      <w:r>
        <w:rPr>
          <w:rFonts w:ascii="Times New Roman" w:hAnsi="Times New Roman"/>
          <w:sz w:val="22"/>
        </w:rPr>
        <w:br/>
        <w:t>│    ├── GCP Cloud Storage (Raw Data Lake)                            │</w:t>
      </w:r>
      <w:r>
        <w:rPr>
          <w:rFonts w:ascii="Times New Roman" w:hAnsi="Times New Roman"/>
          <w:sz w:val="22"/>
        </w:rPr>
        <w:br/>
        <w:t>│    └── Python Scripts (Validation &amp; Upload)                         │</w:t>
      </w:r>
      <w:r>
        <w:rPr>
          <w:rFonts w:ascii="Times New Roman" w:hAnsi="Times New Roman"/>
          <w:sz w:val="22"/>
        </w:rPr>
        <w:br/>
        <w:t>│         │                                                           │</w:t>
      </w:r>
      <w:r>
        <w:rPr>
          <w:rFonts w:ascii="Times New Roman" w:hAnsi="Times New Roman"/>
          <w:sz w:val="22"/>
        </w:rPr>
        <w:br/>
        <w:t>│         ▼                                                           │</w:t>
      </w:r>
      <w:r>
        <w:rPr>
          <w:rFonts w:ascii="Times New Roman" w:hAnsi="Times New Roman"/>
          <w:sz w:val="22"/>
        </w:rPr>
        <w:br/>
        <w:t>│  [Processing Engine]                                                │</w:t>
      </w:r>
      <w:r>
        <w:rPr>
          <w:rFonts w:ascii="Times New Roman" w:hAnsi="Times New Roman"/>
          <w:sz w:val="22"/>
        </w:rPr>
        <w:br/>
        <w:t>│    ├── Apache Spark (PySpark) on GCP Dataproc                      │</w:t>
      </w:r>
      <w:r>
        <w:rPr>
          <w:rFonts w:ascii="Times New Roman" w:hAnsi="Times New Roman"/>
          <w:sz w:val="22"/>
        </w:rPr>
        <w:br/>
        <w:t>│    ├── Data Cleaning (Null handling, Dedup, Outliers)               │</w:t>
      </w:r>
      <w:r>
        <w:rPr>
          <w:rFonts w:ascii="Times New Roman" w:hAnsi="Times New Roman"/>
          <w:sz w:val="22"/>
        </w:rPr>
        <w:br/>
        <w:t>│    ├── Feature Engineering (Derived Variables)                      │</w:t>
      </w:r>
      <w:r>
        <w:rPr>
          <w:rFonts w:ascii="Times New Roman" w:hAnsi="Times New Roman"/>
          <w:sz w:val="22"/>
        </w:rPr>
        <w:br/>
        <w:t>│    └── Aggregations (Department, Region, Quarterly)                 │</w:t>
      </w:r>
      <w:r>
        <w:rPr>
          <w:rFonts w:ascii="Times New Roman" w:hAnsi="Times New Roman"/>
          <w:sz w:val="22"/>
        </w:rPr>
        <w:br/>
        <w:t>│         │                                                           │</w:t>
      </w:r>
      <w:r>
        <w:rPr>
          <w:rFonts w:ascii="Times New Roman" w:hAnsi="Times New Roman"/>
          <w:sz w:val="22"/>
        </w:rPr>
        <w:br/>
        <w:t>│         ▼                                                           │</w:t>
      </w:r>
      <w:r>
        <w:rPr>
          <w:rFonts w:ascii="Times New Roman" w:hAnsi="Times New Roman"/>
          <w:sz w:val="22"/>
        </w:rPr>
        <w:br/>
        <w:t>│  [Storage Layer]                                                    │</w:t>
      </w:r>
      <w:r>
        <w:rPr>
          <w:rFonts w:ascii="Times New Roman" w:hAnsi="Times New Roman"/>
          <w:sz w:val="22"/>
        </w:rPr>
        <w:br/>
        <w:t>│    ├── Parquet Files (Partitioned by Department)                    │</w:t>
      </w:r>
      <w:r>
        <w:rPr>
          <w:rFonts w:ascii="Times New Roman" w:hAnsi="Times New Roman"/>
          <w:sz w:val="22"/>
        </w:rPr>
        <w:br/>
        <w:t>│    ├── GCP Cloud Storage (Processed Data)                           │</w:t>
      </w:r>
      <w:r>
        <w:rPr>
          <w:rFonts w:ascii="Times New Roman" w:hAnsi="Times New Roman"/>
          <w:sz w:val="22"/>
        </w:rPr>
        <w:br/>
        <w:t>│    └── BigQuery (Optional: Ad-hoc SQL Queries)                      │</w:t>
      </w:r>
      <w:r>
        <w:rPr>
          <w:rFonts w:ascii="Times New Roman" w:hAnsi="Times New Roman"/>
          <w:sz w:val="22"/>
        </w:rPr>
        <w:br/>
        <w:t>│         │                                                           │</w:t>
      </w:r>
      <w:r>
        <w:rPr>
          <w:rFonts w:ascii="Times New Roman" w:hAnsi="Times New Roman"/>
          <w:sz w:val="22"/>
        </w:rPr>
        <w:br/>
        <w:t>│         ▼                                                           │</w:t>
      </w:r>
      <w:r>
        <w:rPr>
          <w:rFonts w:ascii="Times New Roman" w:hAnsi="Times New Roman"/>
          <w:sz w:val="22"/>
        </w:rPr>
        <w:br/>
        <w:t>│  [Visualization Layer]                                              │</w:t>
      </w:r>
      <w:r>
        <w:rPr>
          <w:rFonts w:ascii="Times New Roman" w:hAnsi="Times New Roman"/>
          <w:sz w:val="22"/>
        </w:rPr>
        <w:br/>
        <w:t>│    ├── Streamlit Dashboard (Interactive)                             │</w:t>
      </w:r>
      <w:r>
        <w:rPr>
          <w:rFonts w:ascii="Times New Roman" w:hAnsi="Times New Roman"/>
          <w:sz w:val="22"/>
        </w:rPr>
        <w:br/>
        <w:t>│    ├── Matplotlib/Seaborn (Static Reports)                          │</w:t>
      </w:r>
      <w:r>
        <w:rPr>
          <w:rFonts w:ascii="Times New Roman" w:hAnsi="Times New Roman"/>
          <w:sz w:val="22"/>
        </w:rPr>
        <w:br/>
        <w:t>│    └── Plotly (Interactive Charts)                                   │</w:t>
      </w:r>
      <w:r>
        <w:rPr>
          <w:rFonts w:ascii="Times New Roman" w:hAnsi="Times New Roman"/>
          <w:sz w:val="22"/>
        </w:rPr>
        <w:br/>
        <w:t>│         │                                                           │</w:t>
      </w:r>
      <w:r>
        <w:rPr>
          <w:rFonts w:ascii="Times New Roman" w:hAnsi="Times New Roman"/>
          <w:sz w:val="22"/>
        </w:rPr>
        <w:br/>
        <w:t>│         ▼                                                           │</w:t>
      </w:r>
      <w:r>
        <w:rPr>
          <w:rFonts w:ascii="Times New Roman" w:hAnsi="Times New Roman"/>
          <w:sz w:val="22"/>
        </w:rPr>
        <w:br/>
        <w:t>│  [Business Decision Layer]                                          │</w:t>
      </w:r>
      <w:r>
        <w:rPr>
          <w:rFonts w:ascii="Times New Roman" w:hAnsi="Times New Roman"/>
          <w:sz w:val="22"/>
        </w:rPr>
        <w:br/>
        <w:t>│    ├── KPI Monitoring                                               │</w:t>
      </w:r>
      <w:r>
        <w:rPr>
          <w:rFonts w:ascii="Times New Roman" w:hAnsi="Times New Roman"/>
          <w:sz w:val="22"/>
        </w:rPr>
        <w:br/>
        <w:t>│    ├── Trend Analysis                                               │</w:t>
      </w:r>
      <w:r>
        <w:rPr>
          <w:rFonts w:ascii="Times New Roman" w:hAnsi="Times New Roman"/>
          <w:sz w:val="22"/>
        </w:rPr>
        <w:br/>
        <w:t>│    └── Prescriptive Insights                                        │</w:t>
      </w:r>
      <w:r>
        <w:rPr>
          <w:rFonts w:ascii="Times New Roman" w:hAnsi="Times New Roman"/>
          <w:sz w:val="22"/>
        </w:rPr>
        <w:br/>
        <w:t>│                                                                     │</w:t>
      </w:r>
      <w:r>
        <w:rPr>
          <w:rFonts w:ascii="Times New Roman" w:hAnsi="Times New Roman"/>
          <w:sz w:val="22"/>
        </w:rPr>
        <w:br/>
        <w:t>└─────────────────────────────────────────────────────────────────────┘</w:t>
      </w:r>
      <w:r>
        <w:rPr>
          <w:rFonts w:ascii="Times New Roman" w:hAnsi="Times New Roman"/>
          <w:sz w:val="22"/>
        </w:rPr>
        <w:br/>
      </w:r>
      <w:r>
        <w:rPr>
          <w:rFonts w:ascii="Times New Roman" w:hAnsi="Times New Roman"/>
          <w:sz w:val="22"/>
        </w:rPr>
        <w:br/>
        <w:t>Component Explanations:</w:t>
      </w:r>
      <w:r>
        <w:rPr>
          <w:rFonts w:ascii="Times New Roman" w:hAnsi="Times New Roman"/>
          <w:sz w:val="22"/>
        </w:rPr>
        <w:br/>
      </w:r>
      <w:r>
        <w:rPr>
          <w:rFonts w:ascii="Times New Roman" w:hAnsi="Times New Roman"/>
          <w:sz w:val="22"/>
        </w:rPr>
        <w:br/>
        <w:t>1. Data Source Layer: The system ingests data from multiple enterprise sources. In this project, a synthetic dataset of 123,847 records simulates ERP-exported organizational data. In production, connectors would pull from PostgreSQL databases, CRM APIs (Salesforce), and HRMS systems (Workday) via scheduled batch jobs or real-time streaming.</w:t>
      </w:r>
      <w:r>
        <w:rPr>
          <w:rFonts w:ascii="Times New Roman" w:hAnsi="Times New Roman"/>
          <w:sz w:val="22"/>
        </w:rPr>
        <w:br/>
      </w:r>
      <w:r>
        <w:rPr>
          <w:rFonts w:ascii="Times New Roman" w:hAnsi="Times New Roman"/>
          <w:sz w:val="22"/>
        </w:rPr>
        <w:br/>
        <w:t>2. Processing Engine — Apache Spark (PySpark): Spark runs on GCP Dataproc, a managed Hadoop and Spark service that provides auto-scaling clusters. The processing pipeline uses Spark DataFrames with explicit schema enforcement (StructType), ensuring type safety and early error detection. Key operations include: null imputation using column medians, duplicate removal via dropDuplicates(), outlier capping using the IQR method, and feature engineering through column-wise transformations.</w:t>
      </w:r>
      <w:r>
        <w:rPr>
          <w:rFonts w:ascii="Times New Roman" w:hAnsi="Times New Roman"/>
          <w:sz w:val="22"/>
        </w:rPr>
        <w:br/>
      </w:r>
      <w:r>
        <w:rPr>
          <w:rFonts w:ascii="Times New Roman" w:hAnsi="Times New Roman"/>
          <w:sz w:val="22"/>
        </w:rPr>
        <w:br/>
        <w:t>3. Storage Layer — Parquet on GCP Cloud Storage: Processed data is persisted in Apache Parquet format, a columnar storage format optimized for analytical workloads. Files are partitioned by Department to enable partition pruning during queries. GCP Cloud Storage provides 99.999999999% (11 nines) durability and integrates natively with BigQuery for ad-hoc SQL analysis.</w:t>
      </w:r>
      <w:r>
        <w:rPr>
          <w:rFonts w:ascii="Times New Roman" w:hAnsi="Times New Roman"/>
          <w:sz w:val="22"/>
        </w:rPr>
        <w:br/>
      </w:r>
      <w:r>
        <w:rPr>
          <w:rFonts w:ascii="Times New Roman" w:hAnsi="Times New Roman"/>
          <w:sz w:val="22"/>
        </w:rPr>
        <w:br/>
        <w:t>4. Visualization Layer — Streamlit Dashboard: The dashboard provides real-time, interactive exploration of processed data. It includes KPI metric cards, time-series line charts, departmental bar charts, scatter plots with regression lines, pie charts for categorical distributions, and box plots for error rate analysis. Sidebar filters enable slicing data by department, region, date range, and decision type.</w:t>
      </w:r>
      <w:r>
        <w:rPr>
          <w:rFonts w:ascii="Times New Roman" w:hAnsi="Times New Roman"/>
          <w:sz w:val="22"/>
        </w:rPr>
        <w:br/>
      </w:r>
      <w:r>
        <w:rPr>
          <w:rFonts w:ascii="Times New Roman" w:hAnsi="Times New Roman"/>
          <w:sz w:val="22"/>
        </w:rPr>
        <w:br/>
        <w:t>5. Workflow: Raw data flows unidirectionally from sources through processing to storage and visualization. Each stage logs metadata (row counts, null statistics, outlier counts) for pipeline monitoring and debugging. The architecture supports both batch processing (current implementation) and can be extended to near-real-time processing using Spark Structured Streaming.</w:t>
      </w:r>
    </w:p>
    <w:p>
      <w:pPr>
        <w:pStyle w:val="Heading1"/>
      </w:pPr>
      <w:r>
        <w:t>4. PySpark Implementation</w:t>
      </w:r>
    </w:p>
    <w:p>
      <w:pPr>
        <w:spacing w:line="360" w:lineRule="auto" w:after="120"/>
      </w:pPr>
      <w:r>
        <w:rPr>
          <w:rFonts w:ascii="Times New Roman" w:hAnsi="Times New Roman"/>
          <w:sz w:val="22"/>
        </w:rPr>
        <w:t>Dataset Description:</w:t>
      </w:r>
      <w:r>
        <w:rPr>
          <w:rFonts w:ascii="Times New Roman" w:hAnsi="Times New Roman"/>
          <w:sz w:val="22"/>
        </w:rPr>
        <w:br/>
        <w:t>The dataset (data_driven_decision_realistic.csv) contains 123,847 records with 15 columns capturing organizational decision-making metrics. The data spans January 2024 to December 2025 across 6 departments (Sales, Marketing, Engineering, HR, Finance, Operations), 4 regions (North, South, East, West), and approximately 2,500 unique employees. The dataset includes realistic imperfections: 5–8% missing values in selected columns, 0.5% outliers, and minor inconsistencies such as negative experience values.</w:t>
      </w:r>
      <w:r>
        <w:rPr>
          <w:rFonts w:ascii="Times New Roman" w:hAnsi="Times New Roman"/>
          <w:sz w:val="22"/>
        </w:rPr>
        <w:br/>
      </w:r>
      <w:r>
        <w:rPr>
          <w:rFonts w:ascii="Times New Roman" w:hAnsi="Times New Roman"/>
          <w:sz w:val="22"/>
        </w:rPr>
        <w:br/>
        <w:t>Step 1 — SparkSession Setup and Data Loading:</w:t>
      </w:r>
      <w:r>
        <w:rPr>
          <w:rFonts w:ascii="Times New Roman" w:hAnsi="Times New Roman"/>
          <w:sz w:val="22"/>
        </w:rPr>
        <w:br/>
        <w:t>The pipeline begins by initializing a SparkSession with 4GB driver memory and adaptive query execution enabled. The dataset is loaded with an explicit schema defined using StructType to ensure type safety.</w:t>
      </w:r>
      <w:r>
        <w:rPr>
          <w:rFonts w:ascii="Times New Roman" w:hAnsi="Times New Roman"/>
          <w:sz w:val="22"/>
        </w:rPr>
        <w:br/>
      </w:r>
      <w:r>
        <w:rPr>
          <w:rFonts w:ascii="Times New Roman" w:hAnsi="Times New Roman"/>
          <w:sz w:val="22"/>
        </w:rPr>
        <w:br/>
        <w:t>Code Snippet — Schema Definition and Loading:</w:t>
      </w:r>
      <w:r>
        <w:rPr>
          <w:rFonts w:ascii="Times New Roman" w:hAnsi="Times New Roman"/>
          <w:sz w:val="22"/>
        </w:rPr>
        <w:br/>
        <w:t>schema = StructType([</w:t>
      </w:r>
      <w:r>
        <w:rPr>
          <w:rFonts w:ascii="Times New Roman" w:hAnsi="Times New Roman"/>
          <w:sz w:val="22"/>
        </w:rPr>
        <w:br/>
        <w:t>StructField("Timestamp", TimestampType(), True),</w:t>
      </w:r>
      <w:r>
        <w:rPr>
          <w:rFonts w:ascii="Times New Roman" w:hAnsi="Times New Roman"/>
          <w:sz w:val="22"/>
        </w:rPr>
        <w:br/>
        <w:t>StructField("Employee_ID", StringType(), True),</w:t>
      </w:r>
      <w:r>
        <w:rPr>
          <w:rFonts w:ascii="Times New Roman" w:hAnsi="Times New Roman"/>
          <w:sz w:val="22"/>
        </w:rPr>
        <w:br/>
        <w:t>StructField("Department", StringType(), True),</w:t>
      </w:r>
      <w:r>
        <w:rPr>
          <w:rFonts w:ascii="Times New Roman" w:hAnsi="Times New Roman"/>
          <w:sz w:val="22"/>
        </w:rPr>
        <w:br/>
        <w:t>...</w:t>
      </w:r>
      <w:r>
        <w:rPr>
          <w:rFonts w:ascii="Times New Roman" w:hAnsi="Times New Roman"/>
          <w:sz w:val="22"/>
        </w:rPr>
        <w:br/>
        <w:t>StructField("Decision_Impact_Score", DoubleType(), True),</w:t>
      </w:r>
      <w:r>
        <w:rPr>
          <w:rFonts w:ascii="Times New Roman" w:hAnsi="Times New Roman"/>
          <w:sz w:val="22"/>
        </w:rPr>
        <w:br/>
        <w:t>])</w:t>
      </w:r>
      <w:r>
        <w:rPr>
          <w:rFonts w:ascii="Times New Roman" w:hAnsi="Times New Roman"/>
          <w:sz w:val="22"/>
        </w:rPr>
        <w:br/>
        <w:t>df = spark.read.csv("data_driven_decision_realistic.csv",</w:t>
      </w:r>
      <w:r>
        <w:rPr>
          <w:rFonts w:ascii="Times New Roman" w:hAnsi="Times New Roman"/>
          <w:sz w:val="22"/>
        </w:rPr>
        <w:br/>
        <w:t>header=True, schema=schema)</w:t>
      </w:r>
      <w:r>
        <w:rPr>
          <w:rFonts w:ascii="Times New Roman" w:hAnsi="Times New Roman"/>
          <w:sz w:val="22"/>
        </w:rPr>
        <w:br/>
      </w:r>
      <w:r>
        <w:rPr>
          <w:rFonts w:ascii="Times New Roman" w:hAnsi="Times New Roman"/>
          <w:sz w:val="22"/>
        </w:rPr>
        <w:br/>
        <w:t>Step 2 — Data Cleaning:</w:t>
      </w:r>
      <w:r>
        <w:rPr>
          <w:rFonts w:ascii="Times New Roman" w:hAnsi="Times New Roman"/>
          <w:sz w:val="22"/>
        </w:rPr>
        <w:br/>
        <w:t>The cleaning stage addresses four data quality issues:</w:t>
      </w:r>
      <w:r>
        <w:rPr>
          <w:rFonts w:ascii="Times New Roman" w:hAnsi="Times New Roman"/>
          <w:sz w:val="22"/>
        </w:rPr>
        <w:br/>
        <w:t>(a) Duplicate Removal: dropDuplicates() removes exact duplicate rows.</w:t>
      </w:r>
      <w:r>
        <w:rPr>
          <w:rFonts w:ascii="Times New Roman" w:hAnsi="Times New Roman"/>
          <w:sz w:val="22"/>
        </w:rPr>
        <w:br/>
        <w:t>(b) Negative Values: Experience_Years values below zero are corrected using absolute value transformation.</w:t>
      </w:r>
      <w:r>
        <w:rPr>
          <w:rFonts w:ascii="Times New Roman" w:hAnsi="Times New Roman"/>
          <w:sz w:val="22"/>
        </w:rPr>
        <w:br/>
        <w:t>(c) Null Imputation: For each numeric column with missing values (Training_Hours, Monthly_Sales, Customer_Satisfaction, Data_Quality_Score, Processing_Time_sec, Error_Rate), the column median is computed and used to fill nulls. Median is preferred over mean as it is robust to outliers.</w:t>
      </w:r>
      <w:r>
        <w:rPr>
          <w:rFonts w:ascii="Times New Roman" w:hAnsi="Times New Roman"/>
          <w:sz w:val="22"/>
        </w:rPr>
        <w:br/>
        <w:t>(d) Outlier Capping: For Monthly_Sales and Processing_Time_sec, the IQR method (Q1 - 1.5×IQR, Q3 + 1.5×IQR) is used to cap extreme values.</w:t>
      </w:r>
      <w:r>
        <w:rPr>
          <w:rFonts w:ascii="Times New Roman" w:hAnsi="Times New Roman"/>
          <w:sz w:val="22"/>
        </w:rPr>
        <w:br/>
      </w:r>
      <w:r>
        <w:rPr>
          <w:rFonts w:ascii="Times New Roman" w:hAnsi="Times New Roman"/>
          <w:sz w:val="22"/>
        </w:rPr>
        <w:br/>
        <w:t>Step 3 — Feature Engineering:</w:t>
      </w:r>
      <w:r>
        <w:rPr>
          <w:rFonts w:ascii="Times New Roman" w:hAnsi="Times New Roman"/>
          <w:sz w:val="22"/>
        </w:rPr>
        <w:br/>
        <w:t>New derived features enhance the analytical power of the dataset:</w:t>
      </w:r>
      <w:r>
        <w:rPr>
          <w:rFonts w:ascii="Times New Roman" w:hAnsi="Times New Roman"/>
          <w:sz w:val="22"/>
        </w:rPr>
        <w:br/>
        <w:t>• Experience_Training_Ratio = Experience_Years / (Training_Hours + 1) — measures training efficiency relative to tenure.</w:t>
      </w:r>
      <w:r>
        <w:rPr>
          <w:rFonts w:ascii="Times New Roman" w:hAnsi="Times New Roman"/>
          <w:sz w:val="22"/>
        </w:rPr>
        <w:br/>
        <w:t>• Efficiency_Score = Performance_Score / (Processing_Time_sec + 1) — captures performance per unit of processing effort.</w:t>
      </w:r>
      <w:r>
        <w:rPr>
          <w:rFonts w:ascii="Times New Roman" w:hAnsi="Times New Roman"/>
          <w:sz w:val="22"/>
        </w:rPr>
        <w:br/>
        <w:t>• Quality_Error_Interaction = Data_Quality_Score × (1 - Error_Rate) — models the combined effect of quality and accuracy.</w:t>
      </w:r>
      <w:r>
        <w:rPr>
          <w:rFonts w:ascii="Times New Roman" w:hAnsi="Times New Roman"/>
          <w:sz w:val="22"/>
        </w:rPr>
        <w:br/>
        <w:t>• Temporal Features: Month, Quarter, Day_of_Week, and Year extracted from Timestamp for time-series analysis.</w:t>
      </w:r>
      <w:r>
        <w:rPr>
          <w:rFonts w:ascii="Times New Roman" w:hAnsi="Times New Roman"/>
          <w:sz w:val="22"/>
        </w:rPr>
        <w:br/>
        <w:t>• Categorical Binning: Performance_Category (High/Medium/Low) and Risk_Level (Critical/Moderate/Low) for segmentation.</w:t>
      </w:r>
      <w:r>
        <w:rPr>
          <w:rFonts w:ascii="Times New Roman" w:hAnsi="Times New Roman"/>
          <w:sz w:val="22"/>
        </w:rPr>
        <w:br/>
      </w:r>
      <w:r>
        <w:rPr>
          <w:rFonts w:ascii="Times New Roman" w:hAnsi="Times New Roman"/>
          <w:sz w:val="22"/>
        </w:rPr>
        <w:br/>
        <w:t>Step 4 — Aggregations:</w:t>
      </w:r>
      <w:r>
        <w:rPr>
          <w:rFonts w:ascii="Times New Roman" w:hAnsi="Times New Roman"/>
          <w:sz w:val="22"/>
        </w:rPr>
        <w:br/>
        <w:t>Three aggregation views are computed:</w:t>
      </w:r>
      <w:r>
        <w:rPr>
          <w:rFonts w:ascii="Times New Roman" w:hAnsi="Times New Roman"/>
          <w:sz w:val="22"/>
        </w:rPr>
        <w:br/>
        <w:t>(a) Department-wise: Average Decision Impact, Performance, Sales, Data Quality, and Error Rate per department, with unique employee counts.</w:t>
      </w:r>
      <w:r>
        <w:rPr>
          <w:rFonts w:ascii="Times New Roman" w:hAnsi="Times New Roman"/>
          <w:sz w:val="22"/>
        </w:rPr>
        <w:br/>
        <w:t>(b) Region-wise: Average Customer Satisfaction, Attrition Risk, and Decision Impact per region.</w:t>
      </w:r>
      <w:r>
        <w:rPr>
          <w:rFonts w:ascii="Times New Roman" w:hAnsi="Times New Roman"/>
          <w:sz w:val="22"/>
        </w:rPr>
        <w:br/>
        <w:t>(c) Quarterly Trends: Average Impact, Performance, and Error Rate by Year-Quarter for time-series analysis.</w:t>
      </w:r>
      <w:r>
        <w:rPr>
          <w:rFonts w:ascii="Times New Roman" w:hAnsi="Times New Roman"/>
          <w:sz w:val="22"/>
        </w:rPr>
        <w:br/>
      </w:r>
      <w:r>
        <w:rPr>
          <w:rFonts w:ascii="Times New Roman" w:hAnsi="Times New Roman"/>
          <w:sz w:val="22"/>
        </w:rPr>
        <w:br/>
        <w:t>Step 5 — Filtering:</w:t>
      </w:r>
      <w:r>
        <w:rPr>
          <w:rFonts w:ascii="Times New Roman" w:hAnsi="Times New Roman"/>
          <w:sz w:val="22"/>
        </w:rPr>
        <w:br/>
        <w:t>Two analytical filters isolate critical subsets:</w:t>
      </w:r>
      <w:r>
        <w:rPr>
          <w:rFonts w:ascii="Times New Roman" w:hAnsi="Times New Roman"/>
          <w:sz w:val="22"/>
        </w:rPr>
        <w:br/>
        <w:t>(a) High Error Rate Cases (Error_Rate &gt; 0.3): Identifies records where processing accuracy falls below acceptable thresholds, broken down by department.</w:t>
      </w:r>
      <w:r>
        <w:rPr>
          <w:rFonts w:ascii="Times New Roman" w:hAnsi="Times New Roman"/>
          <w:sz w:val="22"/>
        </w:rPr>
        <w:br/>
        <w:t>(b) High Attrition Risk (Attrition_Risk ≥ 0.7): Flags at-risk employees and summarizes their performance and satisfaction metrics by department.</w:t>
      </w:r>
      <w:r>
        <w:rPr>
          <w:rFonts w:ascii="Times New Roman" w:hAnsi="Times New Roman"/>
          <w:sz w:val="22"/>
        </w:rPr>
        <w:br/>
      </w:r>
      <w:r>
        <w:rPr>
          <w:rFonts w:ascii="Times New Roman" w:hAnsi="Times New Roman"/>
          <w:sz w:val="22"/>
        </w:rPr>
        <w:br/>
        <w:t>Step 6 — Save to Parquet:</w:t>
      </w:r>
      <w:r>
        <w:rPr>
          <w:rFonts w:ascii="Times New Roman" w:hAnsi="Times New Roman"/>
          <w:sz w:val="22"/>
        </w:rPr>
        <w:br/>
        <w:t>The processed DataFrame is written to Parquet format, partitioned by Department. A verification read confirms row count and column integrity after writing.</w:t>
      </w:r>
      <w:r>
        <w:rPr>
          <w:rFonts w:ascii="Times New Roman" w:hAnsi="Times New Roman"/>
          <w:sz w:val="22"/>
        </w:rPr>
        <w:br/>
      </w:r>
      <w:r>
        <w:rPr>
          <w:rFonts w:ascii="Times New Roman" w:hAnsi="Times New Roman"/>
          <w:sz w:val="22"/>
        </w:rPr>
        <w:br/>
        <w:t>Output Summary:</w:t>
      </w:r>
      <w:r>
        <w:rPr>
          <w:rFonts w:ascii="Times New Roman" w:hAnsi="Times New Roman"/>
          <w:sz w:val="22"/>
        </w:rPr>
        <w:br/>
        <w:t>• Input: 123,847 rows, 15 columns</w:t>
      </w:r>
      <w:r>
        <w:rPr>
          <w:rFonts w:ascii="Times New Roman" w:hAnsi="Times New Roman"/>
          <w:sz w:val="22"/>
        </w:rPr>
        <w:br/>
        <w:t>• After cleaning: ~123,832 rows (duplicates removed, nulls imputed, outliers capped)</w:t>
      </w:r>
      <w:r>
        <w:rPr>
          <w:rFonts w:ascii="Times New Roman" w:hAnsi="Times New Roman"/>
          <w:sz w:val="22"/>
        </w:rPr>
        <w:br/>
        <w:t>• After transformation: 24 columns (9 new features added)</w:t>
      </w:r>
      <w:r>
        <w:rPr>
          <w:rFonts w:ascii="Times New Roman" w:hAnsi="Times New Roman"/>
          <w:sz w:val="22"/>
        </w:rPr>
        <w:br/>
        <w:t>• Output format: Parquet, partitioned by Department</w:t>
      </w:r>
    </w:p>
    <w:p>
      <w:pPr>
        <w:pStyle w:val="Heading1"/>
      </w:pPr>
      <w:r>
        <w:t>5. Dashboard &amp; Visualization</w:t>
      </w:r>
    </w:p>
    <w:p>
      <w:pPr>
        <w:spacing w:line="360" w:lineRule="auto" w:after="120"/>
      </w:pPr>
      <w:r>
        <w:rPr>
          <w:rFonts w:ascii="Times New Roman" w:hAnsi="Times New Roman"/>
          <w:sz w:val="22"/>
        </w:rPr>
        <w:t>The visualization tool selected for this project is Streamlit, an open-source Python framework for building interactive data applications. Streamlit was chosen over Power BI and Tableau for the following reasons: (1) native Python integration allows direct use of Pandas DataFrames without data export, (2) zero licensing cost makes it accessible for academic projects, (3) interactive widgets (filters, sliders, date pickers) enable dynamic exploration without coding complexity, and (4) deployment to Streamlit Cloud or GCP Cloud Run is trivial.</w:t>
      </w:r>
      <w:r>
        <w:rPr>
          <w:rFonts w:ascii="Times New Roman" w:hAnsi="Times New Roman"/>
          <w:sz w:val="22"/>
        </w:rPr>
        <w:br/>
      </w:r>
      <w:r>
        <w:rPr>
          <w:rFonts w:ascii="Times New Roman" w:hAnsi="Times New Roman"/>
          <w:sz w:val="22"/>
        </w:rPr>
        <w:br/>
        <w:t>Dashboard Components:</w:t>
      </w:r>
      <w:r>
        <w:rPr>
          <w:rFonts w:ascii="Times New Roman" w:hAnsi="Times New Roman"/>
          <w:sz w:val="22"/>
        </w:rPr>
        <w:br/>
      </w:r>
      <w:r>
        <w:rPr>
          <w:rFonts w:ascii="Times New Roman" w:hAnsi="Times New Roman"/>
          <w:sz w:val="22"/>
        </w:rPr>
        <w:br/>
        <w:t>1. KPI Metric Cards (Top Row):</w:t>
      </w:r>
      <w:r>
        <w:rPr>
          <w:rFonts w:ascii="Times New Roman" w:hAnsi="Times New Roman"/>
          <w:sz w:val="22"/>
        </w:rPr>
        <w:br/>
        <w:t>Four metric cards display the filtered dataset's key performance indicators:</w:t>
      </w:r>
      <w:r>
        <w:rPr>
          <w:rFonts w:ascii="Times New Roman" w:hAnsi="Times New Roman"/>
          <w:sz w:val="22"/>
        </w:rPr>
        <w:br/>
        <w:t>• Average Decision Impact Score (with delta vs. overall average)</w:t>
      </w:r>
      <w:r>
        <w:rPr>
          <w:rFonts w:ascii="Times New Roman" w:hAnsi="Times New Roman"/>
          <w:sz w:val="22"/>
        </w:rPr>
        <w:br/>
        <w:t>• Average Performance Score</w:t>
      </w:r>
      <w:r>
        <w:rPr>
          <w:rFonts w:ascii="Times New Roman" w:hAnsi="Times New Roman"/>
          <w:sz w:val="22"/>
        </w:rPr>
        <w:br/>
        <w:t>• Average Data Quality Score</w:t>
      </w:r>
      <w:r>
        <w:rPr>
          <w:rFonts w:ascii="Times New Roman" w:hAnsi="Times New Roman"/>
          <w:sz w:val="22"/>
        </w:rPr>
        <w:br/>
        <w:t>• Average Error Rate (with inverse delta coloring — lower is better)</w:t>
      </w:r>
      <w:r>
        <w:rPr>
          <w:rFonts w:ascii="Times New Roman" w:hAnsi="Times New Roman"/>
          <w:sz w:val="22"/>
        </w:rPr>
        <w:br/>
        <w:t>These cards provide an at-a-glance summary of organizational health.</w:t>
      </w:r>
      <w:r>
        <w:rPr>
          <w:rFonts w:ascii="Times New Roman" w:hAnsi="Times New Roman"/>
          <w:sz w:val="22"/>
        </w:rPr>
        <w:br/>
      </w:r>
      <w:r>
        <w:rPr>
          <w:rFonts w:ascii="Times New Roman" w:hAnsi="Times New Roman"/>
          <w:sz w:val="22"/>
        </w:rPr>
        <w:br/>
        <w:t>2. Monthly Decision Impact Trend (Line Chart):</w:t>
      </w:r>
      <w:r>
        <w:rPr>
          <w:rFonts w:ascii="Times New Roman" w:hAnsi="Times New Roman"/>
          <w:sz w:val="22"/>
        </w:rPr>
        <w:br/>
        <w:t>A dual-axis time-series chart plots the monthly average Decision Impact Score (primary axis) against the average Error Rate (secondary axis) from January 2024 to December 2025. This visualization reveals temporal patterns, seasonal fluctuations, and the inverse relationship between errors and decision quality.</w:t>
      </w:r>
      <w:r>
        <w:rPr>
          <w:rFonts w:ascii="Times New Roman" w:hAnsi="Times New Roman"/>
          <w:sz w:val="22"/>
        </w:rPr>
        <w:br/>
      </w:r>
      <w:r>
        <w:rPr>
          <w:rFonts w:ascii="Times New Roman" w:hAnsi="Times New Roman"/>
          <w:sz w:val="22"/>
        </w:rPr>
        <w:br/>
        <w:t>3. Department-wise Decision Impact (Horizontal Bar Chart):</w:t>
      </w:r>
      <w:r>
        <w:rPr>
          <w:rFonts w:ascii="Times New Roman" w:hAnsi="Times New Roman"/>
          <w:sz w:val="22"/>
        </w:rPr>
        <w:br/>
        <w:t>A horizontal bar chart ranks departments by their average Decision Impact Score, using a viridis color scale. This chart immediately identifies which departments drive the highest decision quality and which require intervention.</w:t>
      </w:r>
      <w:r>
        <w:rPr>
          <w:rFonts w:ascii="Times New Roman" w:hAnsi="Times New Roman"/>
          <w:sz w:val="22"/>
        </w:rPr>
        <w:br/>
      </w:r>
      <w:r>
        <w:rPr>
          <w:rFonts w:ascii="Times New Roman" w:hAnsi="Times New Roman"/>
          <w:sz w:val="22"/>
        </w:rPr>
        <w:br/>
        <w:t>4. Data Quality vs. Decision Impact (Scatter Plot):</w:t>
      </w:r>
      <w:r>
        <w:rPr>
          <w:rFonts w:ascii="Times New Roman" w:hAnsi="Times New Roman"/>
          <w:sz w:val="22"/>
        </w:rPr>
        <w:br/>
        <w:t>A scatter plot with OLS regression trendlines (per department) shows the strong positive correlation (r ≈ 0.74) between Data Quality Score and Decision Impact Score. Points are color-coded by department, enabling cross-departmental comparison.</w:t>
      </w:r>
      <w:r>
        <w:rPr>
          <w:rFonts w:ascii="Times New Roman" w:hAnsi="Times New Roman"/>
          <w:sz w:val="22"/>
        </w:rPr>
        <w:br/>
      </w:r>
      <w:r>
        <w:rPr>
          <w:rFonts w:ascii="Times New Roman" w:hAnsi="Times New Roman"/>
          <w:sz w:val="22"/>
        </w:rPr>
        <w:br/>
        <w:t>5. Decision Type Distribution (Donut Chart):</w:t>
      </w:r>
      <w:r>
        <w:rPr>
          <w:rFonts w:ascii="Times New Roman" w:hAnsi="Times New Roman"/>
          <w:sz w:val="22"/>
        </w:rPr>
        <w:br/>
        <w:t>A donut/pie chart shows the proportional distribution of Strategic, Operational, Tactical, and Analytical decisions across the filtered dataset. This reveals organizational decision-making patterns.</w:t>
      </w:r>
      <w:r>
        <w:rPr>
          <w:rFonts w:ascii="Times New Roman" w:hAnsi="Times New Roman"/>
          <w:sz w:val="22"/>
        </w:rPr>
        <w:br/>
      </w:r>
      <w:r>
        <w:rPr>
          <w:rFonts w:ascii="Times New Roman" w:hAnsi="Times New Roman"/>
          <w:sz w:val="22"/>
        </w:rPr>
        <w:br/>
        <w:t>6. Regional Performance Overview (Grouped Bar Chart):</w:t>
      </w:r>
      <w:r>
        <w:rPr>
          <w:rFonts w:ascii="Times New Roman" w:hAnsi="Times New Roman"/>
          <w:sz w:val="22"/>
        </w:rPr>
        <w:br/>
        <w:t>A grouped bar chart compares average Decision Impact and Customer Satisfaction across the four regions (North, South, East, West), highlighting geographic performance disparities.</w:t>
      </w:r>
      <w:r>
        <w:rPr>
          <w:rFonts w:ascii="Times New Roman" w:hAnsi="Times New Roman"/>
          <w:sz w:val="22"/>
        </w:rPr>
        <w:br/>
      </w:r>
      <w:r>
        <w:rPr>
          <w:rFonts w:ascii="Times New Roman" w:hAnsi="Times New Roman"/>
          <w:sz w:val="22"/>
        </w:rPr>
        <w:br/>
        <w:t>7. Error Rate Distribution by Department (Box Plot):</w:t>
      </w:r>
      <w:r>
        <w:rPr>
          <w:rFonts w:ascii="Times New Roman" w:hAnsi="Times New Roman"/>
          <w:sz w:val="22"/>
        </w:rPr>
        <w:br/>
        <w:t>Box plots display the distribution of Error Rate within each department, with a red dashed threshold line at 0.3. This identifies departments with systemic accuracy problems.</w:t>
      </w:r>
      <w:r>
        <w:rPr>
          <w:rFonts w:ascii="Times New Roman" w:hAnsi="Times New Roman"/>
          <w:sz w:val="22"/>
        </w:rPr>
        <w:br/>
      </w:r>
      <w:r>
        <w:rPr>
          <w:rFonts w:ascii="Times New Roman" w:hAnsi="Times New Roman"/>
          <w:sz w:val="22"/>
        </w:rPr>
        <w:br/>
        <w:t>Key Insights Derived from Dashboard Analysis:</w:t>
      </w:r>
      <w:r>
        <w:rPr>
          <w:rFonts w:ascii="Times New Roman" w:hAnsi="Times New Roman"/>
          <w:sz w:val="22"/>
        </w:rPr>
        <w:br/>
      </w:r>
      <w:r>
        <w:rPr>
          <w:rFonts w:ascii="Times New Roman" w:hAnsi="Times New Roman"/>
          <w:sz w:val="22"/>
        </w:rPr>
        <w:br/>
        <w:t>Insight 1: Data Quality Score is the single strongest predictor of Decision Impact Score, with a Pearson correlation coefficient of r = 0.736. Organizations should prioritize data quality improvement programs to maximize decision effectiveness.</w:t>
      </w:r>
      <w:r>
        <w:rPr>
          <w:rFonts w:ascii="Times New Roman" w:hAnsi="Times New Roman"/>
          <w:sz w:val="22"/>
        </w:rPr>
        <w:br/>
      </w:r>
      <w:r>
        <w:rPr>
          <w:rFonts w:ascii="Times New Roman" w:hAnsi="Times New Roman"/>
          <w:sz w:val="22"/>
        </w:rPr>
        <w:br/>
        <w:t>Insight 2: Employees who receive more than 40 hours of training per year achieve approximately 27% higher performance scores compared to those with fewer training hours (4.76 vs. 3.76 on a 10-point scale). This demonstrates a clear return on training investment.</w:t>
      </w:r>
      <w:r>
        <w:rPr>
          <w:rFonts w:ascii="Times New Roman" w:hAnsi="Times New Roman"/>
          <w:sz w:val="22"/>
        </w:rPr>
        <w:br/>
      </w:r>
      <w:r>
        <w:rPr>
          <w:rFonts w:ascii="Times New Roman" w:hAnsi="Times New Roman"/>
          <w:sz w:val="22"/>
        </w:rPr>
        <w:br/>
        <w:t>Insight 3: Error rates exceeding 15% are associated with a 43% decline in Decision Impact Score (from 77.7 to 44.6), suggesting a critical threshold beyond which decision quality deteriorates rapidly. Organizations should implement automated quality gates at the 15% error rate threshold.</w:t>
      </w:r>
      <w:r>
        <w:rPr>
          <w:rFonts w:ascii="Times New Roman" w:hAnsi="Times New Roman"/>
          <w:sz w:val="22"/>
        </w:rPr>
        <w:br/>
      </w:r>
      <w:r>
        <w:rPr>
          <w:rFonts w:ascii="Times New Roman" w:hAnsi="Times New Roman"/>
          <w:sz w:val="22"/>
        </w:rPr>
        <w:br/>
        <w:t>Insight 4: The Engineering department leads in Decision Impact Score due to its combination of highest training investment and superior data quality practices, outperforming HR by approximately 40%.</w:t>
      </w:r>
      <w:r>
        <w:rPr>
          <w:rFonts w:ascii="Times New Roman" w:hAnsi="Times New Roman"/>
          <w:sz w:val="22"/>
        </w:rPr>
        <w:br/>
      </w:r>
      <w:r>
        <w:rPr>
          <w:rFonts w:ascii="Times New Roman" w:hAnsi="Times New Roman"/>
          <w:sz w:val="22"/>
        </w:rPr>
        <w:br/>
        <w:t>Insight 5: Attrition Risk and Customer Satisfaction exhibit a strong inverse correlation (r = -0.875), indicating that employee retention directly impacts customer experience — creating a feedback loop that amplifies organizational performance.</w:t>
      </w:r>
      <w:r>
        <w:rPr>
          <w:rFonts w:ascii="Times New Roman" w:hAnsi="Times New Roman"/>
          <w:sz w:val="22"/>
        </w:rPr>
        <w:br/>
      </w:r>
      <w:r>
        <w:rPr>
          <w:rFonts w:ascii="Times New Roman" w:hAnsi="Times New Roman"/>
          <w:sz w:val="22"/>
        </w:rPr>
        <w:br/>
        <w:t>Insight 6: Quarterly analysis reveals a gradual improvement in decision effectiveness from Q1 to Q4, suggesting that organizational learning and process maturation compound over fiscal years.</w:t>
      </w:r>
    </w:p>
    <w:p>
      <w:pPr>
        <w:pStyle w:val="Heading1"/>
      </w:pPr>
      <w:r>
        <w:t>6. Practical Application &amp; Scalability</w:t>
      </w:r>
    </w:p>
    <w:p>
      <w:pPr>
        <w:spacing w:line="360" w:lineRule="auto" w:after="120"/>
      </w:pPr>
      <w:r>
        <w:rPr>
          <w:rFonts w:ascii="Times New Roman" w:hAnsi="Times New Roman"/>
          <w:sz w:val="22"/>
        </w:rPr>
        <w:t>Real-World Use Cases:</w:t>
      </w:r>
      <w:r>
        <w:rPr>
          <w:rFonts w:ascii="Times New Roman" w:hAnsi="Times New Roman"/>
          <w:sz w:val="22"/>
        </w:rPr>
        <w:br/>
      </w:r>
      <w:r>
        <w:rPr>
          <w:rFonts w:ascii="Times New Roman" w:hAnsi="Times New Roman"/>
          <w:sz w:val="22"/>
        </w:rPr>
        <w:br/>
        <w:t>1. Management Consulting Firms: Consulting organizations like McKinsey, BCG, and Deloitte advise clients across industries on data-driven strategy. This pipeline can be deployed to analyze a client's operational data, identify decision quality bottlenecks, and prescribe targeted interventions (e.g., training programs for underperforming departments, data quality audits for high-error divisions). The modular architecture allows rapid customization for different client contexts.</w:t>
      </w:r>
      <w:r>
        <w:rPr>
          <w:rFonts w:ascii="Times New Roman" w:hAnsi="Times New Roman"/>
          <w:sz w:val="22"/>
        </w:rPr>
        <w:br/>
      </w:r>
      <w:r>
        <w:rPr>
          <w:rFonts w:ascii="Times New Roman" w:hAnsi="Times New Roman"/>
          <w:sz w:val="22"/>
        </w:rPr>
        <w:br/>
        <w:t>2. Healthcare Administration: Hospital networks generate millions of records across patient care, staffing, billing, and compliance. The pipeline can be adapted to analyze clinical decision effectiveness, identify departments with high error rates (potentially impacting patient safety), and monitor training compliance. The attrition risk model is directly applicable to nursing staff retention — a critical challenge in healthcare.</w:t>
      </w:r>
      <w:r>
        <w:rPr>
          <w:rFonts w:ascii="Times New Roman" w:hAnsi="Times New Roman"/>
          <w:sz w:val="22"/>
        </w:rPr>
        <w:br/>
      </w:r>
      <w:r>
        <w:rPr>
          <w:rFonts w:ascii="Times New Roman" w:hAnsi="Times New Roman"/>
          <w:sz w:val="22"/>
        </w:rPr>
        <w:br/>
        <w:t>3. Retail &amp; E-Commerce: Large retailers like Amazon and Walmart make thousands of operational and strategic decisions daily across supply chain, pricing, marketing, and customer service. This pipeline can process point-of-sale data, customer feedback, and inventory metrics to surface which store regions and product categories achieve the highest decision impact, enabling resource reallocation to underperforming areas.</w:t>
      </w:r>
      <w:r>
        <w:rPr>
          <w:rFonts w:ascii="Times New Roman" w:hAnsi="Times New Roman"/>
          <w:sz w:val="22"/>
        </w:rPr>
        <w:br/>
      </w:r>
      <w:r>
        <w:rPr>
          <w:rFonts w:ascii="Times New Roman" w:hAnsi="Times New Roman"/>
          <w:sz w:val="22"/>
        </w:rPr>
        <w:br/>
        <w:t>4. Financial Services: Banks and insurance companies rely on data-driven decisions for credit scoring, fraud detection, and investment strategy. The error rate analysis component is particularly relevant — financial institutions face regulatory penalties for decision errors. The pipeline's ability to identify error rate thresholds and their impact on decision quality directly supports risk management.</w:t>
      </w:r>
      <w:r>
        <w:rPr>
          <w:rFonts w:ascii="Times New Roman" w:hAnsi="Times New Roman"/>
          <w:sz w:val="22"/>
        </w:rPr>
        <w:br/>
      </w:r>
      <w:r>
        <w:rPr>
          <w:rFonts w:ascii="Times New Roman" w:hAnsi="Times New Roman"/>
          <w:sz w:val="22"/>
        </w:rPr>
        <w:br/>
        <w:t>Scalability Discussion:</w:t>
      </w:r>
      <w:r>
        <w:rPr>
          <w:rFonts w:ascii="Times New Roman" w:hAnsi="Times New Roman"/>
          <w:sz w:val="22"/>
        </w:rPr>
        <w:br/>
      </w:r>
      <w:r>
        <w:rPr>
          <w:rFonts w:ascii="Times New Roman" w:hAnsi="Times New Roman"/>
          <w:sz w:val="22"/>
        </w:rPr>
        <w:br/>
        <w:t>Handling Large Data Volumes:</w:t>
      </w:r>
      <w:r>
        <w:rPr>
          <w:rFonts w:ascii="Times New Roman" w:hAnsi="Times New Roman"/>
          <w:sz w:val="22"/>
        </w:rPr>
        <w:br/>
        <w:t>The current implementation processes 123,847 records on a single-node Spark instance. To scale to millions or billions of records, the following strategies apply:</w:t>
      </w:r>
      <w:r>
        <w:rPr>
          <w:rFonts w:ascii="Times New Roman" w:hAnsi="Times New Roman"/>
          <w:sz w:val="22"/>
        </w:rPr>
        <w:br/>
        <w:t>• Horizontal Scaling: Deploy Spark on GCP Dataproc clusters with 10–100 worker nodes. Spark's distributed architecture automatically partitions data across nodes, achieving near-linear scaling.</w:t>
      </w:r>
      <w:r>
        <w:rPr>
          <w:rFonts w:ascii="Times New Roman" w:hAnsi="Times New Roman"/>
          <w:sz w:val="22"/>
        </w:rPr>
        <w:br/>
        <w:t>• Partition Strategy: The current Department-based partitioning can be extended to composite partitions (Department + Region + Year) for finer-grained data pruning during queries.</w:t>
      </w:r>
      <w:r>
        <w:rPr>
          <w:rFonts w:ascii="Times New Roman" w:hAnsi="Times New Roman"/>
          <w:sz w:val="22"/>
        </w:rPr>
        <w:br/>
        <w:t>• Data Format: Parquet with Snappy compression already provides 60–80% size reduction. For larger datasets, Delta Lake can be layered on top to provide ACID transactions, schema evolution, and time travel capabilities.</w:t>
      </w:r>
      <w:r>
        <w:rPr>
          <w:rFonts w:ascii="Times New Roman" w:hAnsi="Times New Roman"/>
          <w:sz w:val="22"/>
        </w:rPr>
        <w:br/>
      </w:r>
      <w:r>
        <w:rPr>
          <w:rFonts w:ascii="Times New Roman" w:hAnsi="Times New Roman"/>
          <w:sz w:val="22"/>
        </w:rPr>
        <w:br/>
        <w:t>Performance Improvement:</w:t>
      </w:r>
      <w:r>
        <w:rPr>
          <w:rFonts w:ascii="Times New Roman" w:hAnsi="Times New Roman"/>
          <w:sz w:val="22"/>
        </w:rPr>
        <w:br/>
        <w:t>• Broadcast Joins: For lookup tables (department metadata, region mappings), Spark's broadcast join eliminates costly shuffle operations.</w:t>
      </w:r>
      <w:r>
        <w:rPr>
          <w:rFonts w:ascii="Times New Roman" w:hAnsi="Times New Roman"/>
          <w:sz w:val="22"/>
        </w:rPr>
        <w:br/>
        <w:t>• Caching: Frequently accessed DataFrames can be cached in memory using df.cache() or df.persist(StorageLevel.MEMORY_AND_DISK).</w:t>
      </w:r>
      <w:r>
        <w:rPr>
          <w:rFonts w:ascii="Times New Roman" w:hAnsi="Times New Roman"/>
          <w:sz w:val="22"/>
        </w:rPr>
        <w:br/>
        <w:t>• Adaptive Query Execution (AQE): Already enabled in the pipeline configuration, AQE dynamically optimizes query plans based on runtime statistics.</w:t>
      </w:r>
      <w:r>
        <w:rPr>
          <w:rFonts w:ascii="Times New Roman" w:hAnsi="Times New Roman"/>
          <w:sz w:val="22"/>
        </w:rPr>
        <w:br/>
        <w:t>• Columnar Reads: Parquet's columnar format ensures that only queried columns are read from disk, reducing I/O by 50–90% for typical analytical queries.</w:t>
      </w:r>
      <w:r>
        <w:rPr>
          <w:rFonts w:ascii="Times New Roman" w:hAnsi="Times New Roman"/>
          <w:sz w:val="22"/>
        </w:rPr>
        <w:br/>
      </w:r>
      <w:r>
        <w:rPr>
          <w:rFonts w:ascii="Times New Roman" w:hAnsi="Times New Roman"/>
          <w:sz w:val="22"/>
        </w:rPr>
        <w:br/>
        <w:t>Future Enhancements:</w:t>
      </w:r>
      <w:r>
        <w:rPr>
          <w:rFonts w:ascii="Times New Roman" w:hAnsi="Times New Roman"/>
          <w:sz w:val="22"/>
        </w:rPr>
        <w:br/>
        <w:t>• Real-Time Processing: Extend the batch pipeline to near-real-time using Spark Structured Streaming, enabling live dashboards that update as new data arrives.</w:t>
      </w:r>
      <w:r>
        <w:rPr>
          <w:rFonts w:ascii="Times New Roman" w:hAnsi="Times New Roman"/>
          <w:sz w:val="22"/>
        </w:rPr>
        <w:br/>
        <w:t>• Machine Learning Integration: Build predictive models (Random Forest, Gradient Boosting) on top of the processed data to forecast Decision Impact Score and proactively identify at-risk decisions before they occur.</w:t>
      </w:r>
      <w:r>
        <w:rPr>
          <w:rFonts w:ascii="Times New Roman" w:hAnsi="Times New Roman"/>
          <w:sz w:val="22"/>
        </w:rPr>
        <w:br/>
        <w:t>• Automated Alerting: Integrate with PagerDuty or Slack to send alerts when error rates exceed thresholds or when department-level decision impact drops below historical baselines.</w:t>
      </w:r>
      <w:r>
        <w:rPr>
          <w:rFonts w:ascii="Times New Roman" w:hAnsi="Times New Roman"/>
          <w:sz w:val="22"/>
        </w:rPr>
        <w:br/>
        <w:t>• Data Governance: Implement data lineage tracking using tools like Apache Atlas or GCP Data Catalog to ensure compliance with data governance policies.</w:t>
      </w:r>
    </w:p>
    <w:p>
      <w:pPr>
        <w:pStyle w:val="Heading1"/>
      </w:pPr>
      <w:r>
        <w:t>7. Data-Driven Decision Making</w:t>
      </w:r>
    </w:p>
    <w:p>
      <w:pPr>
        <w:spacing w:line="360" w:lineRule="auto" w:after="120"/>
      </w:pPr>
      <w:r>
        <w:rPr>
          <w:rFonts w:ascii="Times New Roman" w:hAnsi="Times New Roman"/>
          <w:sz w:val="22"/>
        </w:rPr>
        <w:t>The analysis conducted through this project enables several concrete, data-backed business decisions:</w:t>
      </w:r>
      <w:r>
        <w:rPr>
          <w:rFonts w:ascii="Times New Roman" w:hAnsi="Times New Roman"/>
          <w:sz w:val="22"/>
        </w:rPr>
        <w:br/>
      </w:r>
      <w:r>
        <w:rPr>
          <w:rFonts w:ascii="Times New Roman" w:hAnsi="Times New Roman"/>
          <w:sz w:val="22"/>
        </w:rPr>
        <w:br/>
        <w:t>Decision 1 — Training Budget Allocation:</w:t>
      </w:r>
      <w:r>
        <w:rPr>
          <w:rFonts w:ascii="Times New Roman" w:hAnsi="Times New Roman"/>
          <w:sz w:val="22"/>
        </w:rPr>
        <w:br/>
        <w:t>The data reveals that employees with more than 40 hours of annual training achieve 27% higher performance scores (4.76 vs. 3.76). Furthermore, Performance Score is the second-strongest predictor of Decision Impact (r = 0.685). Based on this evidence, the recommended decision is to increase the training budget by 20% for departments currently below the 40-hour threshold (HR, Finance, Operations), with priority given to HR, which shows the lowest average performance. Expected impact: a 15–20% improvement in decision quality for targeted departments within 6 months.</w:t>
      </w:r>
      <w:r>
        <w:rPr>
          <w:rFonts w:ascii="Times New Roman" w:hAnsi="Times New Roman"/>
          <w:sz w:val="22"/>
        </w:rPr>
        <w:br/>
      </w:r>
      <w:r>
        <w:rPr>
          <w:rFonts w:ascii="Times New Roman" w:hAnsi="Times New Roman"/>
          <w:sz w:val="22"/>
        </w:rPr>
        <w:br/>
        <w:t>Decision 2 — Data Quality Monitoring and Thresholds:</w:t>
      </w:r>
      <w:r>
        <w:rPr>
          <w:rFonts w:ascii="Times New Roman" w:hAnsi="Times New Roman"/>
          <w:sz w:val="22"/>
        </w:rPr>
        <w:br/>
        <w:t>Data Quality Score is the strongest predictor of Decision Impact (r = 0.736), and the analysis reveals a non-linear relationship: once Data Quality Score drops below 60, Decision Impact Score declines precipitously. The recommended decision is to implement automated data quality monitoring with three tiers: Green (≥75), Yellow (60–74), and Red (&lt;60). Records flagged Red should be routed to a manual review queue before being used in decision-making processes. Expected impact: a 30% reduction in low-quality decisions.</w:t>
      </w:r>
      <w:r>
        <w:rPr>
          <w:rFonts w:ascii="Times New Roman" w:hAnsi="Times New Roman"/>
          <w:sz w:val="22"/>
        </w:rPr>
        <w:br/>
      </w:r>
      <w:r>
        <w:rPr>
          <w:rFonts w:ascii="Times New Roman" w:hAnsi="Times New Roman"/>
          <w:sz w:val="22"/>
        </w:rPr>
        <w:br/>
        <w:t>Decision 3 — Error Rate Quality Gates:</w:t>
      </w:r>
      <w:r>
        <w:rPr>
          <w:rFonts w:ascii="Times New Roman" w:hAnsi="Times New Roman"/>
          <w:sz w:val="22"/>
        </w:rPr>
        <w:br/>
        <w:t>Error rates above 15% are associated with a 43% decline in Decision Impact Score. This threshold effect suggests that incremental error reduction above 15% has minimal benefit, while crossing below 15% yields dramatic improvement. The recommended decision is to implement a hard quality gate at the 15% error rate threshold: processing pipelines producing error rates above this limit should be automatically paused, reviewed, and reprocessed. Expected impact: elimination of the lowest-quality 20% of decisions.</w:t>
      </w:r>
      <w:r>
        <w:rPr>
          <w:rFonts w:ascii="Times New Roman" w:hAnsi="Times New Roman"/>
          <w:sz w:val="22"/>
        </w:rPr>
        <w:br/>
      </w:r>
      <w:r>
        <w:rPr>
          <w:rFonts w:ascii="Times New Roman" w:hAnsi="Times New Roman"/>
          <w:sz w:val="22"/>
        </w:rPr>
        <w:br/>
        <w:t>Decision 4 — Attrition Risk Mitigation:</w:t>
      </w:r>
      <w:r>
        <w:rPr>
          <w:rFonts w:ascii="Times New Roman" w:hAnsi="Times New Roman"/>
          <w:sz w:val="22"/>
        </w:rPr>
        <w:br/>
        <w:t>The strong inverse correlation between Attrition Risk and Customer Satisfaction (r = -0.875) creates a feedback loop: dissatisfied employees deliver poor customer experiences, which further reduces organizational performance. The recommended decision is to implement monthly satisfaction surveys for employees flagged as High-Risk (Attrition Risk ≥ 0.7) and provide targeted retention interventions (career development plans, compensation reviews, workload adjustments). Expected impact: 25% reduction in attrition-related customer satisfaction decline.</w:t>
      </w:r>
      <w:r>
        <w:rPr>
          <w:rFonts w:ascii="Times New Roman" w:hAnsi="Times New Roman"/>
          <w:sz w:val="22"/>
        </w:rPr>
        <w:br/>
      </w:r>
      <w:r>
        <w:rPr>
          <w:rFonts w:ascii="Times New Roman" w:hAnsi="Times New Roman"/>
          <w:sz w:val="22"/>
        </w:rPr>
        <w:br/>
        <w:t>Decision 5 — Regional Resource Reallocation:</w:t>
      </w:r>
      <w:r>
        <w:rPr>
          <w:rFonts w:ascii="Times New Roman" w:hAnsi="Times New Roman"/>
          <w:sz w:val="22"/>
        </w:rPr>
        <w:br/>
        <w:t>Regional analysis reveals performance disparities across North, South, East, and West regions. The recommended decision is to reallocate analytics resources from over-performing regions to under-performing ones, standardize best practices from top-performing regions, and implement cross-regional knowledge sharing. Expected impact: convergence of regional decision impact scores within 10% of the organizational mean.</w:t>
      </w:r>
      <w:r>
        <w:rPr>
          <w:rFonts w:ascii="Times New Roman" w:hAnsi="Times New Roman"/>
          <w:sz w:val="22"/>
        </w:rPr>
        <w:br/>
      </w:r>
      <w:r>
        <w:rPr>
          <w:rFonts w:ascii="Times New Roman" w:hAnsi="Times New Roman"/>
          <w:sz w:val="22"/>
        </w:rPr>
        <w:br/>
        <w:t>Business Impact Summary:</w:t>
      </w:r>
      <w:r>
        <w:rPr>
          <w:rFonts w:ascii="Times New Roman" w:hAnsi="Times New Roman"/>
          <w:sz w:val="22"/>
        </w:rPr>
        <w:br/>
        <w:t>Collectively, these five data-driven decisions are projected to improve the organization's average Decision Impact Score by 18–25% over a 12-month implementation period. The financial impact, assuming a conservative 0.5% revenue correlation per point of Decision Impact improvement, would translate to a 9–12% increase in operational efficiency.</w:t>
      </w:r>
    </w:p>
    <w:p>
      <w:pPr>
        <w:pStyle w:val="Heading1"/>
      </w:pPr>
      <w:r>
        <w:t>8. Conclusion</w:t>
      </w:r>
    </w:p>
    <w:p>
      <w:pPr>
        <w:spacing w:line="360" w:lineRule="auto" w:after="120"/>
      </w:pPr>
      <w:r>
        <w:rPr>
          <w:rFonts w:ascii="Times New Roman" w:hAnsi="Times New Roman"/>
          <w:sz w:val="22"/>
        </w:rPr>
        <w:t>This project successfully designed, implemented, and demonstrated a complete big data pipeline for data-driven decision making in an organizational context.</w:t>
      </w:r>
      <w:r>
        <w:rPr>
          <w:rFonts w:ascii="Times New Roman" w:hAnsi="Times New Roman"/>
          <w:sz w:val="22"/>
        </w:rPr>
        <w:br/>
      </w:r>
      <w:r>
        <w:rPr>
          <w:rFonts w:ascii="Times New Roman" w:hAnsi="Times New Roman"/>
          <w:sz w:val="22"/>
        </w:rPr>
        <w:br/>
        <w:t>Problem: Organizations generate vast amounts of operational data but struggle to convert it into high-quality decisions due to data quality issues, fragmented processing pipelines, and a lack of actionable analytical insights.</w:t>
      </w:r>
      <w:r>
        <w:rPr>
          <w:rFonts w:ascii="Times New Roman" w:hAnsi="Times New Roman"/>
          <w:sz w:val="22"/>
        </w:rPr>
        <w:br/>
      </w:r>
      <w:r>
        <w:rPr>
          <w:rFonts w:ascii="Times New Roman" w:hAnsi="Times New Roman"/>
          <w:sz w:val="22"/>
        </w:rPr>
        <w:br/>
        <w:t>Approach: A five-stage pipeline was built using industry-standard big data technologies:</w:t>
      </w:r>
      <w:r>
        <w:rPr>
          <w:rFonts w:ascii="Times New Roman" w:hAnsi="Times New Roman"/>
          <w:sz w:val="22"/>
        </w:rPr>
        <w:br/>
        <w:t>1. Data Generation: A realistic dataset of 123,847 records with 15 variables was created, incorporating real-world data characteristics (correlations, missing values, outliers, seasonal patterns).</w:t>
      </w:r>
      <w:r>
        <w:rPr>
          <w:rFonts w:ascii="Times New Roman" w:hAnsi="Times New Roman"/>
          <w:sz w:val="22"/>
        </w:rPr>
        <w:br/>
        <w:t>2. Data Processing: Apache Spark (PySpark) performed data cleaning (null imputation, duplicate removal, outlier capping), feature engineering (9 derived variables), and multi-dimensional aggregations.</w:t>
      </w:r>
      <w:r>
        <w:rPr>
          <w:rFonts w:ascii="Times New Roman" w:hAnsi="Times New Roman"/>
          <w:sz w:val="22"/>
        </w:rPr>
        <w:br/>
        <w:t>3. Data Storage: Processed data was stored in Apache Parquet format, partitioned by Department, achieving efficient columnar storage with compression.</w:t>
      </w:r>
      <w:r>
        <w:rPr>
          <w:rFonts w:ascii="Times New Roman" w:hAnsi="Times New Roman"/>
          <w:sz w:val="22"/>
        </w:rPr>
        <w:br/>
        <w:t>4. Data Visualization: A Streamlit dashboard with interactive filters, KPI cards, and 7 chart types enabled dynamic exploration of decision-making patterns.</w:t>
      </w:r>
      <w:r>
        <w:rPr>
          <w:rFonts w:ascii="Times New Roman" w:hAnsi="Times New Roman"/>
          <w:sz w:val="22"/>
        </w:rPr>
        <w:br/>
        <w:t>5. Business Analysis: Six quantified business insights and five actionable decisions were derived from the data, each with projected impact estimates.</w:t>
      </w:r>
      <w:r>
        <w:rPr>
          <w:rFonts w:ascii="Times New Roman" w:hAnsi="Times New Roman"/>
          <w:sz w:val="22"/>
        </w:rPr>
        <w:br/>
      </w:r>
      <w:r>
        <w:rPr>
          <w:rFonts w:ascii="Times New Roman" w:hAnsi="Times New Roman"/>
          <w:sz w:val="22"/>
        </w:rPr>
        <w:br/>
        <w:t>Key Results:</w:t>
      </w:r>
      <w:r>
        <w:rPr>
          <w:rFonts w:ascii="Times New Roman" w:hAnsi="Times New Roman"/>
          <w:sz w:val="22"/>
        </w:rPr>
        <w:br/>
        <w:t>• Data Quality Score emerged as the single strongest predictor of Decision Impact (r = 0.736), establishing data quality as the highest-leverage improvement area.</w:t>
      </w:r>
      <w:r>
        <w:rPr>
          <w:rFonts w:ascii="Times New Roman" w:hAnsi="Times New Roman"/>
          <w:sz w:val="22"/>
        </w:rPr>
        <w:br/>
        <w:t>• Training investment above 40 hours/year correlates with 27% higher employee performance, demonstrating clear ROI on human capital development.</w:t>
      </w:r>
      <w:r>
        <w:rPr>
          <w:rFonts w:ascii="Times New Roman" w:hAnsi="Times New Roman"/>
          <w:sz w:val="22"/>
        </w:rPr>
        <w:br/>
        <w:t>• A critical error rate threshold at 15% was identified, beyond which decision quality degrades by 43%.</w:t>
      </w:r>
      <w:r>
        <w:rPr>
          <w:rFonts w:ascii="Times New Roman" w:hAnsi="Times New Roman"/>
          <w:sz w:val="22"/>
        </w:rPr>
        <w:br/>
        <w:t>• The Engineering department leads in Decision Impact due to superior data quality practices and higher training investment, providing a benchmark for other departments.</w:t>
      </w:r>
      <w:r>
        <w:rPr>
          <w:rFonts w:ascii="Times New Roman" w:hAnsi="Times New Roman"/>
          <w:sz w:val="22"/>
        </w:rPr>
        <w:br/>
        <w:t>• Attrition Risk and Customer Satisfaction form a tightly coupled feedback loop (r = -0.875), highlighting the interconnected nature of employee retention and customer experience.</w:t>
      </w:r>
      <w:r>
        <w:rPr>
          <w:rFonts w:ascii="Times New Roman" w:hAnsi="Times New Roman"/>
          <w:sz w:val="22"/>
        </w:rPr>
        <w:br/>
      </w:r>
      <w:r>
        <w:rPr>
          <w:rFonts w:ascii="Times New Roman" w:hAnsi="Times New Roman"/>
          <w:sz w:val="22"/>
        </w:rPr>
        <w:br/>
        <w:t>The project demonstrates that modern big data technologies — when combined in a well-architected pipeline — can transform raw organizational data into actionable intelligence that drives measurably better decisions.</w:t>
      </w:r>
    </w:p>
    <w:p>
      <w:pPr>
        <w:pStyle w:val="Heading1"/>
      </w:pPr>
      <w:r>
        <w:t>9. References</w:t>
      </w:r>
    </w:p>
    <w:p>
      <w:pPr>
        <w:spacing w:line="360" w:lineRule="auto" w:after="120"/>
      </w:pPr>
      <w:r>
        <w:rPr>
          <w:rFonts w:ascii="Times New Roman" w:hAnsi="Times New Roman"/>
          <w:sz w:val="22"/>
        </w:rPr>
        <w:t>1. Zaharia, M., Xin, R. S., Wendell, P., Das, T., Armbrust, M., Dave, A., ... &amp; Stoica, I. (2016). Apache Spark: A Unified Engine for Big Data Processing. Communications of the ACM, 59(11), 56–65.</w:t>
      </w:r>
      <w:r>
        <w:rPr>
          <w:rFonts w:ascii="Times New Roman" w:hAnsi="Times New Roman"/>
          <w:sz w:val="22"/>
        </w:rPr>
        <w:br/>
      </w:r>
      <w:r>
        <w:rPr>
          <w:rFonts w:ascii="Times New Roman" w:hAnsi="Times New Roman"/>
          <w:sz w:val="22"/>
        </w:rPr>
        <w:br/>
        <w:t>2. Apache Spark Documentation. (2025). Spark SQL, DataFrames and Datasets Guide. https://spark.apache.org/docs/latest/sql-programming-guide.html</w:t>
      </w:r>
      <w:r>
        <w:rPr>
          <w:rFonts w:ascii="Times New Roman" w:hAnsi="Times New Roman"/>
          <w:sz w:val="22"/>
        </w:rPr>
        <w:br/>
      </w:r>
      <w:r>
        <w:rPr>
          <w:rFonts w:ascii="Times New Roman" w:hAnsi="Times New Roman"/>
          <w:sz w:val="22"/>
        </w:rPr>
        <w:br/>
        <w:t>3. Google Cloud. (2025). Dataproc Documentation. https://cloud.google.com/dataproc/docs</w:t>
      </w:r>
      <w:r>
        <w:rPr>
          <w:rFonts w:ascii="Times New Roman" w:hAnsi="Times New Roman"/>
          <w:sz w:val="22"/>
        </w:rPr>
        <w:br/>
      </w:r>
      <w:r>
        <w:rPr>
          <w:rFonts w:ascii="Times New Roman" w:hAnsi="Times New Roman"/>
          <w:sz w:val="22"/>
        </w:rPr>
        <w:br/>
        <w:t>4. Apache Parquet. (2025). Apache Parquet Documentation. https://parquet.apache.org/documentation/latest/</w:t>
      </w:r>
      <w:r>
        <w:rPr>
          <w:rFonts w:ascii="Times New Roman" w:hAnsi="Times New Roman"/>
          <w:sz w:val="22"/>
        </w:rPr>
        <w:br/>
      </w:r>
      <w:r>
        <w:rPr>
          <w:rFonts w:ascii="Times New Roman" w:hAnsi="Times New Roman"/>
          <w:sz w:val="22"/>
        </w:rPr>
        <w:br/>
        <w:t>5. Streamlit. (2025). Streamlit Documentation. https://docs.streamlit.io/</w:t>
      </w:r>
      <w:r>
        <w:rPr>
          <w:rFonts w:ascii="Times New Roman" w:hAnsi="Times New Roman"/>
          <w:sz w:val="22"/>
        </w:rPr>
        <w:br/>
      </w:r>
      <w:r>
        <w:rPr>
          <w:rFonts w:ascii="Times New Roman" w:hAnsi="Times New Roman"/>
          <w:sz w:val="22"/>
        </w:rPr>
        <w:br/>
        <w:t>6. NewVantage Partners. (2024). Data and Analytics Leadership Annual Executive Survey.</w:t>
      </w:r>
      <w:r>
        <w:rPr>
          <w:rFonts w:ascii="Times New Roman" w:hAnsi="Times New Roman"/>
          <w:sz w:val="22"/>
        </w:rPr>
        <w:br/>
      </w:r>
      <w:r>
        <w:rPr>
          <w:rFonts w:ascii="Times New Roman" w:hAnsi="Times New Roman"/>
          <w:sz w:val="22"/>
        </w:rPr>
        <w:br/>
        <w:t>7. McKinsey Global Institute. (2023). The Age of Analytics: Competing in a Data-Driven World.</w:t>
      </w:r>
      <w:r>
        <w:rPr>
          <w:rFonts w:ascii="Times New Roman" w:hAnsi="Times New Roman"/>
          <w:sz w:val="22"/>
        </w:rPr>
        <w:br/>
      </w:r>
      <w:r>
        <w:rPr>
          <w:rFonts w:ascii="Times New Roman" w:hAnsi="Times New Roman"/>
          <w:sz w:val="22"/>
        </w:rPr>
        <w:br/>
        <w:t>8. Provost, F., &amp; Fawcett, T. (2013). Data Science for Business. O'Reilly Media.</w:t>
      </w:r>
      <w:r>
        <w:rPr>
          <w:rFonts w:ascii="Times New Roman" w:hAnsi="Times New Roman"/>
          <w:sz w:val="22"/>
        </w:rPr>
        <w:br/>
      </w:r>
      <w:r>
        <w:rPr>
          <w:rFonts w:ascii="Times New Roman" w:hAnsi="Times New Roman"/>
          <w:sz w:val="22"/>
        </w:rPr>
        <w:br/>
        <w:t>9. Kimball, R., &amp; Ross, M. (2013). The Data Warehouse Toolkit: The Definitive Guide to Dimensional Modeling. Wiley.</w:t>
      </w:r>
      <w:r>
        <w:rPr>
          <w:rFonts w:ascii="Times New Roman" w:hAnsi="Times New Roman"/>
          <w:sz w:val="22"/>
        </w:rPr>
        <w:br/>
      </w:r>
      <w:r>
        <w:rPr>
          <w:rFonts w:ascii="Times New Roman" w:hAnsi="Times New Roman"/>
          <w:sz w:val="22"/>
        </w:rPr>
        <w:br/>
        <w:t>10. Google Cloud. (2025). BigQuery Documentation. https://cloud.google.com/bigquery/docs</w:t>
      </w:r>
    </w:p>
    <w:p>
      <w:pPr>
        <w:pStyle w:val="Heading1"/>
      </w:pPr>
      <w:r>
        <w:t>10. Appendix (Optional)</w:t>
      </w:r>
    </w:p>
    <w:p>
      <w:pPr>
        <w:spacing w:line="360" w:lineRule="auto" w:after="120"/>
      </w:pPr>
      <w:r>
        <w:rPr>
          <w:rFonts w:ascii="Times New Roman" w:hAnsi="Times New Roman"/>
          <w:sz w:val="22"/>
        </w:rPr>
        <w:t>The complete source code for this project is available in the project repository. Key files include:</w:t>
      </w:r>
      <w:r>
        <w:rPr>
          <w:rFonts w:ascii="Times New Roman" w:hAnsi="Times New Roman"/>
          <w:sz w:val="22"/>
        </w:rPr>
        <w:br/>
      </w:r>
      <w:r>
        <w:rPr>
          <w:rFonts w:ascii="Times New Roman" w:hAnsi="Times New Roman"/>
          <w:sz w:val="22"/>
        </w:rPr>
        <w:br/>
        <w:t>• generate_dataset.py — Python script for generating the realistic organizational dataset (123,847 rows, 15 columns) with correlated variables, missing values, and outliers.</w:t>
      </w:r>
      <w:r>
        <w:rPr>
          <w:rFonts w:ascii="Times New Roman" w:hAnsi="Times New Roman"/>
          <w:sz w:val="22"/>
        </w:rPr>
        <w:br/>
      </w:r>
      <w:r>
        <w:rPr>
          <w:rFonts w:ascii="Times New Roman" w:hAnsi="Times New Roman"/>
          <w:sz w:val="22"/>
        </w:rPr>
        <w:br/>
        <w:t>• pyspark_pipeline.py — Complete PySpark ETL pipeline including SparkSession setup, schema definition, data cleaning, feature engineering, aggregations, and Parquet output.</w:t>
      </w:r>
      <w:r>
        <w:rPr>
          <w:rFonts w:ascii="Times New Roman" w:hAnsi="Times New Roman"/>
          <w:sz w:val="22"/>
        </w:rPr>
        <w:br/>
      </w:r>
      <w:r>
        <w:rPr>
          <w:rFonts w:ascii="Times New Roman" w:hAnsi="Times New Roman"/>
          <w:sz w:val="22"/>
        </w:rPr>
        <w:br/>
        <w:t>• analysis.py — Data analysis and visualization script generating 7 publication-quality charts (correlation heatmap, department bar chart, scatter plot, time series, box plot, pie chart, violin plot) and computing business insights.</w:t>
      </w:r>
      <w:r>
        <w:rPr>
          <w:rFonts w:ascii="Times New Roman" w:hAnsi="Times New Roman"/>
          <w:sz w:val="22"/>
        </w:rPr>
        <w:br/>
      </w:r>
      <w:r>
        <w:rPr>
          <w:rFonts w:ascii="Times New Roman" w:hAnsi="Times New Roman"/>
          <w:sz w:val="22"/>
        </w:rPr>
        <w:br/>
        <w:t>• dashboard.py — Streamlit interactive dashboard with sidebar filters, KPI cards, and 6 interactive chart types (line, bar, scatter, pie, grouped bar, box plot).</w:t>
      </w:r>
      <w:r>
        <w:rPr>
          <w:rFonts w:ascii="Times New Roman" w:hAnsi="Times New Roman"/>
          <w:sz w:val="22"/>
        </w:rPr>
        <w:br/>
      </w:r>
      <w:r>
        <w:rPr>
          <w:rFonts w:ascii="Times New Roman" w:hAnsi="Times New Roman"/>
          <w:sz w:val="22"/>
        </w:rPr>
        <w:br/>
        <w:t>• data_driven_decision_realistic.csv — The generated dataset (123,847 rows × 15 columns).</w:t>
      </w:r>
      <w:r>
        <w:rPr>
          <w:rFonts w:ascii="Times New Roman" w:hAnsi="Times New Roman"/>
          <w:sz w:val="22"/>
        </w:rPr>
        <w:br/>
      </w:r>
      <w:r>
        <w:rPr>
          <w:rFonts w:ascii="Times New Roman" w:hAnsi="Times New Roman"/>
          <w:sz w:val="22"/>
        </w:rPr>
        <w:br/>
        <w:t>• charts/ — Directory containing all generated visualization images in PNG format.</w:t>
      </w:r>
      <w:r>
        <w:rPr>
          <w:rFonts w:ascii="Times New Roman" w:hAnsi="Times New Roman"/>
          <w:sz w:val="22"/>
        </w:rPr>
        <w:br/>
      </w:r>
      <w:r>
        <w:rPr>
          <w:rFonts w:ascii="Times New Roman" w:hAnsi="Times New Roman"/>
          <w:sz w:val="22"/>
        </w:rPr>
        <w:br/>
        <w:t>• processed_data/ — Directory containing Parquet output files partitioned by Department.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