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keepLines/>
      </w:pPr>
      <w:r>
        <w:t>Two-System Investment Research Architecture</w:t>
      </w:r>
    </w:p>
    <w:p>
      <w:pPr>
        <w:pStyle w:val="Subtitle"/>
        <w:keepLines/>
      </w:pPr>
      <w:r>
        <w:t>Fast customer-facing search + daily validated intelligence batch</w:t>
      </w:r>
    </w:p>
    <w:tbl>
      <w:tblPr>
        <w:tblW w:type="auto" w:w="0"/>
        <w:jc w:val="center"/>
        <w:tblLayout w:type="fixed"/>
        <w:tblLook w:firstColumn="1" w:firstRow="1" w:lastColumn="0" w:lastRow="0" w:noHBand="0" w:noVBand="1" w:val="04A0"/>
      </w:tblPr>
      <w:tblGrid>
        <w:gridCol w:w="9792"/>
      </w:tblGrid>
      <w:tr>
        <w:tc>
          <w:tcPr>
            <w:tcW w:type="dxa" w:w="10166"/>
            <w:shd w:fill="FFF1E8"/>
            <w:tcBorders>
              <w:top w:val="single" w:sz="4" w:color="FFF1E8"/>
              <w:left w:val="single" w:sz="18" w:color="E7792B"/>
              <w:bottom w:val="single" w:sz="4" w:color="FFF1E8"/>
              <w:right w:val="single" w:sz="4" w:color="FFF1E8"/>
            </w:tcBorders>
            <w:tcMar>
              <w:top w:w="120" w:type="dxa"/>
              <w:start w:w="160" w:type="dxa"/>
              <w:bottom w:w="120" w:type="dxa"/>
              <w:end w:w="160" w:type="dxa"/>
            </w:tcMar>
          </w:tcPr>
          <w:p>
            <w:pPr>
              <w:pStyle w:val="Callout"/>
            </w:pPr>
            <w:r>
              <w:t>The batch system creates depth. The interactive system creates speed and freshness.</w:t>
            </w:r>
          </w:p>
        </w:tc>
      </w:tr>
    </w:tbl>
    <w:tbl>
      <w:tblPr>
        <w:tblW w:type="auto" w:w="0"/>
        <w:jc w:val="left"/>
        <w:tblLayout w:type="fixed"/>
        <w:tblLook w:firstColumn="1" w:firstRow="1" w:lastColumn="0" w:lastRow="0" w:noHBand="0" w:noVBand="1" w:val="04A0"/>
      </w:tblPr>
      <w:tblGrid>
        <w:gridCol w:w="2376"/>
        <w:gridCol w:w="7056"/>
      </w:tblGrid>
      <w:tr>
        <w:tc>
          <w:tcPr>
            <w:tcW w:type="dxa" w:w="5083"/>
            <w:shd w:fill="EAF1FB"/>
            <w:tcMar>
              <w:top w:w="80" w:type="dxa"/>
              <w:start w:w="100" w:type="dxa"/>
              <w:bottom w:w="80" w:type="dxa"/>
              <w:end w:w="100" w:type="dxa"/>
            </w:tcMar>
            <w:tcBorders>
              <w:top w:val="single" w:sz="3" w:color="D0D5DD"/>
              <w:left w:val="single" w:sz="3" w:color="D0D5DD"/>
              <w:bottom w:val="single" w:sz="3" w:color="D0D5DD"/>
              <w:right w:val="single" w:sz="3" w:color="D0D5DD"/>
            </w:tcBorders>
          </w:tcPr>
          <w:p>
            <w:r>
              <w:rPr>
                <w:b/>
                <w:color w:val="1F2A44"/>
                <w:sz w:val="17"/>
              </w:rPr>
              <w:t>Status</w:t>
            </w:r>
          </w:p>
        </w:tc>
        <w:tc>
          <w:tcPr>
            <w:tcW w:type="dxa" w:w="5083"/>
            <w:tcMar>
              <w:top w:w="80" w:type="dxa"/>
              <w:start w:w="100" w:type="dxa"/>
              <w:bottom w:w="80" w:type="dxa"/>
              <w:end w:w="100" w:type="dxa"/>
            </w:tcMar>
            <w:tcBorders>
              <w:top w:val="single" w:sz="3" w:color="D0D5DD"/>
              <w:left w:val="single" w:sz="3" w:color="D0D5DD"/>
              <w:bottom w:val="single" w:sz="3" w:color="D0D5DD"/>
              <w:right w:val="single" w:sz="3" w:color="D0D5DD"/>
            </w:tcBorders>
          </w:tcPr>
          <w:p>
            <w:r>
              <w:rPr>
                <w:sz w:val="17"/>
              </w:rPr>
              <w:t>Recommended architecture</w:t>
            </w:r>
          </w:p>
        </w:tc>
      </w:tr>
      <w:tr>
        <w:tc>
          <w:tcPr>
            <w:tcW w:type="dxa" w:w="5083"/>
            <w:shd w:fill="EAF1FB"/>
            <w:tcMar>
              <w:top w:w="80" w:type="dxa"/>
              <w:start w:w="100" w:type="dxa"/>
              <w:bottom w:w="80" w:type="dxa"/>
              <w:end w:w="100" w:type="dxa"/>
            </w:tcMar>
            <w:tcBorders>
              <w:top w:val="single" w:sz="3" w:color="D0D5DD"/>
              <w:left w:val="single" w:sz="3" w:color="D0D5DD"/>
              <w:bottom w:val="single" w:sz="3" w:color="D0D5DD"/>
              <w:right w:val="single" w:sz="3" w:color="D0D5DD"/>
            </w:tcBorders>
          </w:tcPr>
          <w:p>
            <w:r>
              <w:rPr>
                <w:b/>
                <w:color w:val="1F2A44"/>
                <w:sz w:val="17"/>
              </w:rPr>
              <w:t>Primary use case</w:t>
            </w:r>
          </w:p>
        </w:tc>
        <w:tc>
          <w:tcPr>
            <w:tcW w:type="dxa" w:w="5083"/>
            <w:tcMar>
              <w:top w:w="80" w:type="dxa"/>
              <w:start w:w="100" w:type="dxa"/>
              <w:bottom w:w="80" w:type="dxa"/>
              <w:end w:w="100" w:type="dxa"/>
            </w:tcMar>
            <w:tcBorders>
              <w:top w:val="single" w:sz="3" w:color="D0D5DD"/>
              <w:left w:val="single" w:sz="3" w:color="D0D5DD"/>
              <w:bottom w:val="single" w:sz="3" w:color="D0D5DD"/>
              <w:right w:val="single" w:sz="3" w:color="D0D5DD"/>
            </w:tcBorders>
          </w:tcPr>
          <w:p>
            <w:r>
              <w:rPr>
                <w:sz w:val="17"/>
              </w:rPr>
              <w:t>Investment research over approximately 25-100 companies</w:t>
            </w:r>
          </w:p>
        </w:tc>
      </w:tr>
      <w:tr>
        <w:tc>
          <w:tcPr>
            <w:tcW w:type="dxa" w:w="5083"/>
            <w:shd w:fill="EAF1FB"/>
            <w:tcMar>
              <w:top w:w="80" w:type="dxa"/>
              <w:start w:w="100" w:type="dxa"/>
              <w:bottom w:w="80" w:type="dxa"/>
              <w:end w:w="100" w:type="dxa"/>
            </w:tcMar>
            <w:tcBorders>
              <w:top w:val="single" w:sz="3" w:color="D0D5DD"/>
              <w:left w:val="single" w:sz="3" w:color="D0D5DD"/>
              <w:bottom w:val="single" w:sz="3" w:color="D0D5DD"/>
              <w:right w:val="single" w:sz="3" w:color="D0D5DD"/>
            </w:tcBorders>
          </w:tcPr>
          <w:p>
            <w:r>
              <w:rPr>
                <w:b/>
                <w:color w:val="1F2A44"/>
                <w:sz w:val="17"/>
              </w:rPr>
              <w:t>Customer goal</w:t>
            </w:r>
          </w:p>
        </w:tc>
        <w:tc>
          <w:tcPr>
            <w:tcW w:type="dxa" w:w="5083"/>
            <w:tcMar>
              <w:top w:w="80" w:type="dxa"/>
              <w:start w:w="100" w:type="dxa"/>
              <w:bottom w:w="80" w:type="dxa"/>
              <w:end w:w="100" w:type="dxa"/>
            </w:tcMar>
            <w:tcBorders>
              <w:top w:val="single" w:sz="3" w:color="D0D5DD"/>
              <w:left w:val="single" w:sz="3" w:color="D0D5DD"/>
              <w:bottom w:val="single" w:sz="3" w:color="D0D5DD"/>
              <w:right w:val="single" w:sz="3" w:color="D0D5DD"/>
            </w:tcBorders>
          </w:tcPr>
          <w:p>
            <w:r>
              <w:rPr>
                <w:sz w:val="17"/>
              </w:rPr>
              <w:t>Chat-style answers in seconds with transparent freshness</w:t>
            </w:r>
          </w:p>
        </w:tc>
      </w:tr>
      <w:tr>
        <w:tc>
          <w:tcPr>
            <w:tcW w:type="dxa" w:w="5083"/>
            <w:shd w:fill="EAF1FB"/>
            <w:tcMar>
              <w:top w:w="80" w:type="dxa"/>
              <w:start w:w="100" w:type="dxa"/>
              <w:bottom w:w="80" w:type="dxa"/>
              <w:end w:w="100" w:type="dxa"/>
            </w:tcMar>
            <w:tcBorders>
              <w:top w:val="single" w:sz="3" w:color="D0D5DD"/>
              <w:left w:val="single" w:sz="3" w:color="D0D5DD"/>
              <w:bottom w:val="single" w:sz="3" w:color="D0D5DD"/>
              <w:right w:val="single" w:sz="3" w:color="D0D5DD"/>
            </w:tcBorders>
          </w:tcPr>
          <w:p>
            <w:r>
              <w:rPr>
                <w:b/>
                <w:color w:val="1F2A44"/>
                <w:sz w:val="17"/>
              </w:rPr>
              <w:t>Batch goal</w:t>
            </w:r>
          </w:p>
        </w:tc>
        <w:tc>
          <w:tcPr>
            <w:tcW w:type="dxa" w:w="5083"/>
            <w:tcMar>
              <w:top w:w="80" w:type="dxa"/>
              <w:start w:w="100" w:type="dxa"/>
              <w:bottom w:w="80" w:type="dxa"/>
              <w:end w:w="100" w:type="dxa"/>
            </w:tcMar>
            <w:tcBorders>
              <w:top w:val="single" w:sz="3" w:color="D0D5DD"/>
              <w:left w:val="single" w:sz="3" w:color="D0D5DD"/>
              <w:bottom w:val="single" w:sz="3" w:color="D0D5DD"/>
              <w:right w:val="single" w:sz="3" w:color="D0D5DD"/>
            </w:tcBorders>
          </w:tcPr>
          <w:p>
            <w:r>
              <w:rPr>
                <w:sz w:val="17"/>
              </w:rPr>
              <w:t>Daily deep research, validation, ranking, and versioned publication</w:t>
            </w:r>
          </w:p>
        </w:tc>
      </w:tr>
    </w:tbl>
    <w:p>
      <w:pPr>
        <w:spacing w:before="360"/>
        <w:keepLines/>
      </w:pPr>
      <w:r>
        <w:rPr>
          <w:b/>
          <w:color w:val="667085"/>
          <w:sz w:val="18"/>
        </w:rPr>
        <w:t>Architecture narrative</w:t>
      </w:r>
    </w:p>
    <w:p>
      <w:pPr>
        <w:keepLines/>
      </w:pPr>
      <w:r>
        <w:rPr>
          <w:color w:val="667085"/>
          <w:sz w:val="18"/>
        </w:rPr>
        <w:t>Customer problem -&gt; design principles -&gt; interactive path -&gt; daily batch -&gt; shared data platform -&gt; failure and freshness behavior -&gt; operating targets</w:t>
      </w:r>
    </w:p>
    <w:p>
      <w:pPr>
        <w:keepLines/>
      </w:pPr>
      <w:r>
        <w:br w:type="page"/>
      </w:r>
    </w:p>
    <w:p>
      <w:pPr>
        <w:pStyle w:val="Heading1"/>
        <w:pBdr>
          <w:bottom w:val="single" w:sz="12" w:space="3" w:color="E7792B"/>
        </w:pBdr>
        <w:keepLines/>
      </w:pPr>
      <w:r>
        <w:t>1. Executive Recommendation</w:t>
      </w:r>
    </w:p>
    <w:p>
      <w:pPr>
        <w:keepLines/>
        <w:keepLines/>
      </w:pPr>
      <w:r>
        <w:t>The product should offer two separate experiences rather than force one workflow to satisfy conflicting requirements.</w:t>
      </w:r>
    </w:p>
    <w:p>
      <w:pPr>
        <w:keepLines/>
        <w:keepLines/>
      </w:pPr>
      <w:r>
        <w:t>The customer-facing system must optimize for low latency, current information, concise answers, and fast follow-up questions. The daily batch system should optimize for research depth, coverage, consistency, citation validation, and cost efficiency.</w:t>
      </w:r>
    </w:p>
    <w:p>
      <w:pPr>
        <w:keepLines/>
        <w:keepLines/>
      </w:pPr>
      <w:r>
        <w:t>Both systems share a common company-intelligence store. The daily batch produces the validated research foundation. The customer-facing system reads that foundation, refreshes only the volatile information required for the current question, and generates a fast answer.</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 xml:space="preserve">                 DAILY INTELLIGENCE BATCH</w:t>
              <w:br/>
              <w:t xml:space="preserve">              Deep research across companies</w:t>
              <w:br/>
              <w:t xml:space="preserve">                         |</w:t>
              <w:br/>
              <w:t xml:space="preserve">                         v</w:t>
              <w:br/>
              <w:t xml:space="preserve">             VALIDATED COMPANY INTELLIGENCE STORE</w:t>
              <w:br/>
              <w:t xml:space="preserve">             Reports, metrics, news, scores, citations</w:t>
              <w:br/>
              <w:t xml:space="preserve">                         |</w:t>
              <w:br/>
              <w:t xml:space="preserve">                         v</w:t>
              <w:br/>
              <w:t>Customer Query ---&gt; INTERACTIVE RESEARCH SYSTEM ---&gt; Answer in seconds</w:t>
              <w:br/>
              <w:t xml:space="preserve">                          |</w:t>
              <w:br/>
              <w:t xml:space="preserve">                          +--&gt; Refresh current price/news when needed</w:t>
            </w:r>
          </w:p>
        </w:tc>
      </w:tr>
    </w:tbl>
    <w:tbl>
      <w:tblPr>
        <w:tblW w:type="auto" w:w="0"/>
        <w:jc w:val="center"/>
        <w:tblLayout w:type="fixed"/>
        <w:tblLook w:firstColumn="1" w:firstRow="1" w:lastColumn="0" w:lastRow="0" w:noHBand="0" w:noVBand="1" w:val="04A0"/>
      </w:tblPr>
      <w:tblGrid>
        <w:gridCol w:w="9792"/>
      </w:tblGrid>
      <w:tr>
        <w:tc>
          <w:tcPr>
            <w:tcW w:type="dxa" w:w="10166"/>
            <w:shd w:fill="EAF1FB"/>
            <w:tcBorders>
              <w:top w:val="single" w:sz="4" w:color="EAF1FB"/>
              <w:left w:val="single" w:sz="18" w:color="E7792B"/>
              <w:bottom w:val="single" w:sz="4" w:color="EAF1FB"/>
              <w:right w:val="single" w:sz="4" w:color="EAF1FB"/>
            </w:tcBorders>
            <w:tcMar>
              <w:top w:w="120" w:type="dxa"/>
              <w:start w:w="160" w:type="dxa"/>
              <w:bottom w:w="120" w:type="dxa"/>
              <w:end w:w="160" w:type="dxa"/>
            </w:tcMar>
          </w:tcPr>
          <w:p>
            <w:pPr>
              <w:pStyle w:val="Callout"/>
            </w:pPr>
            <w:r>
              <w:t>Perform expensive research ahead of time, then perform only the minimum necessary live work when the customer asks a question.</w:t>
            </w:r>
          </w:p>
        </w:tc>
      </w:tr>
    </w:tbl>
    <w:p>
      <w:pPr>
        <w:pStyle w:val="Heading1"/>
        <w:pBdr>
          <w:bottom w:val="single" w:sz="12" w:space="3" w:color="E7792B"/>
        </w:pBdr>
        <w:keepLines/>
      </w:pPr>
      <w:r>
        <w:t>2. System 1 - Interactive Research System</w:t>
      </w:r>
    </w:p>
    <w:p>
      <w:pPr>
        <w:pStyle w:val="Heading2"/>
        <w:keepLines/>
      </w:pPr>
      <w:r>
        <w:t>2.1 Customer experience</w:t>
      </w:r>
    </w:p>
    <w:p>
      <w:pPr>
        <w:keepLines/>
        <w:keepLines/>
      </w:pPr>
      <w:r>
        <w:t>This is the system a customer interacts with directly. The experience should feel like a normal AI search interaction: the user asks a question, the system starts responding within a few seconds, sources and timestamps are visible, and follow-up questions reuse the current conversational context.</w:t>
      </w:r>
    </w:p>
    <w:p>
      <w:pPr>
        <w:keepLines/>
        <w:keepLines/>
      </w:pPr>
      <w:r>
        <w:t>Typical questions include:</w:t>
      </w:r>
    </w:p>
    <w:p>
      <w:pPr>
        <w:pStyle w:val="ListBullet"/>
        <w:spacing w:after="50"/>
        <w:ind w:left="346" w:hanging="202"/>
        <w:keepLines/>
        <w:keepLines/>
      </w:pPr>
      <w:r>
        <w:t>Which is a better investment today, Microsoft or Google?</w:t>
      </w:r>
    </w:p>
    <w:p>
      <w:pPr>
        <w:pStyle w:val="ListBullet"/>
        <w:spacing w:after="50"/>
        <w:ind w:left="346" w:hanging="202"/>
        <w:keepLines/>
        <w:keepLines/>
      </w:pPr>
      <w:r>
        <w:t>What are the top five AI companies based on growth and valuation?</w:t>
      </w:r>
    </w:p>
    <w:p>
      <w:pPr>
        <w:pStyle w:val="ListBullet"/>
        <w:spacing w:after="50"/>
        <w:ind w:left="346" w:hanging="202"/>
        <w:keepLines/>
        <w:keepLines/>
      </w:pPr>
      <w:r>
        <w:t>Why did NVIDIA fall today?</w:t>
      </w:r>
    </w:p>
    <w:p>
      <w:pPr>
        <w:pStyle w:val="ListBullet"/>
        <w:spacing w:after="50"/>
        <w:ind w:left="346" w:hanging="202"/>
        <w:keepLines/>
        <w:keepLines/>
      </w:pPr>
      <w:r>
        <w:t>Compare Amazon, Microsoft, and Google.</w:t>
      </w:r>
    </w:p>
    <w:p>
      <w:pPr>
        <w:pStyle w:val="ListBullet"/>
        <w:spacing w:after="50"/>
        <w:ind w:left="346" w:hanging="202"/>
        <w:keepLines/>
        <w:keepLines/>
      </w:pPr>
      <w:r>
        <w:t>Has anything changed since yesterday's recommendation?</w:t>
      </w:r>
    </w:p>
    <w:p>
      <w:pPr>
        <w:keepLines/>
        <w:keepLines/>
      </w:pPr>
      <w:r>
        <w:t>The interactive path should not launch the complete seven-to-nine-call research workflow for every company in every query. It should use the latest validated batch output as the baseline and perform only selective live work.</w:t>
      </w:r>
    </w:p>
    <w:p>
      <w:pPr>
        <w:pStyle w:val="Heading2"/>
        <w:keepLines/>
      </w:pPr>
      <w:r>
        <w:t>2.2 Interactive request flow</w:t>
      </w:r>
    </w:p>
    <w:p>
      <w:pPr>
        <w:pStyle w:val="ListNumber"/>
        <w:spacing w:after="50"/>
        <w:ind w:left="403" w:hanging="230"/>
        <w:keepLines/>
        <w:keepLines/>
      </w:pPr>
      <w:r>
        <w:t>Understand the user question and identify companies, metrics, and time sensitivity.</w:t>
      </w:r>
    </w:p>
    <w:p>
      <w:pPr>
        <w:pStyle w:val="ListNumber"/>
        <w:spacing w:after="50"/>
        <w:ind w:left="403" w:hanging="230"/>
        <w:keepLines/>
        <w:keepLines/>
      </w:pPr>
      <w:r>
        <w:t>Retrieve the latest validated daily intelligence for the relevant companies.</w:t>
      </w:r>
    </w:p>
    <w:p>
      <w:pPr>
        <w:pStyle w:val="ListNumber"/>
        <w:spacing w:after="50"/>
        <w:ind w:left="403" w:hanging="230"/>
        <w:keepLines/>
        <w:keepLines/>
      </w:pPr>
      <w:r>
        <w:t>Check the freshness of each required field.</w:t>
      </w:r>
    </w:p>
    <w:p>
      <w:pPr>
        <w:pStyle w:val="ListNumber"/>
        <w:spacing w:after="50"/>
        <w:ind w:left="403" w:hanging="230"/>
        <w:keepLines/>
        <w:keepLines/>
      </w:pPr>
      <w:r>
        <w:t>Refresh volatile market and news data in parallel.</w:t>
      </w:r>
    </w:p>
    <w:p>
      <w:pPr>
        <w:pStyle w:val="ListNumber"/>
        <w:spacing w:after="50"/>
        <w:ind w:left="403" w:hanging="230"/>
        <w:keepLines/>
        <w:keepLines/>
      </w:pPr>
      <w:r>
        <w:t>Detect material changes and recalculate only affected scores.</w:t>
      </w:r>
    </w:p>
    <w:p>
      <w:pPr>
        <w:pStyle w:val="ListNumber"/>
        <w:spacing w:after="50"/>
        <w:ind w:left="403" w:hanging="230"/>
        <w:keepLines/>
        <w:keepLines/>
      </w:pPr>
      <w:r>
        <w:t>Retrieve the most relevant supporting evidence.</w:t>
      </w:r>
    </w:p>
    <w:p>
      <w:pPr>
        <w:pStyle w:val="ListNumber"/>
        <w:spacing w:after="50"/>
        <w:ind w:left="403" w:hanging="230"/>
        <w:keepLines/>
        <w:keepLines/>
      </w:pPr>
      <w:r>
        <w:t>Generate and stream a concise answer with timestamps and confidence.</w:t>
      </w:r>
    </w:p>
    <w:p>
      <w:pPr>
        <w:pStyle w:val="Heading3"/>
        <w:keepLines/>
      </w:pPr>
      <w:r>
        <w:t>Request understanding</w:t>
      </w:r>
    </w:p>
    <w:p>
      <w:pPr>
        <w:keepLines/>
        <w:keepLines/>
      </w:pPr>
      <w:r>
        <w:t>A lightweight planner identifies the requested companies, comparison type, time horizon, required metrics, and whether the question can be answered from the daily baseline or needs focused live analysis.</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Question:</w:t>
              <w:br/>
              <w:t xml:space="preserve">  "Which is a better buy today, MSFT or NVDA?"</w:t>
              <w:br/>
              <w:br/>
              <w:t>Required information:</w:t>
              <w:br/>
              <w:t xml:space="preserve">  - Latest price and daily movement</w:t>
              <w:br/>
              <w:t xml:space="preserve">  - Recent material news</w:t>
              <w:br/>
              <w:t xml:space="preserve">  - Current valuation metrics</w:t>
              <w:br/>
              <w:t xml:space="preserve">  - Existing AI-strategy research</w:t>
              <w:br/>
              <w:t xml:space="preserve">  - Existing risk assessment</w:t>
            </w:r>
          </w:p>
        </w:tc>
      </w:tr>
    </w:tbl>
    <w:p>
      <w:pPr>
        <w:pStyle w:val="Heading3"/>
        <w:keepLines/>
      </w:pPr>
      <w:r>
        <w:t>Retrieve the daily baseline</w:t>
      </w:r>
    </w:p>
    <w:p>
      <w:pPr>
        <w:keepLines/>
        <w:keepLines/>
      </w:pPr>
      <w:r>
        <w:t>The system loads the most recent validated intelligence for the requested companies. The record may contain financial metrics, AI-initiative summaries, risk analysis, prior sentiment, recommendation, confidence, and evidence metadata. This retrieval should normally take milliseconds to a small number of seconds.</w:t>
      </w:r>
    </w:p>
    <w:p>
      <w:pPr>
        <w:pStyle w:val="Heading3"/>
        <w:keepLines/>
      </w:pPr>
      <w:r>
        <w:t>Refresh only volatile fields</w:t>
      </w:r>
    </w:p>
    <w:p>
      <w:pPr>
        <w:keepLines/>
        <w:keepLines/>
      </w:pPr>
      <w:r>
        <w:t>Highly volatile fields are refreshed live, while stable or slowly changing research is reused. Live requests should execute in parallel so the customer waits for the slowest branch rather than the sum of all branches.</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 xml:space="preserve">                 +--&gt; Current price</w:t>
              <w:br/>
              <w:t>User question --&gt;+--&gt; Recent news</w:t>
              <w:br/>
              <w:t xml:space="preserve">                 +--&gt; Material-event check</w:t>
              <w:br/>
              <w:t xml:space="preserve">                 +--&gt; Daily intelligence retrieval</w:t>
            </w:r>
          </w:p>
        </w:tc>
      </w:tr>
    </w:tbl>
    <w:p>
      <w:pPr>
        <w:pStyle w:val="Heading3"/>
        <w:keepLines/>
      </w:pPr>
      <w:r>
        <w:t>Selective recomputation</w:t>
      </w:r>
    </w:p>
    <w:p>
      <w:pPr>
        <w:keepLines/>
        <w:keepLines/>
      </w:pPr>
      <w:r>
        <w:t>The system recalculates only values affected by refreshed evidence. A small price movement with no material news should not trigger full research. A major event, such as weak guidance or a regulatory action, can invalidate the cached recommendation and trigger focused analysis.</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No material change</w:t>
              <w:br/>
              <w:t xml:space="preserve">  -&gt; Reuse daily research</w:t>
              <w:br/>
              <w:t xml:space="preserve">  -&gt; Refresh volatile metrics</w:t>
              <w:br/>
              <w:t xml:space="preserve">  -&gt; Answer immediately</w:t>
              <w:br/>
              <w:br/>
              <w:t>Material change</w:t>
              <w:br/>
              <w:t xml:space="preserve">  -&gt; Refresh affected evidence</w:t>
              <w:br/>
              <w:t xml:space="preserve">  -&gt; Recalculate company score</w:t>
              <w:br/>
              <w:t xml:space="preserve">  -&gt; Generate an updated answer</w:t>
            </w:r>
          </w:p>
        </w:tc>
      </w:tr>
    </w:tbl>
    <w:p>
      <w:pPr>
        <w:pStyle w:val="Heading3"/>
        <w:keepLines/>
      </w:pPr>
      <w:r>
        <w:t>Focused generation</w:t>
      </w:r>
    </w:p>
    <w:p>
      <w:pPr>
        <w:keepLines/>
        <w:keepLines/>
      </w:pPr>
      <w:r>
        <w:t>The answer-generation model receives the customer question, current structured metrics, validated daily research, recent material news, and only the evidence required for the answer. It should not receive every full company report in the system.</w:t>
      </w:r>
    </w:p>
    <w:p>
      <w:pPr>
        <w:pStyle w:val="Heading2"/>
        <w:keepLines/>
      </w:pPr>
      <w:r>
        <w:t>2.3 Interactive latency targets</w:t>
      </w:r>
    </w:p>
    <w:p>
      <w:pPr>
        <w:keepLines/>
        <w:keepLines/>
      </w:pPr>
      <w:r>
        <w:t>The following are design targets and must be replaced by measured percentiles after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624"/>
            <w:shd w:fill="1F2A44"/>
            <w:tcMar>
              <w:top w:w="90" w:type="dxa"/>
              <w:start w:w="90" w:type="dxa"/>
              <w:bottom w:w="90" w:type="dxa"/>
              <w:end w:w="90" w:type="dxa"/>
            </w:tcMar>
            <w:vAlign w:val="center"/>
          </w:tcPr>
          <w:p>
            <w:pPr>
              <w:jc w:val="left"/>
            </w:pPr>
            <w:r>
              <w:rPr>
                <w:b/>
                <w:color w:val="FFFFFF"/>
                <w:sz w:val="17"/>
              </w:rPr>
              <w:t>Stage</w:t>
            </w:r>
          </w:p>
        </w:tc>
        <w:tc>
          <w:tcPr>
            <w:tcW w:type="dxa" w:w="2880"/>
            <w:shd w:fill="1F2A44"/>
            <w:tcMar>
              <w:top w:w="90" w:type="dxa"/>
              <w:start w:w="90" w:type="dxa"/>
              <w:bottom w:w="90" w:type="dxa"/>
              <w:end w:w="90" w:type="dxa"/>
            </w:tcMar>
            <w:vAlign w:val="center"/>
          </w:tcPr>
          <w:p>
            <w:pPr>
              <w:jc w:val="left"/>
            </w:pPr>
            <w:r>
              <w:rPr>
                <w:b/>
                <w:color w:val="FFFFFF"/>
                <w:sz w:val="17"/>
              </w:rPr>
              <w:t>Target latency</w:t>
            </w:r>
          </w:p>
        </w:tc>
      </w:tr>
      <w:tr>
        <w:tc>
          <w:tcPr>
            <w:tcW w:type="dxa" w:w="6624"/>
            <w:tcMar>
              <w:top w:w="75" w:type="dxa"/>
              <w:start w:w="90" w:type="dxa"/>
              <w:bottom w:w="75" w:type="dxa"/>
              <w:end w:w="90" w:type="dxa"/>
            </w:tcMar>
            <w:vAlign w:val="center"/>
          </w:tcPr>
          <w:p>
            <w:pPr>
              <w:spacing w:after="0" w:line="240" w:lineRule="auto"/>
            </w:pPr>
            <w:r>
              <w:rPr>
                <w:sz w:val="16"/>
              </w:rPr>
              <w:t>Request understanding</w:t>
            </w:r>
          </w:p>
        </w:tc>
        <w:tc>
          <w:tcPr>
            <w:tcW w:type="dxa" w:w="2880"/>
            <w:tcMar>
              <w:top w:w="75" w:type="dxa"/>
              <w:start w:w="90" w:type="dxa"/>
              <w:bottom w:w="75" w:type="dxa"/>
              <w:end w:w="90" w:type="dxa"/>
            </w:tcMar>
            <w:vAlign w:val="center"/>
          </w:tcPr>
          <w:p>
            <w:pPr>
              <w:spacing w:after="0" w:line="240" w:lineRule="auto"/>
            </w:pPr>
            <w:r>
              <w:rPr>
                <w:sz w:val="16"/>
              </w:rPr>
              <w:t>100-500 ms</w:t>
            </w:r>
          </w:p>
        </w:tc>
      </w:tr>
      <w:tr>
        <w:tc>
          <w:tcPr>
            <w:tcW w:type="dxa" w:w="6624"/>
            <w:tcMar>
              <w:top w:w="75" w:type="dxa"/>
              <w:start w:w="90" w:type="dxa"/>
              <w:bottom w:w="75" w:type="dxa"/>
              <w:end w:w="90" w:type="dxa"/>
            </w:tcMar>
            <w:shd w:fill="F9FAFB"/>
            <w:vAlign w:val="center"/>
          </w:tcPr>
          <w:p>
            <w:pPr>
              <w:spacing w:after="0" w:line="240" w:lineRule="auto"/>
            </w:pPr>
            <w:r>
              <w:rPr>
                <w:sz w:val="16"/>
              </w:rPr>
              <w:t>Intelligence-store retrieval</w:t>
            </w:r>
          </w:p>
        </w:tc>
        <w:tc>
          <w:tcPr>
            <w:tcW w:type="dxa" w:w="2880"/>
            <w:tcMar>
              <w:top w:w="75" w:type="dxa"/>
              <w:start w:w="90" w:type="dxa"/>
              <w:bottom w:w="75" w:type="dxa"/>
              <w:end w:w="90" w:type="dxa"/>
            </w:tcMar>
            <w:shd w:fill="F9FAFB"/>
            <w:vAlign w:val="center"/>
          </w:tcPr>
          <w:p>
            <w:pPr>
              <w:spacing w:after="0" w:line="240" w:lineRule="auto"/>
            </w:pPr>
            <w:r>
              <w:rPr>
                <w:sz w:val="16"/>
              </w:rPr>
              <w:t>100 ms-1 second</w:t>
            </w:r>
          </w:p>
        </w:tc>
      </w:tr>
      <w:tr>
        <w:tc>
          <w:tcPr>
            <w:tcW w:type="dxa" w:w="6624"/>
            <w:tcMar>
              <w:top w:w="75" w:type="dxa"/>
              <w:start w:w="90" w:type="dxa"/>
              <w:bottom w:w="75" w:type="dxa"/>
              <w:end w:w="90" w:type="dxa"/>
            </w:tcMar>
            <w:vAlign w:val="center"/>
          </w:tcPr>
          <w:p>
            <w:pPr>
              <w:spacing w:after="0" w:line="240" w:lineRule="auto"/>
            </w:pPr>
            <w:r>
              <w:rPr>
                <w:sz w:val="16"/>
              </w:rPr>
              <w:t>Parallel market/news refresh</w:t>
            </w:r>
          </w:p>
        </w:tc>
        <w:tc>
          <w:tcPr>
            <w:tcW w:type="dxa" w:w="2880"/>
            <w:tcMar>
              <w:top w:w="75" w:type="dxa"/>
              <w:start w:w="90" w:type="dxa"/>
              <w:bottom w:w="75" w:type="dxa"/>
              <w:end w:w="90" w:type="dxa"/>
            </w:tcMar>
            <w:vAlign w:val="center"/>
          </w:tcPr>
          <w:p>
            <w:pPr>
              <w:spacing w:after="0" w:line="240" w:lineRule="auto"/>
            </w:pPr>
            <w:r>
              <w:rPr>
                <w:sz w:val="16"/>
              </w:rPr>
              <w:t>1-4 seconds</w:t>
            </w:r>
          </w:p>
        </w:tc>
      </w:tr>
      <w:tr>
        <w:tc>
          <w:tcPr>
            <w:tcW w:type="dxa" w:w="6624"/>
            <w:tcMar>
              <w:top w:w="75" w:type="dxa"/>
              <w:start w:w="90" w:type="dxa"/>
              <w:bottom w:w="75" w:type="dxa"/>
              <w:end w:w="90" w:type="dxa"/>
            </w:tcMar>
            <w:shd w:fill="F9FAFB"/>
            <w:vAlign w:val="center"/>
          </w:tcPr>
          <w:p>
            <w:pPr>
              <w:spacing w:after="0" w:line="240" w:lineRule="auto"/>
            </w:pPr>
            <w:r>
              <w:rPr>
                <w:sz w:val="16"/>
              </w:rPr>
              <w:t>Scoring and change detection</w:t>
            </w:r>
          </w:p>
        </w:tc>
        <w:tc>
          <w:tcPr>
            <w:tcW w:type="dxa" w:w="2880"/>
            <w:tcMar>
              <w:top w:w="75" w:type="dxa"/>
              <w:start w:w="90" w:type="dxa"/>
              <w:bottom w:w="75" w:type="dxa"/>
              <w:end w:w="90" w:type="dxa"/>
            </w:tcMar>
            <w:shd w:fill="F9FAFB"/>
            <w:vAlign w:val="center"/>
          </w:tcPr>
          <w:p>
            <w:pPr>
              <w:spacing w:after="0" w:line="240" w:lineRule="auto"/>
            </w:pPr>
            <w:r>
              <w:rPr>
                <w:sz w:val="16"/>
              </w:rPr>
              <w:t>Under 500 ms</w:t>
            </w:r>
          </w:p>
        </w:tc>
      </w:tr>
      <w:tr>
        <w:tc>
          <w:tcPr>
            <w:tcW w:type="dxa" w:w="6624"/>
            <w:tcMar>
              <w:top w:w="75" w:type="dxa"/>
              <w:start w:w="90" w:type="dxa"/>
              <w:bottom w:w="75" w:type="dxa"/>
              <w:end w:w="90" w:type="dxa"/>
            </w:tcMar>
            <w:vAlign w:val="center"/>
          </w:tcPr>
          <w:p>
            <w:pPr>
              <w:spacing w:after="0" w:line="240" w:lineRule="auto"/>
            </w:pPr>
            <w:r>
              <w:rPr>
                <w:sz w:val="16"/>
              </w:rPr>
              <w:t>LLM answer generation</w:t>
            </w:r>
          </w:p>
        </w:tc>
        <w:tc>
          <w:tcPr>
            <w:tcW w:type="dxa" w:w="2880"/>
            <w:tcMar>
              <w:top w:w="75" w:type="dxa"/>
              <w:start w:w="90" w:type="dxa"/>
              <w:bottom w:w="75" w:type="dxa"/>
              <w:end w:w="90" w:type="dxa"/>
            </w:tcMar>
            <w:vAlign w:val="center"/>
          </w:tcPr>
          <w:p>
            <w:pPr>
              <w:spacing w:after="0" w:line="240" w:lineRule="auto"/>
            </w:pPr>
            <w:r>
              <w:rPr>
                <w:sz w:val="16"/>
              </w:rPr>
              <w:t>2-8 seconds</w:t>
            </w:r>
          </w:p>
        </w:tc>
      </w:tr>
      <w:tr>
        <w:tc>
          <w:tcPr>
            <w:tcW w:type="dxa" w:w="6624"/>
            <w:tcMar>
              <w:top w:w="75" w:type="dxa"/>
              <w:start w:w="90" w:type="dxa"/>
              <w:bottom w:w="75" w:type="dxa"/>
              <w:end w:w="90" w:type="dxa"/>
            </w:tcMar>
            <w:shd w:fill="F9FAFB"/>
            <w:vAlign w:val="center"/>
          </w:tcPr>
          <w:p>
            <w:pPr>
              <w:spacing w:after="0" w:line="240" w:lineRule="auto"/>
            </w:pPr>
            <w:r>
              <w:rPr>
                <w:sz w:val="16"/>
              </w:rPr>
              <w:t>Expected total</w:t>
            </w:r>
          </w:p>
        </w:tc>
        <w:tc>
          <w:tcPr>
            <w:tcW w:type="dxa" w:w="2880"/>
            <w:tcMar>
              <w:top w:w="75" w:type="dxa"/>
              <w:start w:w="90" w:type="dxa"/>
              <w:bottom w:w="75" w:type="dxa"/>
              <w:end w:w="90" w:type="dxa"/>
            </w:tcMar>
            <w:shd w:fill="F9FAFB"/>
            <w:vAlign w:val="center"/>
          </w:tcPr>
          <w:p>
            <w:pPr>
              <w:spacing w:after="0" w:line="240" w:lineRule="auto"/>
            </w:pPr>
            <w:r>
              <w:rPr>
                <w:sz w:val="16"/>
              </w:rPr>
              <w:t>Approximately 4-12 seconds</w:t>
            </w:r>
          </w:p>
        </w:tc>
      </w:tr>
      <w:tr>
        <w:tc>
          <w:tcPr>
            <w:tcW w:type="dxa" w:w="6624"/>
            <w:tcMar>
              <w:top w:w="75" w:type="dxa"/>
              <w:start w:w="90" w:type="dxa"/>
              <w:bottom w:w="75" w:type="dxa"/>
              <w:end w:w="90" w:type="dxa"/>
            </w:tcMar>
            <w:vAlign w:val="center"/>
          </w:tcPr>
          <w:p>
            <w:pPr>
              <w:spacing w:after="0" w:line="240" w:lineRule="auto"/>
            </w:pPr>
            <w:r>
              <w:rPr>
                <w:sz w:val="16"/>
              </w:rPr>
              <w:t>Slow but acceptable</w:t>
            </w:r>
          </w:p>
        </w:tc>
        <w:tc>
          <w:tcPr>
            <w:tcW w:type="dxa" w:w="2880"/>
            <w:tcMar>
              <w:top w:w="75" w:type="dxa"/>
              <w:start w:w="90" w:type="dxa"/>
              <w:bottom w:w="75" w:type="dxa"/>
              <w:end w:w="90" w:type="dxa"/>
            </w:tcMar>
            <w:vAlign w:val="center"/>
          </w:tcPr>
          <w:p>
            <w:pPr>
              <w:spacing w:after="0" w:line="240" w:lineRule="auto"/>
            </w:pPr>
            <w:r>
              <w:rPr>
                <w:sz w:val="16"/>
              </w:rPr>
              <w:t>Under 20 seconds</w:t>
            </w:r>
          </w:p>
        </w:tc>
      </w:tr>
    </w:tbl>
    <w:tbl>
      <w:tblPr>
        <w:tblW w:type="auto" w:w="0"/>
        <w:jc w:val="center"/>
        <w:tblLayout w:type="fixed"/>
        <w:tblLook w:firstColumn="1" w:firstRow="1" w:lastColumn="0" w:lastRow="0" w:noHBand="0" w:noVBand="1" w:val="04A0"/>
      </w:tblPr>
      <w:tblGrid>
        <w:gridCol w:w="9792"/>
      </w:tblGrid>
      <w:tr>
        <w:tc>
          <w:tcPr>
            <w:tcW w:type="dxa" w:w="10166"/>
            <w:shd w:fill="EAF1FB"/>
            <w:tcBorders>
              <w:top w:val="single" w:sz="4" w:color="EAF1FB"/>
              <w:left w:val="single" w:sz="18" w:color="E7792B"/>
              <w:bottom w:val="single" w:sz="4" w:color="EAF1FB"/>
              <w:right w:val="single" w:sz="4" w:color="EAF1FB"/>
            </w:tcBorders>
            <w:tcMar>
              <w:top w:w="120" w:type="dxa"/>
              <w:start w:w="160" w:type="dxa"/>
              <w:bottom w:w="120" w:type="dxa"/>
              <w:end w:w="160" w:type="dxa"/>
            </w:tcMar>
          </w:tcPr>
          <w:p>
            <w:pPr>
              <w:pStyle w:val="Callout"/>
            </w:pPr>
            <w:r>
              <w:t>Initial SLO: 90% of standard two-to-five-company comparisons should begin producing an answer within five seconds and complete within fifteen seconds.</w:t>
            </w:r>
          </w:p>
        </w:tc>
      </w:tr>
    </w:tbl>
    <w:p>
      <w:pPr>
        <w:keepLines/>
        <w:keepLines/>
      </w:pPr>
      <w:r>
        <w:t>The system can stream the answer progressively. It may first state the comparison basis, then provide the recommendation, and finally append supporting evidence and citations as enrichment completes.</w:t>
      </w:r>
    </w:p>
    <w:p>
      <w:pPr>
        <w:pStyle w:val="Heading2"/>
        <w:keepLines/>
      </w:pPr>
      <w:r>
        <w:t>2.4 Interactive freshness contract</w:t>
      </w:r>
    </w:p>
    <w:p>
      <w:pPr>
        <w:keepLines/>
        <w:keepLines/>
      </w:pPr>
      <w:r>
        <w:t>The answer should expose the age of each important data category rather than use one generic last-updated timestamp.</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Market data: Updated 10:41 a.m. ET</w:t>
              <w:br/>
              <w:t>News checked: Updated 10:42 a.m. ET</w:t>
              <w:br/>
              <w:t>Deep company research: Updated yesterday at 7:15 p.m. ET</w:t>
              <w:br/>
              <w:t>Financial statements: Latest available quarterly filing</w:t>
            </w:r>
          </w:p>
        </w:tc>
      </w:tr>
    </w:tbl>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1F2A44"/>
            <w:tcMar>
              <w:top w:w="90" w:type="dxa"/>
              <w:start w:w="90" w:type="dxa"/>
              <w:bottom w:w="90" w:type="dxa"/>
              <w:end w:w="90" w:type="dxa"/>
            </w:tcMar>
            <w:vAlign w:val="center"/>
          </w:tcPr>
          <w:p>
            <w:pPr>
              <w:jc w:val="left"/>
            </w:pPr>
            <w:r>
              <w:rPr>
                <w:b/>
                <w:color w:val="FFFFFF"/>
                <w:sz w:val="17"/>
              </w:rPr>
              <w:t>Data type</w:t>
            </w:r>
          </w:p>
        </w:tc>
        <w:tc>
          <w:tcPr>
            <w:tcW w:type="dxa" w:w="6048"/>
            <w:shd w:fill="1F2A44"/>
            <w:tcMar>
              <w:top w:w="90" w:type="dxa"/>
              <w:start w:w="90" w:type="dxa"/>
              <w:bottom w:w="90" w:type="dxa"/>
              <w:end w:w="90" w:type="dxa"/>
            </w:tcMar>
            <w:vAlign w:val="center"/>
          </w:tcPr>
          <w:p>
            <w:pPr>
              <w:jc w:val="left"/>
            </w:pPr>
            <w:r>
              <w:rPr>
                <w:b/>
                <w:color w:val="FFFFFF"/>
                <w:sz w:val="17"/>
              </w:rPr>
              <w:t>Interactive treatment</w:t>
            </w:r>
          </w:p>
        </w:tc>
      </w:tr>
      <w:tr>
        <w:tc>
          <w:tcPr>
            <w:tcW w:type="dxa" w:w="3456"/>
            <w:tcMar>
              <w:top w:w="75" w:type="dxa"/>
              <w:start w:w="90" w:type="dxa"/>
              <w:bottom w:w="75" w:type="dxa"/>
              <w:end w:w="90" w:type="dxa"/>
            </w:tcMar>
            <w:vAlign w:val="center"/>
          </w:tcPr>
          <w:p>
            <w:pPr>
              <w:spacing w:after="0" w:line="240" w:lineRule="auto"/>
            </w:pPr>
            <w:r>
              <w:rPr>
                <w:sz w:val="16"/>
              </w:rPr>
              <w:t>Current price</w:t>
            </w:r>
          </w:p>
        </w:tc>
        <w:tc>
          <w:tcPr>
            <w:tcW w:type="dxa" w:w="6048"/>
            <w:tcMar>
              <w:top w:w="75" w:type="dxa"/>
              <w:start w:w="90" w:type="dxa"/>
              <w:bottom w:w="75" w:type="dxa"/>
              <w:end w:w="90" w:type="dxa"/>
            </w:tcMar>
            <w:vAlign w:val="center"/>
          </w:tcPr>
          <w:p>
            <w:pPr>
              <w:spacing w:after="0" w:line="240" w:lineRule="auto"/>
            </w:pPr>
            <w:r>
              <w:rPr>
                <w:sz w:val="16"/>
              </w:rPr>
              <w:t>Refresh live</w:t>
            </w:r>
          </w:p>
        </w:tc>
      </w:tr>
      <w:tr>
        <w:tc>
          <w:tcPr>
            <w:tcW w:type="dxa" w:w="3456"/>
            <w:tcMar>
              <w:top w:w="75" w:type="dxa"/>
              <w:start w:w="90" w:type="dxa"/>
              <w:bottom w:w="75" w:type="dxa"/>
              <w:end w:w="90" w:type="dxa"/>
            </w:tcMar>
            <w:shd w:fill="F9FAFB"/>
            <w:vAlign w:val="center"/>
          </w:tcPr>
          <w:p>
            <w:pPr>
              <w:spacing w:after="0" w:line="240" w:lineRule="auto"/>
            </w:pPr>
            <w:r>
              <w:rPr>
                <w:sz w:val="16"/>
              </w:rPr>
              <w:t>Intraday return</w:t>
            </w:r>
          </w:p>
        </w:tc>
        <w:tc>
          <w:tcPr>
            <w:tcW w:type="dxa" w:w="6048"/>
            <w:tcMar>
              <w:top w:w="75" w:type="dxa"/>
              <w:start w:w="90" w:type="dxa"/>
              <w:bottom w:w="75" w:type="dxa"/>
              <w:end w:w="90" w:type="dxa"/>
            </w:tcMar>
            <w:shd w:fill="F9FAFB"/>
            <w:vAlign w:val="center"/>
          </w:tcPr>
          <w:p>
            <w:pPr>
              <w:spacing w:after="0" w:line="240" w:lineRule="auto"/>
            </w:pPr>
            <w:r>
              <w:rPr>
                <w:sz w:val="16"/>
              </w:rPr>
              <w:t>Refresh live</w:t>
            </w:r>
          </w:p>
        </w:tc>
      </w:tr>
      <w:tr>
        <w:tc>
          <w:tcPr>
            <w:tcW w:type="dxa" w:w="3456"/>
            <w:tcMar>
              <w:top w:w="75" w:type="dxa"/>
              <w:start w:w="90" w:type="dxa"/>
              <w:bottom w:w="75" w:type="dxa"/>
              <w:end w:w="90" w:type="dxa"/>
            </w:tcMar>
            <w:vAlign w:val="center"/>
          </w:tcPr>
          <w:p>
            <w:pPr>
              <w:spacing w:after="0" w:line="240" w:lineRule="auto"/>
            </w:pPr>
            <w:r>
              <w:rPr>
                <w:sz w:val="16"/>
              </w:rPr>
              <w:t>Breaking news</w:t>
            </w:r>
          </w:p>
        </w:tc>
        <w:tc>
          <w:tcPr>
            <w:tcW w:type="dxa" w:w="6048"/>
            <w:tcMar>
              <w:top w:w="75" w:type="dxa"/>
              <w:start w:w="90" w:type="dxa"/>
              <w:bottom w:w="75" w:type="dxa"/>
              <w:end w:w="90" w:type="dxa"/>
            </w:tcMar>
            <w:vAlign w:val="center"/>
          </w:tcPr>
          <w:p>
            <w:pPr>
              <w:spacing w:after="0" w:line="240" w:lineRule="auto"/>
            </w:pPr>
            <w:r>
              <w:rPr>
                <w:sz w:val="16"/>
              </w:rPr>
              <w:t>Refresh live</w:t>
            </w:r>
          </w:p>
        </w:tc>
      </w:tr>
      <w:tr>
        <w:tc>
          <w:tcPr>
            <w:tcW w:type="dxa" w:w="3456"/>
            <w:tcMar>
              <w:top w:w="75" w:type="dxa"/>
              <w:start w:w="90" w:type="dxa"/>
              <w:bottom w:w="75" w:type="dxa"/>
              <w:end w:w="90" w:type="dxa"/>
            </w:tcMar>
            <w:shd w:fill="F9FAFB"/>
            <w:vAlign w:val="center"/>
          </w:tcPr>
          <w:p>
            <w:pPr>
              <w:spacing w:after="0" w:line="240" w:lineRule="auto"/>
            </w:pPr>
            <w:r>
              <w:rPr>
                <w:sz w:val="16"/>
              </w:rPr>
              <w:t>Material corporate events</w:t>
            </w:r>
          </w:p>
        </w:tc>
        <w:tc>
          <w:tcPr>
            <w:tcW w:type="dxa" w:w="6048"/>
            <w:tcMar>
              <w:top w:w="75" w:type="dxa"/>
              <w:start w:w="90" w:type="dxa"/>
              <w:bottom w:w="75" w:type="dxa"/>
              <w:end w:w="90" w:type="dxa"/>
            </w:tcMar>
            <w:shd w:fill="F9FAFB"/>
            <w:vAlign w:val="center"/>
          </w:tcPr>
          <w:p>
            <w:pPr>
              <w:spacing w:after="0" w:line="240" w:lineRule="auto"/>
            </w:pPr>
            <w:r>
              <w:rPr>
                <w:sz w:val="16"/>
              </w:rPr>
              <w:t>Refresh live</w:t>
            </w:r>
          </w:p>
        </w:tc>
      </w:tr>
      <w:tr>
        <w:tc>
          <w:tcPr>
            <w:tcW w:type="dxa" w:w="3456"/>
            <w:tcMar>
              <w:top w:w="75" w:type="dxa"/>
              <w:start w:w="90" w:type="dxa"/>
              <w:bottom w:w="75" w:type="dxa"/>
              <w:end w:w="90" w:type="dxa"/>
            </w:tcMar>
            <w:vAlign w:val="center"/>
          </w:tcPr>
          <w:p>
            <w:pPr>
              <w:spacing w:after="0" w:line="240" w:lineRule="auto"/>
            </w:pPr>
            <w:r>
              <w:rPr>
                <w:sz w:val="16"/>
              </w:rPr>
              <w:t>News sentiment</w:t>
            </w:r>
          </w:p>
        </w:tc>
        <w:tc>
          <w:tcPr>
            <w:tcW w:type="dxa" w:w="6048"/>
            <w:tcMar>
              <w:top w:w="75" w:type="dxa"/>
              <w:start w:w="90" w:type="dxa"/>
              <w:bottom w:w="75" w:type="dxa"/>
              <w:end w:w="90" w:type="dxa"/>
            </w:tcMar>
            <w:vAlign w:val="center"/>
          </w:tcPr>
          <w:p>
            <w:pPr>
              <w:spacing w:after="0" w:line="240" w:lineRule="auto"/>
            </w:pPr>
            <w:r>
              <w:rPr>
                <w:sz w:val="16"/>
              </w:rPr>
              <w:t>Refresh when new headlines exist</w:t>
            </w:r>
          </w:p>
        </w:tc>
      </w:tr>
      <w:tr>
        <w:tc>
          <w:tcPr>
            <w:tcW w:type="dxa" w:w="3456"/>
            <w:tcMar>
              <w:top w:w="75" w:type="dxa"/>
              <w:start w:w="90" w:type="dxa"/>
              <w:bottom w:w="75" w:type="dxa"/>
              <w:end w:w="90" w:type="dxa"/>
            </w:tcMar>
            <w:shd w:fill="F9FAFB"/>
            <w:vAlign w:val="center"/>
          </w:tcPr>
          <w:p>
            <w:pPr>
              <w:spacing w:after="0" w:line="240" w:lineRule="auto"/>
            </w:pPr>
            <w:r>
              <w:rPr>
                <w:sz w:val="16"/>
              </w:rPr>
              <w:t>P/E and market cap</w:t>
            </w:r>
          </w:p>
        </w:tc>
        <w:tc>
          <w:tcPr>
            <w:tcW w:type="dxa" w:w="6048"/>
            <w:tcMar>
              <w:top w:w="75" w:type="dxa"/>
              <w:start w:w="90" w:type="dxa"/>
              <w:bottom w:w="75" w:type="dxa"/>
              <w:end w:w="90" w:type="dxa"/>
            </w:tcMar>
            <w:shd w:fill="F9FAFB"/>
            <w:vAlign w:val="center"/>
          </w:tcPr>
          <w:p>
            <w:pPr>
              <w:spacing w:after="0" w:line="240" w:lineRule="auto"/>
            </w:pPr>
            <w:r>
              <w:rPr>
                <w:sz w:val="16"/>
              </w:rPr>
              <w:t>Refresh or recalculate from current price</w:t>
            </w:r>
          </w:p>
        </w:tc>
      </w:tr>
      <w:tr>
        <w:tc>
          <w:tcPr>
            <w:tcW w:type="dxa" w:w="3456"/>
            <w:tcMar>
              <w:top w:w="75" w:type="dxa"/>
              <w:start w:w="90" w:type="dxa"/>
              <w:bottom w:w="75" w:type="dxa"/>
              <w:end w:w="90" w:type="dxa"/>
            </w:tcMar>
            <w:vAlign w:val="center"/>
          </w:tcPr>
          <w:p>
            <w:pPr>
              <w:spacing w:after="0" w:line="240" w:lineRule="auto"/>
            </w:pPr>
            <w:r>
              <w:rPr>
                <w:sz w:val="16"/>
              </w:rPr>
              <w:t>Quarterly revenue</w:t>
            </w:r>
          </w:p>
        </w:tc>
        <w:tc>
          <w:tcPr>
            <w:tcW w:type="dxa" w:w="6048"/>
            <w:tcMar>
              <w:top w:w="75" w:type="dxa"/>
              <w:start w:w="90" w:type="dxa"/>
              <w:bottom w:w="75" w:type="dxa"/>
              <w:end w:w="90" w:type="dxa"/>
            </w:tcMar>
            <w:vAlign w:val="center"/>
          </w:tcPr>
          <w:p>
            <w:pPr>
              <w:spacing w:after="0" w:line="240" w:lineRule="auto"/>
            </w:pPr>
            <w:r>
              <w:rPr>
                <w:sz w:val="16"/>
              </w:rPr>
              <w:t>Reuse latest filing</w:t>
            </w:r>
          </w:p>
        </w:tc>
      </w:tr>
      <w:tr>
        <w:tc>
          <w:tcPr>
            <w:tcW w:type="dxa" w:w="3456"/>
            <w:tcMar>
              <w:top w:w="75" w:type="dxa"/>
              <w:start w:w="90" w:type="dxa"/>
              <w:bottom w:w="75" w:type="dxa"/>
              <w:end w:w="90" w:type="dxa"/>
            </w:tcMar>
            <w:shd w:fill="F9FAFB"/>
            <w:vAlign w:val="center"/>
          </w:tcPr>
          <w:p>
            <w:pPr>
              <w:spacing w:after="0" w:line="240" w:lineRule="auto"/>
            </w:pPr>
            <w:r>
              <w:rPr>
                <w:sz w:val="16"/>
              </w:rPr>
              <w:t>AI strategy</w:t>
            </w:r>
          </w:p>
        </w:tc>
        <w:tc>
          <w:tcPr>
            <w:tcW w:type="dxa" w:w="6048"/>
            <w:tcMar>
              <w:top w:w="75" w:type="dxa"/>
              <w:start w:w="90" w:type="dxa"/>
              <w:bottom w:w="75" w:type="dxa"/>
              <w:end w:w="90" w:type="dxa"/>
            </w:tcMar>
            <w:shd w:fill="F9FAFB"/>
            <w:vAlign w:val="center"/>
          </w:tcPr>
          <w:p>
            <w:pPr>
              <w:spacing w:after="0" w:line="240" w:lineRule="auto"/>
            </w:pPr>
            <w:r>
              <w:rPr>
                <w:sz w:val="16"/>
              </w:rPr>
              <w:t>Reuse daily validated research</w:t>
            </w:r>
          </w:p>
        </w:tc>
      </w:tr>
      <w:tr>
        <w:tc>
          <w:tcPr>
            <w:tcW w:type="dxa" w:w="3456"/>
            <w:tcMar>
              <w:top w:w="75" w:type="dxa"/>
              <w:start w:w="90" w:type="dxa"/>
              <w:bottom w:w="75" w:type="dxa"/>
              <w:end w:w="90" w:type="dxa"/>
            </w:tcMar>
            <w:vAlign w:val="center"/>
          </w:tcPr>
          <w:p>
            <w:pPr>
              <w:spacing w:after="0" w:line="240" w:lineRule="auto"/>
            </w:pPr>
            <w:r>
              <w:rPr>
                <w:sz w:val="16"/>
              </w:rPr>
              <w:t>Long-term risk analysis</w:t>
            </w:r>
          </w:p>
        </w:tc>
        <w:tc>
          <w:tcPr>
            <w:tcW w:type="dxa" w:w="6048"/>
            <w:tcMar>
              <w:top w:w="75" w:type="dxa"/>
              <w:start w:w="90" w:type="dxa"/>
              <w:bottom w:w="75" w:type="dxa"/>
              <w:end w:w="90" w:type="dxa"/>
            </w:tcMar>
            <w:vAlign w:val="center"/>
          </w:tcPr>
          <w:p>
            <w:pPr>
              <w:spacing w:after="0" w:line="240" w:lineRule="auto"/>
            </w:pPr>
            <w:r>
              <w:rPr>
                <w:sz w:val="16"/>
              </w:rPr>
              <w:t>Reuse unless a material event occurs</w:t>
            </w:r>
          </w:p>
        </w:tc>
      </w:tr>
    </w:tbl>
    <w:p>
      <w:pPr>
        <w:pStyle w:val="Heading2"/>
        <w:keepLines/>
      </w:pPr>
      <w:r>
        <w:t>2.5 Interactive scope limits</w:t>
      </w:r>
    </w:p>
    <w:p>
      <w:pPr>
        <w:keepLines/>
        <w:keepLines/>
      </w:pPr>
      <w:r>
        <w:t>The fast path should support direct company questions, small comparisons, top-company screening, recommendation explanations, and follow-up questions. It should not silently initiate a complete 100-company deep-research run.</w:t>
      </w:r>
    </w:p>
    <w:p>
      <w:pPr>
        <w:keepLines/>
        <w:keepLines/>
      </w:pPr>
      <w:r>
        <w:t>For a large portfolio query, it can retrieve the latest daily rankings immediately, refresh key market fields, explain the leading companies, and perform deeper live work only for top-ranked, ambiguous, stale, or user-selected companies.</w:t>
      </w:r>
    </w:p>
    <w:p>
      <w:pPr>
        <w:pStyle w:val="Heading1"/>
        <w:pBdr>
          <w:bottom w:val="single" w:sz="12" w:space="3" w:color="E7792B"/>
        </w:pBdr>
        <w:keepLines/>
      </w:pPr>
      <w:r>
        <w:t>3. System 2 - Daily Intelligence Batch</w:t>
      </w:r>
    </w:p>
    <w:p>
      <w:pPr>
        <w:pStyle w:val="Heading2"/>
        <w:keepLines/>
      </w:pPr>
      <w:r>
        <w:t>3.1 Purpose</w:t>
      </w:r>
    </w:p>
    <w:p>
      <w:pPr>
        <w:keepLines/>
        <w:keepLines/>
      </w:pPr>
      <w:r>
        <w:t>The daily batch performs the expensive work that should not occur during a customer request. It builds a comprehensive and validated intelligence baseline that the interactive system can use throughout the next day.</w:t>
      </w:r>
    </w:p>
    <w:p>
      <w:pPr>
        <w:pStyle w:val="ListBullet"/>
        <w:spacing w:after="50"/>
        <w:ind w:left="346" w:hanging="202"/>
        <w:keepLines/>
        <w:keepLines/>
      </w:pPr>
      <w:r>
        <w:t>Collect a consistent cross-company data snapshot.</w:t>
      </w:r>
    </w:p>
    <w:p>
      <w:pPr>
        <w:pStyle w:val="ListBullet"/>
        <w:spacing w:after="50"/>
        <w:ind w:left="346" w:hanging="202"/>
        <w:keepLines/>
        <w:keepLines/>
      </w:pPr>
      <w:r>
        <w:t>Research recent company developments and AI initiatives.</w:t>
      </w:r>
    </w:p>
    <w:p>
      <w:pPr>
        <w:pStyle w:val="ListBullet"/>
        <w:spacing w:after="50"/>
        <w:ind w:left="346" w:hanging="202"/>
        <w:keepLines/>
        <w:keepLines/>
      </w:pPr>
      <w:r>
        <w:t>Analyze news sentiment and material events.</w:t>
      </w:r>
    </w:p>
    <w:p>
      <w:pPr>
        <w:pStyle w:val="ListBullet"/>
        <w:spacing w:after="50"/>
        <w:ind w:left="346" w:hanging="202"/>
        <w:keepLines/>
        <w:keepLines/>
      </w:pPr>
      <w:r>
        <w:t>Generate validated company reports and scores.</w:t>
      </w:r>
    </w:p>
    <w:p>
      <w:pPr>
        <w:pStyle w:val="ListBullet"/>
        <w:spacing w:after="50"/>
        <w:ind w:left="346" w:hanging="202"/>
        <w:keepLines/>
        <w:keepLines/>
      </w:pPr>
      <w:r>
        <w:t>Create portfolio-level rankings and comparisons.</w:t>
      </w:r>
    </w:p>
    <w:p>
      <w:pPr>
        <w:pStyle w:val="ListBullet"/>
        <w:spacing w:after="50"/>
        <w:ind w:left="346" w:hanging="202"/>
        <w:keepLines/>
        <w:keepLines/>
      </w:pPr>
      <w:r>
        <w:t>Publish a versioned intelligence snapshot for interactive retrieval.</w:t>
      </w:r>
    </w:p>
    <w:p>
      <w:pPr>
        <w:keepLines/>
        <w:keepLines/>
      </w:pPr>
      <w:r>
        <w:t>This system is not optimized for interactive latency. A run taking 30-90 minutes can be acceptable when it executes on a schedule and completes before the next customer-facing freshness deadline.</w:t>
      </w:r>
    </w:p>
    <w:p>
      <w:pPr>
        <w:pStyle w:val="Heading2"/>
        <w:keepLines/>
      </w:pPr>
      <w:r>
        <w:t>3.2 Recommended schedule</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Market closes:                  4:00 p.m. ET</w:t>
              <w:br/>
              <w:t>Source-data stabilization:     4:00-5:00 p.m. ET</w:t>
              <w:br/>
              <w:t>Daily batch begins:            Approximately 5:00-6:00 p.m. ET</w:t>
              <w:br/>
              <w:t>Batch completes:               Evening</w:t>
              <w:br/>
              <w:t>Validated intelligence ready:  Before the next market session</w:t>
            </w:r>
          </w:p>
        </w:tc>
      </w:tr>
    </w:tbl>
    <w:p>
      <w:pPr>
        <w:keepLines/>
        <w:keepLines/>
      </w:pPr>
      <w:r>
        <w:t>A smaller pre-market refresh can capture overnight news, earnings releases, regulatory announcements, and major pre-market moves. It should selectively update affected companies rather than rerun the entire deep-research universe.</w:t>
      </w:r>
    </w:p>
    <w:p>
      <w:pPr>
        <w:pStyle w:val="Heading2"/>
        <w:keepLines/>
      </w:pPr>
      <w:r>
        <w:t>3.3 Batch processing flow</w:t>
      </w:r>
    </w:p>
    <w:p>
      <w:pPr>
        <w:pStyle w:val="ListNumber"/>
        <w:spacing w:after="50"/>
        <w:ind w:left="403" w:hanging="230"/>
        <w:keepLines/>
        <w:keepLines/>
      </w:pPr>
      <w:r>
        <w:t>Establish the daily snapshot boundary and source cutoffs.</w:t>
      </w:r>
    </w:p>
    <w:p>
      <w:pPr>
        <w:pStyle w:val="ListNumber"/>
        <w:spacing w:after="50"/>
        <w:ind w:left="403" w:hanging="230"/>
        <w:keepLines/>
        <w:keepLines/>
      </w:pPr>
      <w:r>
        <w:t>Collect structured financial and market data in parallel.</w:t>
      </w:r>
    </w:p>
    <w:p>
      <w:pPr>
        <w:pStyle w:val="ListNumber"/>
        <w:spacing w:after="50"/>
        <w:ind w:left="403" w:hanging="230"/>
        <w:keepLines/>
        <w:keepLines/>
      </w:pPr>
      <w:r>
        <w:t>Collect news, filings, and company evidence.</w:t>
      </w:r>
    </w:p>
    <w:p>
      <w:pPr>
        <w:pStyle w:val="ListNumber"/>
        <w:spacing w:after="50"/>
        <w:ind w:left="403" w:hanging="230"/>
        <w:keepLines/>
        <w:keepLines/>
      </w:pPr>
      <w:r>
        <w:t>Detect companies with meaningful changes or expired research.</w:t>
      </w:r>
    </w:p>
    <w:p>
      <w:pPr>
        <w:pStyle w:val="ListNumber"/>
        <w:spacing w:after="50"/>
        <w:ind w:left="403" w:hanging="230"/>
        <w:keepLines/>
        <w:keepLines/>
      </w:pPr>
      <w:r>
        <w:t>Run deep research with bounded concurrency.</w:t>
      </w:r>
    </w:p>
    <w:p>
      <w:pPr>
        <w:pStyle w:val="ListNumber"/>
        <w:spacing w:after="50"/>
        <w:ind w:left="403" w:hanging="230"/>
        <w:keepLines/>
        <w:keepLines/>
      </w:pPr>
      <w:r>
        <w:t>Validate reports, citations, and required tool usage.</w:t>
      </w:r>
    </w:p>
    <w:p>
      <w:pPr>
        <w:pStyle w:val="ListNumber"/>
        <w:spacing w:after="50"/>
        <w:ind w:left="403" w:hanging="230"/>
        <w:keepLines/>
        <w:keepLines/>
      </w:pPr>
      <w:r>
        <w:t>Generate portfolio-level synthesis using batched map-reduce.</w:t>
      </w:r>
    </w:p>
    <w:p>
      <w:pPr>
        <w:pStyle w:val="ListNumber"/>
        <w:spacing w:after="50"/>
        <w:ind w:left="403" w:hanging="230"/>
        <w:keepLines/>
        <w:keepLines/>
      </w:pPr>
      <w:r>
        <w:t>Perform quality checks and publish versioned intelligence.</w:t>
      </w:r>
    </w:p>
    <w:p>
      <w:pPr>
        <w:pStyle w:val="Heading3"/>
        <w:keepLines/>
      </w:pPr>
      <w:r>
        <w:t>Establish a snapshot boundary</w:t>
      </w:r>
    </w:p>
    <w:p>
      <w:pPr>
        <w:keepLines/>
        <w:keepLines/>
      </w:pPr>
      <w:r>
        <w:t>The batch defines a clear analytical cutoff so comparisons refer to one logical period. The published version records both when evidence was captured and when analysis completed.</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Batch date: July 30</w:t>
              <w:br/>
              <w:t>Market snapshot as of: 4:15 p.m. ET</w:t>
              <w:br/>
              <w:t>News cutoff: 5:00 p.m. ET</w:t>
              <w:br/>
              <w:t>Financial filings: Latest available as of batch start</w:t>
            </w:r>
          </w:p>
        </w:tc>
      </w:tr>
    </w:tbl>
    <w:p>
      <w:pPr>
        <w:pStyle w:val="Heading3"/>
        <w:keepLines/>
      </w:pPr>
      <w:r>
        <w:t>Collect structured data in parallel</w:t>
      </w:r>
    </w:p>
    <w:p>
      <w:pPr>
        <w:keepLines/>
        <w:keepLines/>
      </w:pPr>
      <w:r>
        <w:t>Prices, returns, valuation metrics, revenue, beta, and dividend yield should be fetched through bulk APIs or bounded-concurrency retrieval rather than serially through the full agent. The resulting daily snapshot becomes immutable input to the research stage.</w:t>
      </w:r>
    </w:p>
    <w:p>
      <w:pPr>
        <w:pStyle w:val="Heading3"/>
        <w:keepLines/>
      </w:pPr>
      <w:r>
        <w:t>Detect what changed</w:t>
      </w:r>
    </w:p>
    <w:p>
      <w:pPr>
        <w:keepLines/>
        <w:keepLines/>
      </w:pPr>
      <w:r>
        <w:t>Before starting expensive research, compare the new snapshot with the previous published version. Companies without meaningful changes may reuse parts of their prior validated analysis.</w:t>
      </w:r>
    </w:p>
    <w:p>
      <w:pPr>
        <w:pStyle w:val="ListBullet"/>
        <w:spacing w:after="50"/>
        <w:ind w:left="346" w:hanging="202"/>
        <w:keepLines/>
        <w:keepLines/>
      </w:pPr>
      <w:r>
        <w:t>New material news or regulatory event</w:t>
      </w:r>
    </w:p>
    <w:p>
      <w:pPr>
        <w:pStyle w:val="ListBullet"/>
        <w:spacing w:after="50"/>
        <w:ind w:left="346" w:hanging="202"/>
        <w:keepLines/>
        <w:keepLines/>
      </w:pPr>
      <w:r>
        <w:t>Earnings announcement or changed guidance</w:t>
      </w:r>
    </w:p>
    <w:p>
      <w:pPr>
        <w:pStyle w:val="ListBullet"/>
        <w:spacing w:after="50"/>
        <w:ind w:left="346" w:hanging="202"/>
        <w:keepLines/>
        <w:keepLines/>
      </w:pPr>
      <w:r>
        <w:t>Major price or volatility movement</w:t>
      </w:r>
    </w:p>
    <w:p>
      <w:pPr>
        <w:pStyle w:val="ListBullet"/>
        <w:spacing w:after="50"/>
        <w:ind w:left="346" w:hanging="202"/>
        <w:keepLines/>
        <w:keepLines/>
      </w:pPr>
      <w:r>
        <w:t>Changed financial filing</w:t>
      </w:r>
    </w:p>
    <w:p>
      <w:pPr>
        <w:pStyle w:val="ListBullet"/>
        <w:spacing w:after="50"/>
        <w:ind w:left="346" w:hanging="202"/>
        <w:keepLines/>
        <w:keepLines/>
      </w:pPr>
      <w:r>
        <w:t>Large sentiment shift</w:t>
      </w:r>
    </w:p>
    <w:p>
      <w:pPr>
        <w:pStyle w:val="ListBullet"/>
        <w:spacing w:after="50"/>
        <w:ind w:left="346" w:hanging="202"/>
        <w:keepLines/>
        <w:keepLines/>
      </w:pPr>
      <w:r>
        <w:t>Expired, missing, or low-confidence company research</w:t>
      </w:r>
    </w:p>
    <w:p>
      <w:pPr>
        <w:pStyle w:val="Heading3"/>
        <w:keepLines/>
      </w:pPr>
      <w:r>
        <w:t>Deep research</w:t>
      </w:r>
    </w:p>
    <w:p>
      <w:pPr>
        <w:keepLines/>
        <w:keepLines/>
      </w:pPr>
      <w:r>
        <w:t>The full research agent should run for changed companies, companies with expired evidence, low-confidence records, and any companies configured for mandatory daily review. Bounded concurrency is appropriate because the batch is not constrained by one customer's response-time budget, but it must still respect provider limits and isolate failures.</w:t>
      </w:r>
    </w:p>
    <w:p>
      <w:pPr>
        <w:pStyle w:val="Heading3"/>
        <w:keepLines/>
      </w:pPr>
      <w:r>
        <w:t>Validation and synthesis</w:t>
      </w:r>
    </w:p>
    <w:p>
      <w:pPr>
        <w:keepLines/>
        <w:keepLines/>
      </w:pPr>
      <w:r>
        <w:t>Each company report passes the existing validation controls: required-tool checks, citation validation, bounded correction, and fail-closed handling. Successful reports are combined through batched map-reduce synthesis to create overall and strategy-specific rankings.</w:t>
      </w:r>
    </w:p>
    <w:p>
      <w:pPr>
        <w:pStyle w:val="Heading3"/>
        <w:keepLines/>
      </w:pPr>
      <w:r>
        <w:t>Publish versioned intelligence</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intelligence_version: 2026-07-30</w:t>
              <w:br/>
              <w:t>snapshot_time:       2026-07-30T16:15:00-04:00</w:t>
              <w:br/>
              <w:t>publication_time:    2026-07-30T19:05:00-04:00</w:t>
              <w:br/>
              <w:t>company_count:       100</w:t>
              <w:br/>
              <w:t>successful_companies: 98</w:t>
              <w:br/>
              <w:t>failed_companies:      2</w:t>
            </w:r>
          </w:p>
        </w:tc>
      </w:tr>
    </w:tbl>
    <w:p>
      <w:pPr>
        <w:keepLines/>
        <w:keepLines/>
      </w:pPr>
      <w:r>
        <w:t>The interactive system must always know which intelligence version it is using. Previous versions should remain available for auditing, recommendation-change explanations, and historical comparisons.</w:t>
      </w:r>
    </w:p>
    <w:p>
      <w:pPr>
        <w:pStyle w:val="Heading2"/>
        <w:keepLines/>
      </w:pPr>
      <w:r>
        <w:t>3.4 Daily batch latency expectations</w:t>
      </w:r>
    </w:p>
    <w:p>
      <w:pPr>
        <w:keepLines/>
        <w:keepLines/>
      </w:pPr>
      <w:r>
        <w:t>The batch objective is deadline completion, not conversational response time. The critical questions are whether it completed before publication, used a consistent snapshot, surfaced failures, and produced evidence fresh enough for the next customer session.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2A44"/>
            <w:tcMar>
              <w:top w:w="90" w:type="dxa"/>
              <w:start w:w="90" w:type="dxa"/>
              <w:bottom w:w="90" w:type="dxa"/>
              <w:end w:w="90" w:type="dxa"/>
            </w:tcMar>
            <w:vAlign w:val="center"/>
          </w:tcPr>
          <w:p>
            <w:pPr>
              <w:jc w:val="left"/>
            </w:pPr>
            <w:r>
              <w:rPr>
                <w:b/>
                <w:color w:val="FFFFFF"/>
                <w:sz w:val="17"/>
              </w:rPr>
              <w:t>Batch size</w:t>
            </w:r>
          </w:p>
        </w:tc>
        <w:tc>
          <w:tcPr>
            <w:tcW w:type="dxa" w:w="6336"/>
            <w:shd w:fill="1F2A44"/>
            <w:tcMar>
              <w:top w:w="90" w:type="dxa"/>
              <w:start w:w="90" w:type="dxa"/>
              <w:bottom w:w="90" w:type="dxa"/>
              <w:end w:w="90" w:type="dxa"/>
            </w:tcMar>
            <w:vAlign w:val="center"/>
          </w:tcPr>
          <w:p>
            <w:pPr>
              <w:jc w:val="left"/>
            </w:pPr>
            <w:r>
              <w:rPr>
                <w:b/>
                <w:color w:val="FFFFFF"/>
                <w:sz w:val="17"/>
              </w:rPr>
              <w:t>Target completion</w:t>
            </w:r>
          </w:p>
        </w:tc>
      </w:tr>
      <w:tr>
        <w:tc>
          <w:tcPr>
            <w:tcW w:type="dxa" w:w="3168"/>
            <w:tcMar>
              <w:top w:w="75" w:type="dxa"/>
              <w:start w:w="90" w:type="dxa"/>
              <w:bottom w:w="75" w:type="dxa"/>
              <w:end w:w="90" w:type="dxa"/>
            </w:tcMar>
            <w:vAlign w:val="center"/>
          </w:tcPr>
          <w:p>
            <w:pPr>
              <w:spacing w:after="0" w:line="240" w:lineRule="auto"/>
            </w:pPr>
            <w:r>
              <w:rPr>
                <w:sz w:val="16"/>
              </w:rPr>
              <w:t>25 companies</w:t>
            </w:r>
          </w:p>
        </w:tc>
        <w:tc>
          <w:tcPr>
            <w:tcW w:type="dxa" w:w="6336"/>
            <w:tcMar>
              <w:top w:w="75" w:type="dxa"/>
              <w:start w:w="90" w:type="dxa"/>
              <w:bottom w:w="75" w:type="dxa"/>
              <w:end w:w="90" w:type="dxa"/>
            </w:tcMar>
            <w:vAlign w:val="center"/>
          </w:tcPr>
          <w:p>
            <w:pPr>
              <w:spacing w:after="0" w:line="240" w:lineRule="auto"/>
            </w:pPr>
            <w:r>
              <w:rPr>
                <w:sz w:val="16"/>
              </w:rPr>
              <w:t>Under 30 minutes</w:t>
            </w:r>
          </w:p>
        </w:tc>
      </w:tr>
      <w:tr>
        <w:tc>
          <w:tcPr>
            <w:tcW w:type="dxa" w:w="3168"/>
            <w:tcMar>
              <w:top w:w="75" w:type="dxa"/>
              <w:start w:w="90" w:type="dxa"/>
              <w:bottom w:w="75" w:type="dxa"/>
              <w:end w:w="90" w:type="dxa"/>
            </w:tcMar>
            <w:shd w:fill="F9FAFB"/>
            <w:vAlign w:val="center"/>
          </w:tcPr>
          <w:p>
            <w:pPr>
              <w:spacing w:after="0" w:line="240" w:lineRule="auto"/>
            </w:pPr>
            <w:r>
              <w:rPr>
                <w:sz w:val="16"/>
              </w:rPr>
              <w:t>50 companies</w:t>
            </w:r>
          </w:p>
        </w:tc>
        <w:tc>
          <w:tcPr>
            <w:tcW w:type="dxa" w:w="6336"/>
            <w:tcMar>
              <w:top w:w="75" w:type="dxa"/>
              <w:start w:w="90" w:type="dxa"/>
              <w:bottom w:w="75" w:type="dxa"/>
              <w:end w:w="90" w:type="dxa"/>
            </w:tcMar>
            <w:shd w:fill="F9FAFB"/>
            <w:vAlign w:val="center"/>
          </w:tcPr>
          <w:p>
            <w:pPr>
              <w:spacing w:after="0" w:line="240" w:lineRule="auto"/>
            </w:pPr>
            <w:r>
              <w:rPr>
                <w:sz w:val="16"/>
              </w:rPr>
              <w:t>Under 60 minutes</w:t>
            </w:r>
          </w:p>
        </w:tc>
      </w:tr>
      <w:tr>
        <w:tc>
          <w:tcPr>
            <w:tcW w:type="dxa" w:w="3168"/>
            <w:tcMar>
              <w:top w:w="75" w:type="dxa"/>
              <w:start w:w="90" w:type="dxa"/>
              <w:bottom w:w="75" w:type="dxa"/>
              <w:end w:w="90" w:type="dxa"/>
            </w:tcMar>
            <w:vAlign w:val="center"/>
          </w:tcPr>
          <w:p>
            <w:pPr>
              <w:spacing w:after="0" w:line="240" w:lineRule="auto"/>
            </w:pPr>
            <w:r>
              <w:rPr>
                <w:sz w:val="16"/>
              </w:rPr>
              <w:t>100 companies</w:t>
            </w:r>
          </w:p>
        </w:tc>
        <w:tc>
          <w:tcPr>
            <w:tcW w:type="dxa" w:w="6336"/>
            <w:tcMar>
              <w:top w:w="75" w:type="dxa"/>
              <w:start w:w="90" w:type="dxa"/>
              <w:bottom w:w="75" w:type="dxa"/>
              <w:end w:w="90" w:type="dxa"/>
            </w:tcMar>
            <w:vAlign w:val="center"/>
          </w:tcPr>
          <w:p>
            <w:pPr>
              <w:spacing w:after="0" w:line="240" w:lineRule="auto"/>
            </w:pPr>
            <w:r>
              <w:rPr>
                <w:sz w:val="16"/>
              </w:rPr>
              <w:t>Under 90 minutes with bounded concurrency</w:t>
            </w:r>
          </w:p>
        </w:tc>
      </w:tr>
    </w:tbl>
    <w:p>
      <w:pPr>
        <w:keepLines/>
        <w:keepLines/>
      </w:pPr>
      <w:r>
        <w:t>These are product targets rather than measured results. Actual p50, p90, and p95 runtimes should be collected after implementation.</w:t>
      </w:r>
    </w:p>
    <w:p>
      <w:pPr>
        <w:pStyle w:val="Heading1"/>
        <w:pBdr>
          <w:bottom w:val="single" w:sz="12" w:space="3" w:color="E7792B"/>
        </w:pBdr>
        <w:keepLines/>
      </w:pPr>
      <w:r>
        <w:t>4. Shared Company Intelligence Platform</w:t>
      </w:r>
    </w:p>
    <w:p>
      <w:pPr>
        <w:pStyle w:val="Heading2"/>
        <w:keepLines/>
      </w:pPr>
      <w:r>
        <w:t>4.1 Company intelligence store</w:t>
      </w:r>
    </w:p>
    <w:p>
      <w:pPr>
        <w:keepLines/>
        <w:keepLines/>
      </w:pPr>
      <w:r>
        <w:t>Both systems should use one shared source of truth. Each company record should combine structured financial snapshots, deep research, news intelligence, evaluation output, and quality metadata.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2A44"/>
            <w:tcMar>
              <w:top w:w="90" w:type="dxa"/>
              <w:start w:w="90" w:type="dxa"/>
              <w:bottom w:w="90" w:type="dxa"/>
              <w:end w:w="90" w:type="dxa"/>
            </w:tcMar>
            <w:vAlign w:val="center"/>
          </w:tcPr>
          <w:p>
            <w:pPr>
              <w:jc w:val="left"/>
            </w:pPr>
            <w:r>
              <w:rPr>
                <w:b/>
                <w:color w:val="FFFFFF"/>
                <w:sz w:val="17"/>
              </w:rPr>
              <w:t>Record area</w:t>
            </w:r>
          </w:p>
        </w:tc>
        <w:tc>
          <w:tcPr>
            <w:tcW w:type="dxa" w:w="6624"/>
            <w:shd w:fill="1F2A44"/>
            <w:tcMar>
              <w:top w:w="90" w:type="dxa"/>
              <w:start w:w="90" w:type="dxa"/>
              <w:bottom w:w="90" w:type="dxa"/>
              <w:end w:w="90" w:type="dxa"/>
            </w:tcMar>
            <w:vAlign w:val="center"/>
          </w:tcPr>
          <w:p>
            <w:pPr>
              <w:jc w:val="left"/>
            </w:pPr>
            <w:r>
              <w:rPr>
                <w:b/>
                <w:color w:val="FFFFFF"/>
                <w:sz w:val="17"/>
              </w:rPr>
              <w:t>Representative fields</w:t>
            </w:r>
          </w:p>
        </w:tc>
      </w:tr>
      <w:tr>
        <w:tc>
          <w:tcPr>
            <w:tcW w:type="dxa" w:w="2880"/>
            <w:tcMar>
              <w:top w:w="75" w:type="dxa"/>
              <w:start w:w="90" w:type="dxa"/>
              <w:bottom w:w="75" w:type="dxa"/>
              <w:end w:w="90" w:type="dxa"/>
            </w:tcMar>
            <w:vAlign w:val="center"/>
          </w:tcPr>
          <w:p>
            <w:pPr>
              <w:spacing w:after="0" w:line="240" w:lineRule="auto"/>
            </w:pPr>
            <w:r>
              <w:rPr>
                <w:sz w:val="16"/>
              </w:rPr>
              <w:t>Company identity</w:t>
            </w:r>
          </w:p>
        </w:tc>
        <w:tc>
          <w:tcPr>
            <w:tcW w:type="dxa" w:w="6624"/>
            <w:tcMar>
              <w:top w:w="75" w:type="dxa"/>
              <w:start w:w="90" w:type="dxa"/>
              <w:bottom w:w="75" w:type="dxa"/>
              <w:end w:w="90" w:type="dxa"/>
            </w:tcMar>
            <w:vAlign w:val="center"/>
          </w:tcPr>
          <w:p>
            <w:pPr>
              <w:spacing w:after="0" w:line="240" w:lineRule="auto"/>
            </w:pPr>
            <w:r>
              <w:rPr>
                <w:sz w:val="16"/>
              </w:rPr>
              <w:t>Company name, ticker, exchange, sector</w:t>
            </w:r>
          </w:p>
        </w:tc>
      </w:tr>
      <w:tr>
        <w:tc>
          <w:tcPr>
            <w:tcW w:type="dxa" w:w="2880"/>
            <w:tcMar>
              <w:top w:w="75" w:type="dxa"/>
              <w:start w:w="90" w:type="dxa"/>
              <w:bottom w:w="75" w:type="dxa"/>
              <w:end w:w="90" w:type="dxa"/>
            </w:tcMar>
            <w:shd w:fill="F9FAFB"/>
            <w:vAlign w:val="center"/>
          </w:tcPr>
          <w:p>
            <w:pPr>
              <w:spacing w:after="0" w:line="240" w:lineRule="auto"/>
            </w:pPr>
            <w:r>
              <w:rPr>
                <w:sz w:val="16"/>
              </w:rPr>
              <w:t>Financial snapshot</w:t>
            </w:r>
          </w:p>
        </w:tc>
        <w:tc>
          <w:tcPr>
            <w:tcW w:type="dxa" w:w="6624"/>
            <w:tcMar>
              <w:top w:w="75" w:type="dxa"/>
              <w:start w:w="90" w:type="dxa"/>
              <w:bottom w:w="75" w:type="dxa"/>
              <w:end w:w="90" w:type="dxa"/>
            </w:tcMar>
            <w:shd w:fill="F9FAFB"/>
            <w:vAlign w:val="center"/>
          </w:tcPr>
          <w:p>
            <w:pPr>
              <w:spacing w:after="0" w:line="240" w:lineRule="auto"/>
            </w:pPr>
            <w:r>
              <w:rPr>
                <w:sz w:val="16"/>
              </w:rPr>
              <w:t>Price, market cap, P/E, beta, dividend yield, revenue, timestamp</w:t>
            </w:r>
          </w:p>
        </w:tc>
      </w:tr>
      <w:tr>
        <w:tc>
          <w:tcPr>
            <w:tcW w:type="dxa" w:w="2880"/>
            <w:tcMar>
              <w:top w:w="75" w:type="dxa"/>
              <w:start w:w="90" w:type="dxa"/>
              <w:bottom w:w="75" w:type="dxa"/>
              <w:end w:w="90" w:type="dxa"/>
            </w:tcMar>
            <w:vAlign w:val="center"/>
          </w:tcPr>
          <w:p>
            <w:pPr>
              <w:spacing w:after="0" w:line="240" w:lineRule="auto"/>
            </w:pPr>
            <w:r>
              <w:rPr>
                <w:sz w:val="16"/>
              </w:rPr>
              <w:t>Research intelligence</w:t>
            </w:r>
          </w:p>
        </w:tc>
        <w:tc>
          <w:tcPr>
            <w:tcW w:type="dxa" w:w="6624"/>
            <w:tcMar>
              <w:top w:w="75" w:type="dxa"/>
              <w:start w:w="90" w:type="dxa"/>
              <w:bottom w:w="75" w:type="dxa"/>
              <w:end w:w="90" w:type="dxa"/>
            </w:tcMar>
            <w:vAlign w:val="center"/>
          </w:tcPr>
          <w:p>
            <w:pPr>
              <w:spacing w:after="0" w:line="240" w:lineRule="auto"/>
            </w:pPr>
            <w:r>
              <w:rPr>
                <w:sz w:val="16"/>
              </w:rPr>
              <w:t>AI initiatives, strategy, maturity, risks, sources, research timestamp</w:t>
            </w:r>
          </w:p>
        </w:tc>
      </w:tr>
      <w:tr>
        <w:tc>
          <w:tcPr>
            <w:tcW w:type="dxa" w:w="2880"/>
            <w:tcMar>
              <w:top w:w="75" w:type="dxa"/>
              <w:start w:w="90" w:type="dxa"/>
              <w:bottom w:w="75" w:type="dxa"/>
              <w:end w:w="90" w:type="dxa"/>
            </w:tcMar>
            <w:shd w:fill="F9FAFB"/>
            <w:vAlign w:val="center"/>
          </w:tcPr>
          <w:p>
            <w:pPr>
              <w:spacing w:after="0" w:line="240" w:lineRule="auto"/>
            </w:pPr>
            <w:r>
              <w:rPr>
                <w:sz w:val="16"/>
              </w:rPr>
              <w:t>News intelligence</w:t>
            </w:r>
          </w:p>
        </w:tc>
        <w:tc>
          <w:tcPr>
            <w:tcW w:type="dxa" w:w="6624"/>
            <w:tcMar>
              <w:top w:w="75" w:type="dxa"/>
              <w:start w:w="90" w:type="dxa"/>
              <w:bottom w:w="75" w:type="dxa"/>
              <w:end w:w="90" w:type="dxa"/>
            </w:tcMar>
            <w:shd w:fill="F9FAFB"/>
            <w:vAlign w:val="center"/>
          </w:tcPr>
          <w:p>
            <w:pPr>
              <w:spacing w:after="0" w:line="240" w:lineRule="auto"/>
            </w:pPr>
            <w:r>
              <w:rPr>
                <w:sz w:val="16"/>
              </w:rPr>
              <w:t>Headlines, sentiment, material-event flags, news cutoff</w:t>
            </w:r>
          </w:p>
        </w:tc>
      </w:tr>
      <w:tr>
        <w:tc>
          <w:tcPr>
            <w:tcW w:type="dxa" w:w="2880"/>
            <w:tcMar>
              <w:top w:w="75" w:type="dxa"/>
              <w:start w:w="90" w:type="dxa"/>
              <w:bottom w:w="75" w:type="dxa"/>
              <w:end w:w="90" w:type="dxa"/>
            </w:tcMar>
            <w:vAlign w:val="center"/>
          </w:tcPr>
          <w:p>
            <w:pPr>
              <w:spacing w:after="0" w:line="240" w:lineRule="auto"/>
            </w:pPr>
            <w:r>
              <w:rPr>
                <w:sz w:val="16"/>
              </w:rPr>
              <w:t>Evaluation output</w:t>
            </w:r>
          </w:p>
        </w:tc>
        <w:tc>
          <w:tcPr>
            <w:tcW w:type="dxa" w:w="6624"/>
            <w:tcMar>
              <w:top w:w="75" w:type="dxa"/>
              <w:start w:w="90" w:type="dxa"/>
              <w:bottom w:w="75" w:type="dxa"/>
              <w:end w:w="90" w:type="dxa"/>
            </w:tcMar>
            <w:vAlign w:val="center"/>
          </w:tcPr>
          <w:p>
            <w:pPr>
              <w:spacing w:after="0" w:line="240" w:lineRule="auto"/>
            </w:pPr>
            <w:r>
              <w:rPr>
                <w:sz w:val="16"/>
              </w:rPr>
              <w:t>Financial score, AI score, overall score, recommendation, confidence</w:t>
            </w:r>
          </w:p>
        </w:tc>
      </w:tr>
      <w:tr>
        <w:tc>
          <w:tcPr>
            <w:tcW w:type="dxa" w:w="2880"/>
            <w:tcMar>
              <w:top w:w="75" w:type="dxa"/>
              <w:start w:w="90" w:type="dxa"/>
              <w:bottom w:w="75" w:type="dxa"/>
              <w:end w:w="90" w:type="dxa"/>
            </w:tcMar>
            <w:shd w:fill="F9FAFB"/>
            <w:vAlign w:val="center"/>
          </w:tcPr>
          <w:p>
            <w:pPr>
              <w:spacing w:after="0" w:line="240" w:lineRule="auto"/>
            </w:pPr>
            <w:r>
              <w:rPr>
                <w:sz w:val="16"/>
              </w:rPr>
              <w:t>Quality metadata</w:t>
            </w:r>
          </w:p>
        </w:tc>
        <w:tc>
          <w:tcPr>
            <w:tcW w:type="dxa" w:w="6624"/>
            <w:tcMar>
              <w:top w:w="75" w:type="dxa"/>
              <w:start w:w="90" w:type="dxa"/>
              <w:bottom w:w="75" w:type="dxa"/>
              <w:end w:w="90" w:type="dxa"/>
            </w:tcMar>
            <w:shd w:fill="F9FAFB"/>
            <w:vAlign w:val="center"/>
          </w:tcPr>
          <w:p>
            <w:pPr>
              <w:spacing w:after="0" w:line="240" w:lineRule="auto"/>
            </w:pPr>
            <w:r>
              <w:rPr>
                <w:sz w:val="16"/>
              </w:rPr>
              <w:t>Citation status, missing data, retry count, failure state, version</w:t>
            </w:r>
          </w:p>
        </w:tc>
      </w:tr>
    </w:tbl>
    <w:p>
      <w:pPr>
        <w:pStyle w:val="Heading2"/>
        <w:keepLines/>
      </w:pPr>
      <w:r>
        <w:t>4.2 Separate stable and volatile data</w:t>
      </w:r>
    </w:p>
    <w:p>
      <w:pPr>
        <w:keepLines/>
        <w:keepLines/>
      </w:pPr>
      <w:r>
        <w:t>The architecture should not treat every field as equally perishable. The batch owns expensive interpretation of stable and slowly changing information. The interactive system refreshes the volatile layer.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752"/>
            <w:shd w:fill="1F2A44"/>
            <w:tcMar>
              <w:top w:w="90" w:type="dxa"/>
              <w:start w:w="90" w:type="dxa"/>
              <w:bottom w:w="90" w:type="dxa"/>
              <w:end w:w="90" w:type="dxa"/>
            </w:tcMar>
            <w:vAlign w:val="center"/>
          </w:tcPr>
          <w:p>
            <w:pPr>
              <w:jc w:val="left"/>
            </w:pPr>
            <w:r>
              <w:rPr>
                <w:b/>
                <w:color w:val="FFFFFF"/>
                <w:sz w:val="17"/>
              </w:rPr>
              <w:t>Stable or slowly changing</w:t>
            </w:r>
          </w:p>
        </w:tc>
        <w:tc>
          <w:tcPr>
            <w:tcW w:type="dxa" w:w="4752"/>
            <w:shd w:fill="1F2A44"/>
            <w:tcMar>
              <w:top w:w="90" w:type="dxa"/>
              <w:start w:w="90" w:type="dxa"/>
              <w:bottom w:w="90" w:type="dxa"/>
              <w:end w:w="90" w:type="dxa"/>
            </w:tcMar>
            <w:vAlign w:val="center"/>
          </w:tcPr>
          <w:p>
            <w:pPr>
              <w:jc w:val="left"/>
            </w:pPr>
            <w:r>
              <w:rPr>
                <w:b/>
                <w:color w:val="FFFFFF"/>
                <w:sz w:val="17"/>
              </w:rPr>
              <w:t>Volatile</w:t>
            </w:r>
          </w:p>
        </w:tc>
      </w:tr>
      <w:tr>
        <w:tc>
          <w:tcPr>
            <w:tcW w:type="dxa" w:w="4752"/>
            <w:tcMar>
              <w:top w:w="75" w:type="dxa"/>
              <w:start w:w="90" w:type="dxa"/>
              <w:bottom w:w="75" w:type="dxa"/>
              <w:end w:w="90" w:type="dxa"/>
            </w:tcMar>
            <w:vAlign w:val="center"/>
          </w:tcPr>
          <w:p>
            <w:pPr>
              <w:spacing w:after="0" w:line="240" w:lineRule="auto"/>
            </w:pPr>
            <w:r>
              <w:rPr>
                <w:sz w:val="16"/>
              </w:rPr>
              <w:t>AI strategy</w:t>
            </w:r>
          </w:p>
        </w:tc>
        <w:tc>
          <w:tcPr>
            <w:tcW w:type="dxa" w:w="4752"/>
            <w:tcMar>
              <w:top w:w="75" w:type="dxa"/>
              <w:start w:w="90" w:type="dxa"/>
              <w:bottom w:w="75" w:type="dxa"/>
              <w:end w:w="90" w:type="dxa"/>
            </w:tcMar>
            <w:vAlign w:val="center"/>
          </w:tcPr>
          <w:p>
            <w:pPr>
              <w:spacing w:after="0" w:line="240" w:lineRule="auto"/>
            </w:pPr>
            <w:r>
              <w:rPr>
                <w:sz w:val="16"/>
              </w:rPr>
              <w:t>Current price</w:t>
            </w:r>
          </w:p>
        </w:tc>
      </w:tr>
      <w:tr>
        <w:tc>
          <w:tcPr>
            <w:tcW w:type="dxa" w:w="4752"/>
            <w:tcMar>
              <w:top w:w="75" w:type="dxa"/>
              <w:start w:w="90" w:type="dxa"/>
              <w:bottom w:w="75" w:type="dxa"/>
              <w:end w:w="90" w:type="dxa"/>
            </w:tcMar>
            <w:shd w:fill="F9FAFB"/>
            <w:vAlign w:val="center"/>
          </w:tcPr>
          <w:p>
            <w:pPr>
              <w:spacing w:after="0" w:line="240" w:lineRule="auto"/>
            </w:pPr>
            <w:r>
              <w:rPr>
                <w:sz w:val="16"/>
              </w:rPr>
              <w:t>Business model</w:t>
            </w:r>
          </w:p>
        </w:tc>
        <w:tc>
          <w:tcPr>
            <w:tcW w:type="dxa" w:w="4752"/>
            <w:tcMar>
              <w:top w:w="75" w:type="dxa"/>
              <w:start w:w="90" w:type="dxa"/>
              <w:bottom w:w="75" w:type="dxa"/>
              <w:end w:w="90" w:type="dxa"/>
            </w:tcMar>
            <w:shd w:fill="F9FAFB"/>
            <w:vAlign w:val="center"/>
          </w:tcPr>
          <w:p>
            <w:pPr>
              <w:spacing w:after="0" w:line="240" w:lineRule="auto"/>
            </w:pPr>
            <w:r>
              <w:rPr>
                <w:sz w:val="16"/>
              </w:rPr>
              <w:t>Intraday return</w:t>
            </w:r>
          </w:p>
        </w:tc>
      </w:tr>
      <w:tr>
        <w:tc>
          <w:tcPr>
            <w:tcW w:type="dxa" w:w="4752"/>
            <w:tcMar>
              <w:top w:w="75" w:type="dxa"/>
              <w:start w:w="90" w:type="dxa"/>
              <w:bottom w:w="75" w:type="dxa"/>
              <w:end w:w="90" w:type="dxa"/>
            </w:tcMar>
            <w:vAlign w:val="center"/>
          </w:tcPr>
          <w:p>
            <w:pPr>
              <w:spacing w:after="0" w:line="240" w:lineRule="auto"/>
            </w:pPr>
            <w:r>
              <w:rPr>
                <w:sz w:val="16"/>
              </w:rPr>
              <w:t>Deployment maturity</w:t>
            </w:r>
          </w:p>
        </w:tc>
        <w:tc>
          <w:tcPr>
            <w:tcW w:type="dxa" w:w="4752"/>
            <w:tcMar>
              <w:top w:w="75" w:type="dxa"/>
              <w:start w:w="90" w:type="dxa"/>
              <w:bottom w:w="75" w:type="dxa"/>
              <w:end w:w="90" w:type="dxa"/>
            </w:tcMar>
            <w:vAlign w:val="center"/>
          </w:tcPr>
          <w:p>
            <w:pPr>
              <w:spacing w:after="0" w:line="240" w:lineRule="auto"/>
            </w:pPr>
            <w:r>
              <w:rPr>
                <w:sz w:val="16"/>
              </w:rPr>
              <w:t>Current market capitalization</w:t>
            </w:r>
          </w:p>
        </w:tc>
      </w:tr>
      <w:tr>
        <w:tc>
          <w:tcPr>
            <w:tcW w:type="dxa" w:w="4752"/>
            <w:tcMar>
              <w:top w:w="75" w:type="dxa"/>
              <w:start w:w="90" w:type="dxa"/>
              <w:bottom w:w="75" w:type="dxa"/>
              <w:end w:w="90" w:type="dxa"/>
            </w:tcMar>
            <w:shd w:fill="F9FAFB"/>
            <w:vAlign w:val="center"/>
          </w:tcPr>
          <w:p>
            <w:pPr>
              <w:spacing w:after="0" w:line="240" w:lineRule="auto"/>
            </w:pPr>
            <w:r>
              <w:rPr>
                <w:sz w:val="16"/>
              </w:rPr>
              <w:t>Historical and structural risks</w:t>
            </w:r>
          </w:p>
        </w:tc>
        <w:tc>
          <w:tcPr>
            <w:tcW w:type="dxa" w:w="4752"/>
            <w:tcMar>
              <w:top w:w="75" w:type="dxa"/>
              <w:start w:w="90" w:type="dxa"/>
              <w:bottom w:w="75" w:type="dxa"/>
              <w:end w:w="90" w:type="dxa"/>
            </w:tcMar>
            <w:shd w:fill="F9FAFB"/>
            <w:vAlign w:val="center"/>
          </w:tcPr>
          <w:p>
            <w:pPr>
              <w:spacing w:after="0" w:line="240" w:lineRule="auto"/>
            </w:pPr>
            <w:r>
              <w:rPr>
                <w:sz w:val="16"/>
              </w:rPr>
              <w:t>Recent headlines</w:t>
            </w:r>
          </w:p>
        </w:tc>
      </w:tr>
      <w:tr>
        <w:tc>
          <w:tcPr>
            <w:tcW w:type="dxa" w:w="4752"/>
            <w:tcMar>
              <w:top w:w="75" w:type="dxa"/>
              <w:start w:w="90" w:type="dxa"/>
              <w:bottom w:w="75" w:type="dxa"/>
              <w:end w:w="90" w:type="dxa"/>
            </w:tcMar>
            <w:vAlign w:val="center"/>
          </w:tcPr>
          <w:p>
            <w:pPr>
              <w:spacing w:after="0" w:line="240" w:lineRule="auto"/>
            </w:pPr>
            <w:r>
              <w:rPr>
                <w:sz w:val="16"/>
              </w:rPr>
              <w:t>Quarterly financials</w:t>
            </w:r>
          </w:p>
        </w:tc>
        <w:tc>
          <w:tcPr>
            <w:tcW w:type="dxa" w:w="4752"/>
            <w:tcMar>
              <w:top w:w="75" w:type="dxa"/>
              <w:start w:w="90" w:type="dxa"/>
              <w:bottom w:w="75" w:type="dxa"/>
              <w:end w:w="90" w:type="dxa"/>
            </w:tcMar>
            <w:vAlign w:val="center"/>
          </w:tcPr>
          <w:p>
            <w:pPr>
              <w:spacing w:after="0" w:line="240" w:lineRule="auto"/>
            </w:pPr>
            <w:r>
              <w:rPr>
                <w:sz w:val="16"/>
              </w:rPr>
              <w:t>Current sentiment and material events</w:t>
            </w:r>
          </w:p>
        </w:tc>
      </w:tr>
    </w:tbl>
    <w:p>
      <w:pPr>
        <w:pStyle w:val="Heading2"/>
        <w:keepLines/>
      </w:pPr>
      <w:r>
        <w:t>4.3 Material-change detection</w:t>
      </w:r>
    </w:p>
    <w:p>
      <w:pPr>
        <w:keepLines/>
        <w:keepLines/>
      </w:pPr>
      <w:r>
        <w:t>The system needs deterministic triggers that identify when cached research may no longer be sufficient.</w:t>
      </w:r>
    </w:p>
    <w:p>
      <w:pPr>
        <w:pStyle w:val="ListBullet"/>
        <w:spacing w:after="50"/>
        <w:ind w:left="346" w:hanging="202"/>
        <w:keepLines/>
        <w:keepLines/>
      </w:pPr>
      <w:r>
        <w:t>Price movement exceeds a configured threshold.</w:t>
      </w:r>
    </w:p>
    <w:p>
      <w:pPr>
        <w:pStyle w:val="ListBullet"/>
        <w:spacing w:after="50"/>
        <w:ind w:left="346" w:hanging="202"/>
        <w:keepLines/>
        <w:keepLines/>
      </w:pPr>
      <w:r>
        <w:t>New earnings report, guidance, acquisition, or leadership change.</w:t>
      </w:r>
    </w:p>
    <w:p>
      <w:pPr>
        <w:pStyle w:val="ListBullet"/>
        <w:spacing w:after="50"/>
        <w:ind w:left="346" w:hanging="202"/>
        <w:keepLines/>
        <w:keepLines/>
      </w:pPr>
      <w:r>
        <w:t>New regulatory action or high-confidence negative event.</w:t>
      </w:r>
    </w:p>
    <w:p>
      <w:pPr>
        <w:pStyle w:val="ListBullet"/>
        <w:spacing w:after="50"/>
        <w:ind w:left="346" w:hanging="202"/>
        <w:keepLines/>
        <w:keepLines/>
      </w:pPr>
      <w:r>
        <w:t>Material sentiment shift or unusually high news volume.</w:t>
      </w:r>
    </w:p>
    <w:p>
      <w:pPr>
        <w:pStyle w:val="ListBullet"/>
        <w:spacing w:after="50"/>
        <w:ind w:left="346" w:hanging="202"/>
        <w:keepLines/>
        <w:keepLines/>
      </w:pPr>
      <w:r>
        <w:t>A recomputed score crosses a recommendation or ranking threshold.</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No material change</w:t>
              <w:br/>
              <w:t xml:space="preserve">    -&gt; Reuse batch research</w:t>
              <w:br/>
              <w:t xml:space="preserve">    -&gt; Refresh volatile metrics</w:t>
              <w:br/>
              <w:t xml:space="preserve">    -&gt; Answer immediately</w:t>
              <w:br/>
              <w:br/>
              <w:t>Material change</w:t>
              <w:br/>
              <w:t xml:space="preserve">    -&gt; Refresh affected evidence</w:t>
              <w:br/>
              <w:t xml:space="preserve">    -&gt; Recalculate score</w:t>
              <w:br/>
              <w:t xml:space="preserve">    -&gt; Generate updated answer</w:t>
              <w:br/>
              <w:br/>
              <w:t>Major unmodeled event</w:t>
              <w:br/>
              <w:t xml:space="preserve">    -&gt; Run focused deep research</w:t>
              <w:br/>
              <w:t xml:space="preserve">    -&gt; Lower confidence until validation completes</w:t>
            </w:r>
          </w:p>
        </w:tc>
      </w:tr>
    </w:tbl>
    <w:p>
      <w:pPr>
        <w:pStyle w:val="Heading1"/>
        <w:pBdr>
          <w:bottom w:val="single" w:sz="12" w:space="3" w:color="E7792B"/>
        </w:pBdr>
        <w:keepLines/>
      </w:pPr>
      <w:r>
        <w:t>5. How the Systems Work Together</w:t>
      </w:r>
    </w:p>
    <w:p>
      <w:pPr>
        <w:pStyle w:val="Heading2"/>
        <w:keepLines/>
      </w:pPr>
      <w:r>
        <w:t>5.1 Standard two-company query</w:t>
      </w:r>
    </w:p>
    <w:p>
      <w:pPr>
        <w:keepLines/>
        <w:keepLines/>
      </w:pPr>
      <w:r>
        <w:t>At 10:30 a.m., a customer asks: "Should I buy Microsoft or NVIDIA today?" The daily intelligence batch completed the previous evening.</w:t>
      </w:r>
    </w:p>
    <w:p>
      <w:pPr>
        <w:pStyle w:val="ListNumber"/>
        <w:spacing w:after="50"/>
        <w:ind w:left="403" w:hanging="230"/>
        <w:keepLines/>
        <w:keepLines/>
      </w:pPr>
      <w:r>
        <w:t>Retrieve the MSFT and NVDA daily intelligence records.</w:t>
      </w:r>
    </w:p>
    <w:p>
      <w:pPr>
        <w:pStyle w:val="ListNumber"/>
        <w:spacing w:after="50"/>
        <w:ind w:left="403" w:hanging="230"/>
        <w:keepLines/>
        <w:keepLines/>
      </w:pPr>
      <w:r>
        <w:t>Fetch current prices and daily movements in parallel.</w:t>
      </w:r>
    </w:p>
    <w:p>
      <w:pPr>
        <w:pStyle w:val="ListNumber"/>
        <w:spacing w:after="50"/>
        <w:ind w:left="403" w:hanging="230"/>
        <w:keepLines/>
        <w:keepLines/>
      </w:pPr>
      <w:r>
        <w:t>Check news published since the batch cutoff.</w:t>
      </w:r>
    </w:p>
    <w:p>
      <w:pPr>
        <w:pStyle w:val="ListNumber"/>
        <w:spacing w:after="50"/>
        <w:ind w:left="403" w:hanging="230"/>
        <w:keepLines/>
        <w:keepLines/>
      </w:pPr>
      <w:r>
        <w:t>Detect whether material events occurred.</w:t>
      </w:r>
    </w:p>
    <w:p>
      <w:pPr>
        <w:pStyle w:val="ListNumber"/>
        <w:spacing w:after="50"/>
        <w:ind w:left="403" w:hanging="230"/>
        <w:keepLines/>
        <w:keepLines/>
      </w:pPr>
      <w:r>
        <w:t>Recalculate price-sensitive metrics and scores.</w:t>
      </w:r>
    </w:p>
    <w:p>
      <w:pPr>
        <w:pStyle w:val="ListNumber"/>
        <w:spacing w:after="50"/>
        <w:ind w:left="403" w:hanging="230"/>
        <w:keepLines/>
        <w:keepLines/>
      </w:pPr>
      <w:r>
        <w:t>Generate and stream the recommendation with evidence timestamps.</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Microsoft remains the stronger risk-adjusted choice based on the</w:t>
              <w:br/>
              <w:t>latest available information.</w:t>
              <w:br/>
              <w:br/>
              <w:t>Market data checked: 10:30 a.m. ET</w:t>
              <w:br/>
              <w:t>News checked through: 10:31 a.m. ET</w:t>
              <w:br/>
              <w:t>Deep research baseline: July 29 daily batch</w:t>
              <w:br/>
              <w:br/>
              <w:t>No material event was detected that invalidates the daily analysis.</w:t>
            </w:r>
          </w:p>
        </w:tc>
      </w:tr>
    </w:tbl>
    <w:p>
      <w:pPr>
        <w:pStyle w:val="Heading2"/>
        <w:keepLines/>
      </w:pPr>
      <w:r>
        <w:t>5.2 Major intraday change</w:t>
      </w:r>
    </w:p>
    <w:p>
      <w:pPr>
        <w:keepLines/>
        <w:keepLines/>
      </w:pPr>
      <w:r>
        <w:t>Suppose the daily batch rated a company as Buy, but the company later issues weak guidance, the stock falls sharply, and negative headlines appear. The interactive system should not blindly reuse the daily recommendation.</w:t>
      </w:r>
    </w:p>
    <w:p>
      <w:pPr>
        <w:pStyle w:val="ListNumber"/>
        <w:spacing w:after="50"/>
        <w:ind w:left="403" w:hanging="230"/>
        <w:keepLines/>
        <w:keepLines/>
      </w:pPr>
      <w:r>
        <w:t>Mark the previous recommendation as potentially stale.</w:t>
      </w:r>
    </w:p>
    <w:p>
      <w:pPr>
        <w:pStyle w:val="ListNumber"/>
        <w:spacing w:after="50"/>
        <w:ind w:left="403" w:hanging="230"/>
        <w:keepLines/>
        <w:keepLines/>
      </w:pPr>
      <w:r>
        <w:t>Refresh the company's market, news, and event evidence.</w:t>
      </w:r>
    </w:p>
    <w:p>
      <w:pPr>
        <w:pStyle w:val="ListNumber"/>
        <w:spacing w:after="50"/>
        <w:ind w:left="403" w:hanging="230"/>
        <w:keepLines/>
        <w:keepLines/>
      </w:pPr>
      <w:r>
        <w:t>Recalculate affected metrics and recommendation score.</w:t>
      </w:r>
    </w:p>
    <w:p>
      <w:pPr>
        <w:pStyle w:val="ListNumber"/>
        <w:spacing w:after="50"/>
        <w:ind w:left="403" w:hanging="230"/>
        <w:keepLines/>
        <w:keepLines/>
      </w:pPr>
      <w:r>
        <w:t>Run focused event analysis rather than a complete universe rerun.</w:t>
      </w:r>
    </w:p>
    <w:p>
      <w:pPr>
        <w:pStyle w:val="ListNumber"/>
        <w:spacing w:after="50"/>
        <w:ind w:left="403" w:hanging="230"/>
        <w:keepLines/>
        <w:keepLines/>
      </w:pPr>
      <w:r>
        <w:t>Return an updated recommendation and state that the daily baseline was overridden.</w:t>
      </w:r>
    </w:p>
    <w:p>
      <w:pPr>
        <w:pStyle w:val="Heading1"/>
        <w:pBdr>
          <w:bottom w:val="single" w:sz="12" w:space="3" w:color="E7792B"/>
        </w:pBdr>
        <w:keepLines/>
      </w:pPr>
      <w:r>
        <w:t>6. High-Level Architecture</w:t>
      </w:r>
    </w:p>
    <w:tbl>
      <w:tblPr>
        <w:tblW w:type="auto" w:w="0"/>
        <w:jc w:val="center"/>
        <w:tblLayout w:type="fixed"/>
        <w:tblLook w:firstColumn="1" w:firstRow="1" w:lastColumn="0" w:lastRow="0" w:noHBand="0" w:noVBand="1" w:val="04A0"/>
      </w:tblPr>
      <w:tblGrid>
        <w:gridCol w:w="9792"/>
      </w:tblGrid>
      <w:tr>
        <w:tc>
          <w:tcPr>
            <w:tcW w:type="dxa" w:w="10166"/>
            <w:shd w:fill="F4F6F8"/>
            <w:tcBorders>
              <w:top w:val="single" w:sz="4" w:color="D0D5DD"/>
              <w:left w:val="single" w:sz="4" w:color="D0D5DD"/>
              <w:bottom w:val="single" w:sz="4" w:color="D0D5DD"/>
              <w:right w:val="single" w:sz="4" w:color="D0D5DD"/>
            </w:tcBorders>
            <w:tcMar>
              <w:top w:w="100" w:type="dxa"/>
              <w:start w:w="130" w:type="dxa"/>
              <w:bottom w:w="100" w:type="dxa"/>
              <w:end w:w="130" w:type="dxa"/>
            </w:tcMar>
          </w:tcPr>
          <w:p>
            <w:pPr>
              <w:pStyle w:val="ArchitectureDiagram"/>
            </w:pPr>
            <w:r>
              <w:t xml:space="preserve">                              DATA SOURCES</w:t>
              <w:br/>
              <w:t xml:space="preserve">               Market Data | News | Filings | Company PDFs</w:t>
              <w:br/>
              <w:t xml:space="preserve">                                   |</w:t>
              <w:br/>
              <w:t xml:space="preserve">                    +--------------+--------------+</w:t>
              <w:br/>
              <w:t xml:space="preserve">                    |                             |</w:t>
              <w:br/>
              <w:t xml:space="preserve">                    v                             v</w:t>
              <w:br/>
              <w:t xml:space="preserve">          DAILY INTELLIGENCE BATCH        LIVE REFRESH SERVICES</w:t>
              <w:br/>
              <w:t xml:space="preserve">          - Daily snapshot                - Current price</w:t>
              <w:br/>
              <w:t xml:space="preserve">          - Deep research                 - Intraday movement</w:t>
              <w:br/>
              <w:t xml:space="preserve">          - Sentiment analysis            - Latest headlines</w:t>
              <w:br/>
              <w:t xml:space="preserve">          - Citation validation           - Material-event check</w:t>
              <w:br/>
              <w:t xml:space="preserve">          - Portfolio rankings                     |</w:t>
              <w:br/>
              <w:t xml:space="preserve">                    |                              |</w:t>
              <w:br/>
              <w:t xml:space="preserve">                    v                              |</w:t>
              <w:br/>
              <w:t xml:space="preserve">          COMPANY INTELLIGENCE STORE &lt;-------------+</w:t>
              <w:br/>
              <w:t xml:space="preserve">          - Versioned daily research</w:t>
              <w:br/>
              <w:t xml:space="preserve">          - Structured metrics</w:t>
              <w:br/>
              <w:t xml:space="preserve">          - Scores and recommendations</w:t>
              <w:br/>
              <w:t xml:space="preserve">          - Citations and timestamps</w:t>
              <w:br/>
              <w:t xml:space="preserve">                    |</w:t>
              <w:br/>
              <w:t xml:space="preserve">                    v</w:t>
              <w:br/>
              <w:t xml:space="preserve">          INTERACTIVE RESEARCH SYSTEM</w:t>
              <w:br/>
              <w:t xml:space="preserve">          - Understand user question</w:t>
              <w:br/>
              <w:t xml:space="preserve">          - Retrieve daily baseline</w:t>
              <w:br/>
              <w:t xml:space="preserve">          - Refresh volatile fields</w:t>
              <w:br/>
              <w:t xml:space="preserve">          - Detect material changes</w:t>
              <w:br/>
              <w:t xml:space="preserve">          - Recompute affected scores</w:t>
              <w:br/>
              <w:t xml:space="preserve">          - Generate and stream answer</w:t>
              <w:br/>
              <w:t xml:space="preserve">                    |</w:t>
              <w:br/>
              <w:t xml:space="preserve">                    v</w:t>
              <w:br/>
              <w:t xml:space="preserve">              CUSTOMER RESPONSE</w:t>
              <w:br/>
              <w:t xml:space="preserve">              Target: 4-12 seconds</w:t>
            </w:r>
          </w:p>
        </w:tc>
      </w:tr>
    </w:tbl>
    <w:p>
      <w:pPr>
        <w:pStyle w:val="Heading1"/>
        <w:pBdr>
          <w:bottom w:val="single" w:sz="12" w:space="3" w:color="E7792B"/>
        </w:pBdr>
        <w:keepLines/>
      </w:pPr>
      <w:r>
        <w:t>7. Decision Summary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2A44"/>
            <w:tcMar>
              <w:top w:w="90" w:type="dxa"/>
              <w:start w:w="90" w:type="dxa"/>
              <w:bottom w:w="90" w:type="dxa"/>
              <w:end w:w="90" w:type="dxa"/>
            </w:tcMar>
            <w:vAlign w:val="center"/>
          </w:tcPr>
          <w:p>
            <w:pPr>
              <w:jc w:val="left"/>
            </w:pPr>
            <w:r>
              <w:rPr>
                <w:b/>
                <w:color w:val="FFFFFF"/>
                <w:sz w:val="17"/>
              </w:rPr>
              <w:t>Area</w:t>
            </w:r>
          </w:p>
        </w:tc>
        <w:tc>
          <w:tcPr>
            <w:tcW w:type="dxa" w:w="3672"/>
            <w:shd w:fill="1F2A44"/>
            <w:tcMar>
              <w:top w:w="90" w:type="dxa"/>
              <w:start w:w="90" w:type="dxa"/>
              <w:bottom w:w="90" w:type="dxa"/>
              <w:end w:w="90" w:type="dxa"/>
            </w:tcMar>
            <w:vAlign w:val="center"/>
          </w:tcPr>
          <w:p>
            <w:pPr>
              <w:jc w:val="left"/>
            </w:pPr>
            <w:r>
              <w:rPr>
                <w:b/>
                <w:color w:val="FFFFFF"/>
                <w:sz w:val="17"/>
              </w:rPr>
              <w:t>Interactive system</w:t>
            </w:r>
          </w:p>
        </w:tc>
        <w:tc>
          <w:tcPr>
            <w:tcW w:type="dxa" w:w="3672"/>
            <w:shd w:fill="1F2A44"/>
            <w:tcMar>
              <w:top w:w="90" w:type="dxa"/>
              <w:start w:w="90" w:type="dxa"/>
              <w:bottom w:w="90" w:type="dxa"/>
              <w:end w:w="90" w:type="dxa"/>
            </w:tcMar>
            <w:vAlign w:val="center"/>
          </w:tcPr>
          <w:p>
            <w:pPr>
              <w:jc w:val="left"/>
            </w:pPr>
            <w:r>
              <w:rPr>
                <w:b/>
                <w:color w:val="FFFFFF"/>
                <w:sz w:val="17"/>
              </w:rPr>
              <w:t>Daily batch system</w:t>
            </w:r>
          </w:p>
        </w:tc>
      </w:tr>
      <w:tr>
        <w:tc>
          <w:tcPr>
            <w:tcW w:type="dxa" w:w="2232"/>
            <w:tcMar>
              <w:top w:w="75" w:type="dxa"/>
              <w:start w:w="90" w:type="dxa"/>
              <w:bottom w:w="75" w:type="dxa"/>
              <w:end w:w="90" w:type="dxa"/>
            </w:tcMar>
            <w:vAlign w:val="center"/>
          </w:tcPr>
          <w:p>
            <w:pPr>
              <w:spacing w:after="0" w:line="240" w:lineRule="auto"/>
            </w:pPr>
            <w:r>
              <w:rPr>
                <w:sz w:val="16"/>
              </w:rPr>
              <w:t>Primary goal</w:t>
            </w:r>
          </w:p>
        </w:tc>
        <w:tc>
          <w:tcPr>
            <w:tcW w:type="dxa" w:w="3672"/>
            <w:tcMar>
              <w:top w:w="75" w:type="dxa"/>
              <w:start w:w="90" w:type="dxa"/>
              <w:bottom w:w="75" w:type="dxa"/>
              <w:end w:w="90" w:type="dxa"/>
            </w:tcMar>
            <w:vAlign w:val="center"/>
          </w:tcPr>
          <w:p>
            <w:pPr>
              <w:spacing w:after="0" w:line="240" w:lineRule="auto"/>
            </w:pPr>
            <w:r>
              <w:rPr>
                <w:sz w:val="16"/>
              </w:rPr>
              <w:t>Fast, fresh customer response</w:t>
            </w:r>
          </w:p>
        </w:tc>
        <w:tc>
          <w:tcPr>
            <w:tcW w:type="dxa" w:w="3672"/>
            <w:tcMar>
              <w:top w:w="75" w:type="dxa"/>
              <w:start w:w="90" w:type="dxa"/>
              <w:bottom w:w="75" w:type="dxa"/>
              <w:end w:w="90" w:type="dxa"/>
            </w:tcMar>
            <w:vAlign w:val="center"/>
          </w:tcPr>
          <w:p>
            <w:pPr>
              <w:spacing w:after="0" w:line="240" w:lineRule="auto"/>
            </w:pPr>
            <w:r>
              <w:rPr>
                <w:sz w:val="16"/>
              </w:rPr>
              <w:t>Comprehensive validated research</w:t>
            </w:r>
          </w:p>
        </w:tc>
      </w:tr>
      <w:tr>
        <w:tc>
          <w:tcPr>
            <w:tcW w:type="dxa" w:w="2232"/>
            <w:tcMar>
              <w:top w:w="75" w:type="dxa"/>
              <w:start w:w="90" w:type="dxa"/>
              <w:bottom w:w="75" w:type="dxa"/>
              <w:end w:w="90" w:type="dxa"/>
            </w:tcMar>
            <w:shd w:fill="F9FAFB"/>
            <w:vAlign w:val="center"/>
          </w:tcPr>
          <w:p>
            <w:pPr>
              <w:spacing w:after="0" w:line="240" w:lineRule="auto"/>
            </w:pPr>
            <w:r>
              <w:rPr>
                <w:sz w:val="16"/>
              </w:rPr>
              <w:t>Expected latency</w:t>
            </w:r>
          </w:p>
        </w:tc>
        <w:tc>
          <w:tcPr>
            <w:tcW w:type="dxa" w:w="3672"/>
            <w:tcMar>
              <w:top w:w="75" w:type="dxa"/>
              <w:start w:w="90" w:type="dxa"/>
              <w:bottom w:w="75" w:type="dxa"/>
              <w:end w:w="90" w:type="dxa"/>
            </w:tcMar>
            <w:shd w:fill="F9FAFB"/>
            <w:vAlign w:val="center"/>
          </w:tcPr>
          <w:p>
            <w:pPr>
              <w:spacing w:after="0" w:line="240" w:lineRule="auto"/>
            </w:pPr>
            <w:r>
              <w:rPr>
                <w:sz w:val="16"/>
              </w:rPr>
              <w:t>Approximately 4-12 seconds</w:t>
            </w:r>
          </w:p>
        </w:tc>
        <w:tc>
          <w:tcPr>
            <w:tcW w:type="dxa" w:w="3672"/>
            <w:tcMar>
              <w:top w:w="75" w:type="dxa"/>
              <w:start w:w="90" w:type="dxa"/>
              <w:bottom w:w="75" w:type="dxa"/>
              <w:end w:w="90" w:type="dxa"/>
            </w:tcMar>
            <w:shd w:fill="F9FAFB"/>
            <w:vAlign w:val="center"/>
          </w:tcPr>
          <w:p>
            <w:pPr>
              <w:spacing w:after="0" w:line="240" w:lineRule="auto"/>
            </w:pPr>
            <w:r>
              <w:rPr>
                <w:sz w:val="16"/>
              </w:rPr>
              <w:t>Approximately 30-90 minutes</w:t>
            </w:r>
          </w:p>
        </w:tc>
      </w:tr>
      <w:tr>
        <w:tc>
          <w:tcPr>
            <w:tcW w:type="dxa" w:w="2232"/>
            <w:tcMar>
              <w:top w:w="75" w:type="dxa"/>
              <w:start w:w="90" w:type="dxa"/>
              <w:bottom w:w="75" w:type="dxa"/>
              <w:end w:w="90" w:type="dxa"/>
            </w:tcMar>
            <w:vAlign w:val="center"/>
          </w:tcPr>
          <w:p>
            <w:pPr>
              <w:spacing w:after="0" w:line="240" w:lineRule="auto"/>
            </w:pPr>
            <w:r>
              <w:rPr>
                <w:sz w:val="16"/>
              </w:rPr>
              <w:t>Execution timing</w:t>
            </w:r>
          </w:p>
        </w:tc>
        <w:tc>
          <w:tcPr>
            <w:tcW w:type="dxa" w:w="3672"/>
            <w:tcMar>
              <w:top w:w="75" w:type="dxa"/>
              <w:start w:w="90" w:type="dxa"/>
              <w:bottom w:w="75" w:type="dxa"/>
              <w:end w:w="90" w:type="dxa"/>
            </w:tcMar>
            <w:vAlign w:val="center"/>
          </w:tcPr>
          <w:p>
            <w:pPr>
              <w:spacing w:after="0" w:line="240" w:lineRule="auto"/>
            </w:pPr>
            <w:r>
              <w:rPr>
                <w:sz w:val="16"/>
              </w:rPr>
              <w:t>On demand</w:t>
            </w:r>
          </w:p>
        </w:tc>
        <w:tc>
          <w:tcPr>
            <w:tcW w:type="dxa" w:w="3672"/>
            <w:tcMar>
              <w:top w:w="75" w:type="dxa"/>
              <w:start w:w="90" w:type="dxa"/>
              <w:bottom w:w="75" w:type="dxa"/>
              <w:end w:w="90" w:type="dxa"/>
            </w:tcMar>
            <w:vAlign w:val="center"/>
          </w:tcPr>
          <w:p>
            <w:pPr>
              <w:spacing w:after="0" w:line="240" w:lineRule="auto"/>
            </w:pPr>
            <w:r>
              <w:rPr>
                <w:sz w:val="16"/>
              </w:rPr>
              <w:t>Scheduled daily</w:t>
            </w:r>
          </w:p>
        </w:tc>
      </w:tr>
      <w:tr>
        <w:tc>
          <w:tcPr>
            <w:tcW w:type="dxa" w:w="2232"/>
            <w:tcMar>
              <w:top w:w="75" w:type="dxa"/>
              <w:start w:w="90" w:type="dxa"/>
              <w:bottom w:w="75" w:type="dxa"/>
              <w:end w:w="90" w:type="dxa"/>
            </w:tcMar>
            <w:shd w:fill="F9FAFB"/>
            <w:vAlign w:val="center"/>
          </w:tcPr>
          <w:p>
            <w:pPr>
              <w:spacing w:after="0" w:line="240" w:lineRule="auto"/>
            </w:pPr>
            <w:r>
              <w:rPr>
                <w:sz w:val="16"/>
              </w:rPr>
              <w:t>Company coverage</w:t>
            </w:r>
          </w:p>
        </w:tc>
        <w:tc>
          <w:tcPr>
            <w:tcW w:type="dxa" w:w="3672"/>
            <w:tcMar>
              <w:top w:w="75" w:type="dxa"/>
              <w:start w:w="90" w:type="dxa"/>
              <w:bottom w:w="75" w:type="dxa"/>
              <w:end w:w="90" w:type="dxa"/>
            </w:tcMar>
            <w:shd w:fill="F9FAFB"/>
            <w:vAlign w:val="center"/>
          </w:tcPr>
          <w:p>
            <w:pPr>
              <w:spacing w:after="0" w:line="240" w:lineRule="auto"/>
            </w:pPr>
            <w:r>
              <w:rPr>
                <w:sz w:val="16"/>
              </w:rPr>
              <w:t>Only companies relevant to the query</w:t>
            </w:r>
          </w:p>
        </w:tc>
        <w:tc>
          <w:tcPr>
            <w:tcW w:type="dxa" w:w="3672"/>
            <w:tcMar>
              <w:top w:w="75" w:type="dxa"/>
              <w:start w:w="90" w:type="dxa"/>
              <w:bottom w:w="75" w:type="dxa"/>
              <w:end w:w="90" w:type="dxa"/>
            </w:tcMar>
            <w:shd w:fill="F9FAFB"/>
            <w:vAlign w:val="center"/>
          </w:tcPr>
          <w:p>
            <w:pPr>
              <w:spacing w:after="0" w:line="240" w:lineRule="auto"/>
            </w:pPr>
            <w:r>
              <w:rPr>
                <w:sz w:val="16"/>
              </w:rPr>
              <w:t>Full supported universe or changed subset</w:t>
            </w:r>
          </w:p>
        </w:tc>
      </w:tr>
      <w:tr>
        <w:tc>
          <w:tcPr>
            <w:tcW w:type="dxa" w:w="2232"/>
            <w:tcMar>
              <w:top w:w="75" w:type="dxa"/>
              <w:start w:w="90" w:type="dxa"/>
              <w:bottom w:w="75" w:type="dxa"/>
              <w:end w:w="90" w:type="dxa"/>
            </w:tcMar>
            <w:vAlign w:val="center"/>
          </w:tcPr>
          <w:p>
            <w:pPr>
              <w:spacing w:after="0" w:line="240" w:lineRule="auto"/>
            </w:pPr>
            <w:r>
              <w:rPr>
                <w:sz w:val="16"/>
              </w:rPr>
              <w:t>Market data</w:t>
            </w:r>
          </w:p>
        </w:tc>
        <w:tc>
          <w:tcPr>
            <w:tcW w:type="dxa" w:w="3672"/>
            <w:tcMar>
              <w:top w:w="75" w:type="dxa"/>
              <w:start w:w="90" w:type="dxa"/>
              <w:bottom w:w="75" w:type="dxa"/>
              <w:end w:w="90" w:type="dxa"/>
            </w:tcMar>
            <w:vAlign w:val="center"/>
          </w:tcPr>
          <w:p>
            <w:pPr>
              <w:spacing w:after="0" w:line="240" w:lineRule="auto"/>
            </w:pPr>
            <w:r>
              <w:rPr>
                <w:sz w:val="16"/>
              </w:rPr>
              <w:t>Refreshed live</w:t>
            </w:r>
          </w:p>
        </w:tc>
        <w:tc>
          <w:tcPr>
            <w:tcW w:type="dxa" w:w="3672"/>
            <w:tcMar>
              <w:top w:w="75" w:type="dxa"/>
              <w:start w:w="90" w:type="dxa"/>
              <w:bottom w:w="75" w:type="dxa"/>
              <w:end w:w="90" w:type="dxa"/>
            </w:tcMar>
            <w:vAlign w:val="center"/>
          </w:tcPr>
          <w:p>
            <w:pPr>
              <w:spacing w:after="0" w:line="240" w:lineRule="auto"/>
            </w:pPr>
            <w:r>
              <w:rPr>
                <w:sz w:val="16"/>
              </w:rPr>
              <w:t>Consistent daily snapshot</w:t>
            </w:r>
          </w:p>
        </w:tc>
      </w:tr>
      <w:tr>
        <w:tc>
          <w:tcPr>
            <w:tcW w:type="dxa" w:w="2232"/>
            <w:tcMar>
              <w:top w:w="75" w:type="dxa"/>
              <w:start w:w="90" w:type="dxa"/>
              <w:bottom w:w="75" w:type="dxa"/>
              <w:end w:w="90" w:type="dxa"/>
            </w:tcMar>
            <w:shd w:fill="F9FAFB"/>
            <w:vAlign w:val="center"/>
          </w:tcPr>
          <w:p>
            <w:pPr>
              <w:spacing w:after="0" w:line="240" w:lineRule="auto"/>
            </w:pPr>
            <w:r>
              <w:rPr>
                <w:sz w:val="16"/>
              </w:rPr>
              <w:t>Deep research</w:t>
            </w:r>
          </w:p>
        </w:tc>
        <w:tc>
          <w:tcPr>
            <w:tcW w:type="dxa" w:w="3672"/>
            <w:tcMar>
              <w:top w:w="75" w:type="dxa"/>
              <w:start w:w="90" w:type="dxa"/>
              <w:bottom w:w="75" w:type="dxa"/>
              <w:end w:w="90" w:type="dxa"/>
            </w:tcMar>
            <w:shd w:fill="F9FAFB"/>
            <w:vAlign w:val="center"/>
          </w:tcPr>
          <w:p>
            <w:pPr>
              <w:spacing w:after="0" w:line="240" w:lineRule="auto"/>
            </w:pPr>
            <w:r>
              <w:rPr>
                <w:sz w:val="16"/>
              </w:rPr>
              <w:t>Selective and event-driven</w:t>
            </w:r>
          </w:p>
        </w:tc>
        <w:tc>
          <w:tcPr>
            <w:tcW w:type="dxa" w:w="3672"/>
            <w:tcMar>
              <w:top w:w="75" w:type="dxa"/>
              <w:start w:w="90" w:type="dxa"/>
              <w:bottom w:w="75" w:type="dxa"/>
              <w:end w:w="90" w:type="dxa"/>
            </w:tcMar>
            <w:shd w:fill="F9FAFB"/>
            <w:vAlign w:val="center"/>
          </w:tcPr>
          <w:p>
            <w:pPr>
              <w:spacing w:after="0" w:line="240" w:lineRule="auto"/>
            </w:pPr>
            <w:r>
              <w:rPr>
                <w:sz w:val="16"/>
              </w:rPr>
              <w:t>Comprehensive or change-driven</w:t>
            </w:r>
          </w:p>
        </w:tc>
      </w:tr>
      <w:tr>
        <w:tc>
          <w:tcPr>
            <w:tcW w:type="dxa" w:w="2232"/>
            <w:tcMar>
              <w:top w:w="75" w:type="dxa"/>
              <w:start w:w="90" w:type="dxa"/>
              <w:bottom w:w="75" w:type="dxa"/>
              <w:end w:w="90" w:type="dxa"/>
            </w:tcMar>
            <w:vAlign w:val="center"/>
          </w:tcPr>
          <w:p>
            <w:pPr>
              <w:spacing w:after="0" w:line="240" w:lineRule="auto"/>
            </w:pPr>
            <w:r>
              <w:rPr>
                <w:sz w:val="16"/>
              </w:rPr>
              <w:t>LLM context</w:t>
            </w:r>
          </w:p>
        </w:tc>
        <w:tc>
          <w:tcPr>
            <w:tcW w:type="dxa" w:w="3672"/>
            <w:tcMar>
              <w:top w:w="75" w:type="dxa"/>
              <w:start w:w="90" w:type="dxa"/>
              <w:bottom w:w="75" w:type="dxa"/>
              <w:end w:w="90" w:type="dxa"/>
            </w:tcMar>
            <w:vAlign w:val="center"/>
          </w:tcPr>
          <w:p>
            <w:pPr>
              <w:spacing w:after="0" w:line="240" w:lineRule="auto"/>
            </w:pPr>
            <w:r>
              <w:rPr>
                <w:sz w:val="16"/>
              </w:rPr>
              <w:t>Small and focused</w:t>
            </w:r>
          </w:p>
        </w:tc>
        <w:tc>
          <w:tcPr>
            <w:tcW w:type="dxa" w:w="3672"/>
            <w:tcMar>
              <w:top w:w="75" w:type="dxa"/>
              <w:start w:w="90" w:type="dxa"/>
              <w:bottom w:w="75" w:type="dxa"/>
              <w:end w:w="90" w:type="dxa"/>
            </w:tcMar>
            <w:vAlign w:val="center"/>
          </w:tcPr>
          <w:p>
            <w:pPr>
              <w:spacing w:after="0" w:line="240" w:lineRule="auto"/>
            </w:pPr>
            <w:r>
              <w:rPr>
                <w:sz w:val="16"/>
              </w:rPr>
              <w:t>Multiple bounded research and synthesis calls</w:t>
            </w:r>
          </w:p>
        </w:tc>
      </w:tr>
      <w:tr>
        <w:tc>
          <w:tcPr>
            <w:tcW w:type="dxa" w:w="2232"/>
            <w:tcMar>
              <w:top w:w="75" w:type="dxa"/>
              <w:start w:w="90" w:type="dxa"/>
              <w:bottom w:w="75" w:type="dxa"/>
              <w:end w:w="90" w:type="dxa"/>
            </w:tcMar>
            <w:shd w:fill="F9FAFB"/>
            <w:vAlign w:val="center"/>
          </w:tcPr>
          <w:p>
            <w:pPr>
              <w:spacing w:after="0" w:line="240" w:lineRule="auto"/>
            </w:pPr>
            <w:r>
              <w:rPr>
                <w:sz w:val="16"/>
              </w:rPr>
              <w:t>Failure behavior</w:t>
            </w:r>
          </w:p>
        </w:tc>
        <w:tc>
          <w:tcPr>
            <w:tcW w:type="dxa" w:w="3672"/>
            <w:tcMar>
              <w:top w:w="75" w:type="dxa"/>
              <w:start w:w="90" w:type="dxa"/>
              <w:bottom w:w="75" w:type="dxa"/>
              <w:end w:w="90" w:type="dxa"/>
            </w:tcMar>
            <w:shd w:fill="F9FAFB"/>
            <w:vAlign w:val="center"/>
          </w:tcPr>
          <w:p>
            <w:pPr>
              <w:spacing w:after="0" w:line="240" w:lineRule="auto"/>
            </w:pPr>
            <w:r>
              <w:rPr>
                <w:sz w:val="16"/>
              </w:rPr>
              <w:t>Best available answer with freshness warning</w:t>
            </w:r>
          </w:p>
        </w:tc>
        <w:tc>
          <w:tcPr>
            <w:tcW w:type="dxa" w:w="3672"/>
            <w:tcMar>
              <w:top w:w="75" w:type="dxa"/>
              <w:start w:w="90" w:type="dxa"/>
              <w:bottom w:w="75" w:type="dxa"/>
              <w:end w:w="90" w:type="dxa"/>
            </w:tcMar>
            <w:shd w:fill="F9FAFB"/>
            <w:vAlign w:val="center"/>
          </w:tcPr>
          <w:p>
            <w:pPr>
              <w:spacing w:after="0" w:line="240" w:lineRule="auto"/>
            </w:pPr>
            <w:r>
              <w:rPr>
                <w:sz w:val="16"/>
              </w:rPr>
              <w:t>Retry, skip, record, and continue</w:t>
            </w:r>
          </w:p>
        </w:tc>
      </w:tr>
      <w:tr>
        <w:tc>
          <w:tcPr>
            <w:tcW w:type="dxa" w:w="2232"/>
            <w:tcMar>
              <w:top w:w="75" w:type="dxa"/>
              <w:start w:w="90" w:type="dxa"/>
              <w:bottom w:w="75" w:type="dxa"/>
              <w:end w:w="90" w:type="dxa"/>
            </w:tcMar>
            <w:vAlign w:val="center"/>
          </w:tcPr>
          <w:p>
            <w:pPr>
              <w:spacing w:after="0" w:line="240" w:lineRule="auto"/>
            </w:pPr>
            <w:r>
              <w:rPr>
                <w:sz w:val="16"/>
              </w:rPr>
              <w:t>Output</w:t>
            </w:r>
          </w:p>
        </w:tc>
        <w:tc>
          <w:tcPr>
            <w:tcW w:type="dxa" w:w="3672"/>
            <w:tcMar>
              <w:top w:w="75" w:type="dxa"/>
              <w:start w:w="90" w:type="dxa"/>
              <w:bottom w:w="75" w:type="dxa"/>
              <w:end w:w="90" w:type="dxa"/>
            </w:tcMar>
            <w:vAlign w:val="center"/>
          </w:tcPr>
          <w:p>
            <w:pPr>
              <w:spacing w:after="0" w:line="240" w:lineRule="auto"/>
            </w:pPr>
            <w:r>
              <w:rPr>
                <w:sz w:val="16"/>
              </w:rPr>
              <w:t>Direct conversational answer</w:t>
            </w:r>
          </w:p>
        </w:tc>
        <w:tc>
          <w:tcPr>
            <w:tcW w:type="dxa" w:w="3672"/>
            <w:tcMar>
              <w:top w:w="75" w:type="dxa"/>
              <w:start w:w="90" w:type="dxa"/>
              <w:bottom w:w="75" w:type="dxa"/>
              <w:end w:w="90" w:type="dxa"/>
            </w:tcMar>
            <w:vAlign w:val="center"/>
          </w:tcPr>
          <w:p>
            <w:pPr>
              <w:spacing w:after="0" w:line="240" w:lineRule="auto"/>
            </w:pPr>
            <w:r>
              <w:rPr>
                <w:sz w:val="16"/>
              </w:rPr>
              <w:t>Versioned intelligence dataset and reports</w:t>
            </w:r>
          </w:p>
        </w:tc>
      </w:tr>
      <w:tr>
        <w:tc>
          <w:tcPr>
            <w:tcW w:type="dxa" w:w="2232"/>
            <w:tcMar>
              <w:top w:w="75" w:type="dxa"/>
              <w:start w:w="90" w:type="dxa"/>
              <w:bottom w:w="75" w:type="dxa"/>
              <w:end w:w="90" w:type="dxa"/>
            </w:tcMar>
            <w:shd w:fill="F9FAFB"/>
            <w:vAlign w:val="center"/>
          </w:tcPr>
          <w:p>
            <w:pPr>
              <w:spacing w:after="0" w:line="240" w:lineRule="auto"/>
            </w:pPr>
            <w:r>
              <w:rPr>
                <w:sz w:val="16"/>
              </w:rPr>
              <w:t>Freshness guarantee</w:t>
            </w:r>
          </w:p>
        </w:tc>
        <w:tc>
          <w:tcPr>
            <w:tcW w:type="dxa" w:w="3672"/>
            <w:tcMar>
              <w:top w:w="75" w:type="dxa"/>
              <w:start w:w="90" w:type="dxa"/>
              <w:bottom w:w="75" w:type="dxa"/>
              <w:end w:w="90" w:type="dxa"/>
            </w:tcMar>
            <w:shd w:fill="F9FAFB"/>
            <w:vAlign w:val="center"/>
          </w:tcPr>
          <w:p>
            <w:pPr>
              <w:spacing w:after="0" w:line="240" w:lineRule="auto"/>
            </w:pPr>
            <w:r>
              <w:rPr>
                <w:sz w:val="16"/>
              </w:rPr>
              <w:t>Live volatile refresh</w:t>
            </w:r>
          </w:p>
        </w:tc>
        <w:tc>
          <w:tcPr>
            <w:tcW w:type="dxa" w:w="3672"/>
            <w:tcMar>
              <w:top w:w="75" w:type="dxa"/>
              <w:start w:w="90" w:type="dxa"/>
              <w:bottom w:w="75" w:type="dxa"/>
              <w:end w:w="90" w:type="dxa"/>
            </w:tcMar>
            <w:shd w:fill="F9FAFB"/>
            <w:vAlign w:val="center"/>
          </w:tcPr>
          <w:p>
            <w:pPr>
              <w:spacing w:after="0" w:line="240" w:lineRule="auto"/>
            </w:pPr>
            <w:r>
              <w:rPr>
                <w:sz w:val="16"/>
              </w:rPr>
              <w:t>Daily snapshot with explicit cutoffs</w:t>
            </w:r>
          </w:p>
        </w:tc>
      </w:tr>
    </w:tbl>
    <w:p>
      <w:pPr>
        <w:pStyle w:val="Heading1"/>
        <w:pBdr>
          <w:bottom w:val="single" w:sz="12" w:space="3" w:color="E7792B"/>
        </w:pBdr>
        <w:keepLines/>
      </w:pPr>
      <w:r>
        <w:t>8. Operating Metrics and Quality Gates</w:t>
      </w:r>
    </w:p>
    <w:p>
      <w:pPr>
        <w:pStyle w:val="Heading2"/>
        <w:keepLines/>
      </w:pPr>
      <w:r>
        <w:t>8.1 Interactive metrics</w:t>
      </w:r>
    </w:p>
    <w:p>
      <w:pPr>
        <w:pStyle w:val="ListBullet"/>
        <w:spacing w:after="50"/>
        <w:ind w:left="346" w:hanging="202"/>
        <w:keepLines/>
        <w:keepLines/>
      </w:pPr>
      <w:r>
        <w:t>Time to first token: p50, p90, and p95.</w:t>
      </w:r>
    </w:p>
    <w:p>
      <w:pPr>
        <w:pStyle w:val="ListBullet"/>
        <w:spacing w:after="50"/>
        <w:ind w:left="346" w:hanging="202"/>
        <w:keepLines/>
        <w:keepLines/>
      </w:pPr>
      <w:r>
        <w:t>End-to-end response latency by query size.</w:t>
      </w:r>
    </w:p>
    <w:p>
      <w:pPr>
        <w:pStyle w:val="ListBullet"/>
        <w:spacing w:after="50"/>
        <w:ind w:left="346" w:hanging="202"/>
        <w:keepLines/>
        <w:keepLines/>
      </w:pPr>
      <w:r>
        <w:t>Live refresh success and timeout rate.</w:t>
      </w:r>
    </w:p>
    <w:p>
      <w:pPr>
        <w:pStyle w:val="ListBullet"/>
        <w:spacing w:after="50"/>
        <w:ind w:left="346" w:hanging="202"/>
        <w:keepLines/>
        <w:keepLines/>
      </w:pPr>
      <w:r>
        <w:t>Percentage of answers using stale evidence.</w:t>
      </w:r>
    </w:p>
    <w:p>
      <w:pPr>
        <w:pStyle w:val="ListBullet"/>
        <w:spacing w:after="50"/>
        <w:ind w:left="346" w:hanging="202"/>
        <w:keepLines/>
        <w:keepLines/>
      </w:pPr>
      <w:r>
        <w:t>Material-change detection rate and override rate.</w:t>
      </w:r>
    </w:p>
    <w:p>
      <w:pPr>
        <w:pStyle w:val="ListBullet"/>
        <w:spacing w:after="50"/>
        <w:ind w:left="346" w:hanging="202"/>
        <w:keepLines/>
        <w:keepLines/>
      </w:pPr>
      <w:r>
        <w:t>Customer follow-up success and answer groundedness.</w:t>
      </w:r>
    </w:p>
    <w:p>
      <w:pPr>
        <w:pStyle w:val="Heading2"/>
        <w:keepLines/>
      </w:pPr>
      <w:r>
        <w:t>8.2 Batch metrics</w:t>
      </w:r>
    </w:p>
    <w:p>
      <w:pPr>
        <w:pStyle w:val="ListBullet"/>
        <w:spacing w:after="50"/>
        <w:ind w:left="346" w:hanging="202"/>
        <w:keepLines/>
        <w:keepLines/>
      </w:pPr>
      <w:r>
        <w:t>Batch completion time and publication-deadline success.</w:t>
      </w:r>
    </w:p>
    <w:p>
      <w:pPr>
        <w:pStyle w:val="ListBullet"/>
        <w:spacing w:after="50"/>
        <w:ind w:left="346" w:hanging="202"/>
        <w:keepLines/>
        <w:keepLines/>
      </w:pPr>
      <w:r>
        <w:t>Per-company p50, p90, and p95 processing latency.</w:t>
      </w:r>
    </w:p>
    <w:p>
      <w:pPr>
        <w:pStyle w:val="ListBullet"/>
        <w:spacing w:after="50"/>
        <w:ind w:left="346" w:hanging="202"/>
        <w:keepLines/>
        <w:keepLines/>
      </w:pPr>
      <w:r>
        <w:t>Retry, correction, failure, and skip rates.</w:t>
      </w:r>
    </w:p>
    <w:p>
      <w:pPr>
        <w:pStyle w:val="ListBullet"/>
        <w:spacing w:after="50"/>
        <w:ind w:left="346" w:hanging="202"/>
        <w:keepLines/>
        <w:keepLines/>
      </w:pPr>
      <w:r>
        <w:t>Number of reused versus recomputed company records.</w:t>
      </w:r>
    </w:p>
    <w:p>
      <w:pPr>
        <w:pStyle w:val="ListBullet"/>
        <w:spacing w:after="50"/>
        <w:ind w:left="346" w:hanging="202"/>
        <w:keepLines/>
        <w:keepLines/>
      </w:pPr>
      <w:r>
        <w:t>Citation-validation success and grounding-warning rate.</w:t>
      </w:r>
    </w:p>
    <w:p>
      <w:pPr>
        <w:pStyle w:val="ListBullet"/>
        <w:spacing w:after="50"/>
        <w:ind w:left="346" w:hanging="202"/>
        <w:keepLines/>
        <w:keepLines/>
      </w:pPr>
      <w:r>
        <w:t>Snapshot-to-publication age and next-session freshness.</w:t>
      </w:r>
    </w:p>
    <w:p>
      <w:pPr>
        <w:pStyle w:val="Heading2"/>
        <w:keepLines/>
      </w:pPr>
      <w:r>
        <w:t>8.3 Quality gates</w:t>
      </w:r>
    </w:p>
    <w:p>
      <w:pPr>
        <w:pStyle w:val="ListNumber"/>
        <w:spacing w:after="50"/>
        <w:ind w:left="403" w:hanging="230"/>
        <w:keepLines/>
        <w:keepLines/>
      </w:pPr>
      <w:r>
        <w:t>Every answer must expose the timestamps of material data categories.</w:t>
      </w:r>
    </w:p>
    <w:p>
      <w:pPr>
        <w:pStyle w:val="ListNumber"/>
        <w:spacing w:after="50"/>
        <w:ind w:left="403" w:hanging="230"/>
        <w:keepLines/>
        <w:keepLines/>
      </w:pPr>
      <w:r>
        <w:t>A materially changed company cannot silently reuse a stale recommendation.</w:t>
      </w:r>
    </w:p>
    <w:p>
      <w:pPr>
        <w:pStyle w:val="ListNumber"/>
        <w:spacing w:after="50"/>
        <w:ind w:left="403" w:hanging="230"/>
        <w:keepLines/>
        <w:keepLines/>
      </w:pPr>
      <w:r>
        <w:t>A failed batch company must remain visible in quality metadata.</w:t>
      </w:r>
    </w:p>
    <w:p>
      <w:pPr>
        <w:pStyle w:val="ListNumber"/>
        <w:spacing w:after="50"/>
        <w:ind w:left="403" w:hanging="230"/>
        <w:keepLines/>
        <w:keepLines/>
      </w:pPr>
      <w:r>
        <w:t>The interactive system must not launch full-universe research inside a standard customer request.</w:t>
      </w:r>
    </w:p>
    <w:p>
      <w:pPr>
        <w:pStyle w:val="ListNumber"/>
        <w:spacing w:after="50"/>
        <w:ind w:left="403" w:hanging="230"/>
        <w:keepLines/>
        <w:keepLines/>
      </w:pPr>
      <w:r>
        <w:t>All generated recommendations must identify the intelligence version and current live refresh status.</w:t>
      </w:r>
    </w:p>
    <w:p>
      <w:pPr>
        <w:pStyle w:val="Heading1"/>
        <w:pBdr>
          <w:bottom w:val="single" w:sz="12" w:space="3" w:color="E7792B"/>
        </w:pBdr>
        <w:keepLines/>
      </w:pPr>
      <w:r>
        <w:t>9. Final Recommendation</w:t>
      </w:r>
    </w:p>
    <w:p>
      <w:pPr>
        <w:keepLines/>
        <w:keepLines/>
      </w:pPr>
      <w:r>
        <w:t>The customer-facing system should never wait for the complete daily research workflow. It should retrieve the latest validated company intelligence, refresh current market and news data, detect material changes, recalculate only affected values, and generate a focused answer within seconds.</w:t>
      </w:r>
    </w:p>
    <w:p>
      <w:pPr>
        <w:keepLines/>
        <w:keepLines/>
      </w:pPr>
      <w:r>
        <w:t>The daily batch should build a consistent company snapshot, perform expensive research and validation, calculate rankings and recommendations, and publish a versioned intelligence baseline for the next day.</w:t>
      </w:r>
    </w:p>
    <w:tbl>
      <w:tblPr>
        <w:tblW w:type="auto" w:w="0"/>
        <w:jc w:val="center"/>
        <w:tblLayout w:type="fixed"/>
        <w:tblLook w:firstColumn="1" w:firstRow="1" w:lastColumn="0" w:lastRow="0" w:noHBand="0" w:noVBand="1" w:val="04A0"/>
      </w:tblPr>
      <w:tblGrid>
        <w:gridCol w:w="9792"/>
      </w:tblGrid>
      <w:tr>
        <w:tc>
          <w:tcPr>
            <w:tcW w:type="dxa" w:w="10166"/>
            <w:shd w:fill="FFF1E8"/>
            <w:tcBorders>
              <w:top w:val="single" w:sz="4" w:color="FFF1E8"/>
              <w:left w:val="single" w:sz="18" w:color="E7792B"/>
              <w:bottom w:val="single" w:sz="4" w:color="FFF1E8"/>
              <w:right w:val="single" w:sz="4" w:color="FFF1E8"/>
            </w:tcBorders>
            <w:tcMar>
              <w:top w:w="120" w:type="dxa"/>
              <w:start w:w="160" w:type="dxa"/>
              <w:bottom w:w="120" w:type="dxa"/>
              <w:end w:w="160" w:type="dxa"/>
            </w:tcMar>
          </w:tcPr>
          <w:p>
            <w:pPr>
              <w:pStyle w:val="Callout"/>
            </w:pPr>
            <w:r>
              <w:t>The batch system creates depth. The interactive system creates speed and freshness.</w:t>
            </w:r>
          </w:p>
        </w:tc>
      </w:tr>
    </w:tbl>
    <w:p>
      <w:pPr>
        <w:pStyle w:val="Heading2"/>
        <w:keepLines/>
      </w:pPr>
      <w:r>
        <w:t>Relationship to SCALE-02</w:t>
      </w:r>
    </w:p>
    <w:p>
      <w:pPr>
        <w:keepLines/>
        <w:keepLines/>
      </w:pPr>
      <w:r>
        <w:t>SCALE-02 remains useful as the daily batch intelligence layer. Its per-company isolation, retry-then-skip behavior, batched map-reduce synthesis, and lightweight grounding checks should be retained. The architectural change is that this work is no longer performed inside the customer request path.</w:t>
      </w:r>
    </w:p>
    <w:p>
      <w:pPr>
        <w:spacing w:before="240"/>
        <w:keepLines/>
      </w:pPr>
      <w:r>
        <w:rPr>
          <w:i/>
          <w:color w:val="667085"/>
          <w:sz w:val="16"/>
        </w:rPr>
        <w:t>Prepared for JHU Project 2</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0D5DD"/>
      </w:pBdr>
    </w:pPr>
    <w:r>
      <w:rPr>
        <w:b/>
        <w:color w:val="667085"/>
        <w:sz w:val="16"/>
      </w:rPr>
      <w:t>JHU Project 2  |  Investment Research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9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A44"/>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F5DA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D293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i/>
      <w:iCs/>
      <w:color w:val="6670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Diagram">
    <w:name w:val="Architecture Diagram"/>
    <w:pPr>
      <w:spacing w:before="100" w:after="140" w:line="240" w:lineRule="auto"/>
      <w:ind w:left="216" w:right="216"/>
    </w:pPr>
    <w:rPr>
      <w:rFonts w:ascii="Liberation Mono" w:hAnsi="Liberation Mono"/>
      <w:color w:val="1D2939"/>
      <w:sz w:val="16"/>
    </w:rPr>
  </w:style>
  <w:style w:type="paragraph" w:customStyle="1" w:styleId="Callout">
    <w:name w:val="Callout"/>
    <w:pPr>
      <w:spacing w:before="160" w:after="160"/>
      <w:ind w:left="360" w:right="360"/>
    </w:pPr>
    <w:rPr>
      <w:rFonts w:ascii="Aptos" w:hAnsi="Aptos"/>
      <w:b/>
      <w:color w:val="1F2A4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Two-System Investment Research Architecture</dc:title>
  <dc:subject>Fast customer-facing search and daily intelligence batch architecture</dc:subject>
  <dc:creator>OpenAI</dc:creator>
  <cp:keywords>investment research, system design, daily batch, interactive search, freshness, latency</cp:keywords>
  <dc:description>generated by python-docx</dc:description>
  <cp:lastModifiedBy/>
  <cp:revision>1</cp:revision>
  <dcterms:created xsi:type="dcterms:W3CDTF">2013-12-23T23:15:00Z</dcterms:created>
  <dcterms:modified xsi:type="dcterms:W3CDTF">2013-12-23T23:15:00Z</dcterms:modified>
  <cp:category/>
</cp:coreProperties>
</file>