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XVII – Plan de Riesgos</w:t>
      </w:r>
    </w:p>
    <w:p>
      <w:r>
        <w:t>El Plan de Riesgos representa un componente esencial en la planificación del desarrollo de la aplicación móvil, ya que permite anticipar, evaluar y gestionar eventos que podrían afectar la calidad, seguridad, cronograma o despliegue del proyecto. A continuación, se presenta una matriz extendida de riesgos que incluye su clasificación, nivel de impacto, probabilidad y las estrategias de respuesta propuestas, permitiendo al desarrollador tomar decisiones informadas ante posibles contingencias o desviaciones en la ejecución del proyecto.</w:t>
      </w:r>
    </w:p>
    <w:p>
      <w:r>
        <w:t>Tabla 17‑1. Matriz de Riesgos del proyecto.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Estrategia (respuesta)</w:t>
            </w:r>
          </w:p>
        </w:tc>
      </w:tr>
      <w:tr>
        <w:tc>
          <w:tcPr>
            <w:tcW w:type="dxa" w:w="1440"/>
          </w:tcPr>
          <w:p>
            <w:r>
              <w:t>R1</w:t>
            </w:r>
          </w:p>
        </w:tc>
        <w:tc>
          <w:tcPr>
            <w:tcW w:type="dxa" w:w="1440"/>
          </w:tcPr>
          <w:p>
            <w:r>
              <w:t>Técnico</w:t>
            </w:r>
          </w:p>
        </w:tc>
        <w:tc>
          <w:tcPr>
            <w:tcW w:type="dxa" w:w="1440"/>
          </w:tcPr>
          <w:p>
            <w:r>
              <w:t>Curva de aprendizaje en React Native puede retrasar la implementación de la UI nativa</w:t>
            </w:r>
          </w:p>
        </w:tc>
        <w:tc>
          <w:tcPr>
            <w:tcW w:type="dxa" w:w="1440"/>
            <w:shd w:fill="FFFF99"/>
          </w:tcPr>
          <w:p>
            <w:r>
              <w:t>Media</w:t>
            </w:r>
          </w:p>
        </w:tc>
        <w:tc>
          <w:tcPr>
            <w:tcW w:type="dxa" w:w="1440"/>
            <w:shd w:fill="FFC00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Mitigar: realizar un spike técnico de 3 días; usar Expo y componentes comunitarios</w:t>
            </w:r>
          </w:p>
        </w:tc>
      </w:tr>
      <w:tr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Calidad</w:t>
            </w:r>
          </w:p>
        </w:tc>
        <w:tc>
          <w:tcPr>
            <w:tcW w:type="dxa" w:w="1440"/>
          </w:tcPr>
          <w:p>
            <w:r>
              <w:t>Cobertura de pruebas insuficiente incrementa errores en producción</w:t>
            </w:r>
          </w:p>
        </w:tc>
        <w:tc>
          <w:tcPr>
            <w:tcW w:type="dxa" w:w="1440"/>
            <w:shd w:fill="FFFF99"/>
          </w:tcPr>
          <w:p>
            <w:r>
              <w:t>Media</w:t>
            </w:r>
          </w:p>
        </w:tc>
        <w:tc>
          <w:tcPr>
            <w:tcW w:type="dxa" w:w="1440"/>
            <w:shd w:fill="FFFF99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Mitigar: meta ≥ 60 % cobertura; pipeline bloquea merges sin tests</w:t>
            </w:r>
          </w:p>
        </w:tc>
      </w:tr>
      <w:tr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Cronograma</w:t>
            </w:r>
          </w:p>
        </w:tc>
        <w:tc>
          <w:tcPr>
            <w:tcW w:type="dxa" w:w="1440"/>
          </w:tcPr>
          <w:p>
            <w:r>
              <w:t>Sobrecarga del tesista durante exámenes impacta la velocidad del sprint</w:t>
            </w:r>
          </w:p>
        </w:tc>
        <w:tc>
          <w:tcPr>
            <w:tcW w:type="dxa" w:w="1440"/>
            <w:shd w:fill="FFC000"/>
          </w:tcPr>
          <w:p>
            <w:r>
              <w:t>Alta</w:t>
            </w:r>
          </w:p>
        </w:tc>
        <w:tc>
          <w:tcPr>
            <w:tcW w:type="dxa" w:w="1440"/>
            <w:shd w:fill="FFC00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Evitar: reservar buffer del 20 % por sprint; priorizar historias “must have”</w:t>
            </w:r>
          </w:p>
        </w:tc>
      </w:tr>
      <w:tr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Integración</w:t>
            </w:r>
          </w:p>
        </w:tc>
        <w:tc>
          <w:tcPr>
            <w:tcW w:type="dxa" w:w="1440"/>
          </w:tcPr>
          <w:p>
            <w:r>
              <w:t>Cambios en políticas de Google Play retrasan la publicación beta</w:t>
            </w:r>
          </w:p>
        </w:tc>
        <w:tc>
          <w:tcPr>
            <w:tcW w:type="dxa" w:w="1440"/>
            <w:shd w:fill="92D050"/>
          </w:tcPr>
          <w:p>
            <w:r>
              <w:t>Baja</w:t>
            </w:r>
          </w:p>
        </w:tc>
        <w:tc>
          <w:tcPr>
            <w:tcW w:type="dxa" w:w="1440"/>
            <w:shd w:fill="FFC00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Contingencia: distribuir APK side-load; monitorear blogs oficiales</w:t>
            </w:r>
          </w:p>
        </w:tc>
      </w:tr>
      <w:tr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Seguridad</w:t>
            </w:r>
          </w:p>
        </w:tc>
        <w:tc>
          <w:tcPr>
            <w:tcW w:type="dxa" w:w="1440"/>
          </w:tcPr>
          <w:p>
            <w:r>
              <w:t>Filtración de datos personales de adoptantes</w:t>
            </w:r>
          </w:p>
        </w:tc>
        <w:tc>
          <w:tcPr>
            <w:tcW w:type="dxa" w:w="1440"/>
            <w:shd w:fill="92D050"/>
          </w:tcPr>
          <w:p>
            <w:r>
              <w:t>Baja</w:t>
            </w:r>
          </w:p>
        </w:tc>
        <w:tc>
          <w:tcPr>
            <w:tcW w:type="dxa" w:w="1440"/>
            <w:shd w:fill="FF0000"/>
          </w:tcPr>
          <w:p>
            <w:r>
              <w:t>Muy alta</w:t>
            </w:r>
          </w:p>
        </w:tc>
        <w:tc>
          <w:tcPr>
            <w:tcW w:type="dxa" w:w="1440"/>
          </w:tcPr>
          <w:p>
            <w:r>
              <w:t>Mitigar: HTTPS, JWT, roles mínimos; pruebas OWASP Mobile Top 10</w:t>
            </w:r>
          </w:p>
        </w:tc>
      </w:tr>
      <w:tr>
        <w:tc>
          <w:tcPr>
            <w:tcW w:type="dxa" w:w="1440"/>
          </w:tcPr>
          <w:p>
            <w:r>
              <w:t>R6</w:t>
            </w:r>
          </w:p>
        </w:tc>
        <w:tc>
          <w:tcPr>
            <w:tcW w:type="dxa" w:w="1440"/>
          </w:tcPr>
          <w:p>
            <w:r>
              <w:t>Datos</w:t>
            </w:r>
          </w:p>
        </w:tc>
        <w:tc>
          <w:tcPr>
            <w:tcW w:type="dxa" w:w="1440"/>
          </w:tcPr>
          <w:p>
            <w:r>
              <w:t>Pérdida de la base PostgreSQL en Railway</w:t>
            </w:r>
          </w:p>
        </w:tc>
        <w:tc>
          <w:tcPr>
            <w:tcW w:type="dxa" w:w="1440"/>
            <w:shd w:fill="92D050"/>
          </w:tcPr>
          <w:p>
            <w:r>
              <w:t>Baja</w:t>
            </w:r>
          </w:p>
        </w:tc>
        <w:tc>
          <w:tcPr>
            <w:tcW w:type="dxa" w:w="1440"/>
            <w:shd w:fill="FFC00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Mitigar: backups diarios; restauración probada 1 vez por sprint</w:t>
            </w:r>
          </w:p>
        </w:tc>
      </w:tr>
      <w:tr>
        <w:tc>
          <w:tcPr>
            <w:tcW w:type="dxa" w:w="1440"/>
          </w:tcPr>
          <w:p>
            <w:r>
              <w:t>R7</w:t>
            </w:r>
          </w:p>
        </w:tc>
        <w:tc>
          <w:tcPr>
            <w:tcW w:type="dxa" w:w="1440"/>
          </w:tcPr>
          <w:p>
            <w:r>
              <w:t>Adopción</w:t>
            </w:r>
          </w:p>
        </w:tc>
        <w:tc>
          <w:tcPr>
            <w:tcW w:type="dxa" w:w="1440"/>
          </w:tcPr>
          <w:p>
            <w:r>
              <w:t>Baja participación de usuarios piloto (refugios/adoptantes)</w:t>
            </w:r>
          </w:p>
        </w:tc>
        <w:tc>
          <w:tcPr>
            <w:tcW w:type="dxa" w:w="1440"/>
            <w:shd w:fill="FFFF99"/>
          </w:tcPr>
          <w:p>
            <w:r>
              <w:t>Media</w:t>
            </w:r>
          </w:p>
        </w:tc>
        <w:tc>
          <w:tcPr>
            <w:tcW w:type="dxa" w:w="1440"/>
            <w:shd w:fill="FFFF99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Mitigar: convenio con 2 refugios; incentivos de difusión en redes</w:t>
            </w:r>
          </w:p>
        </w:tc>
      </w:tr>
    </w:tbl>
    <w:p>
      <w:r>
        <w:t>Fuente: Elaboración propia a partir del análisis de riesgos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