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故障沟通口径</w:t>
      </w:r>
    </w:p>
    <w:p>
      <w:r>
        <w:rPr>
          <w:sz w:val="18"/>
        </w:rPr>
        <w:t>OPS-OP-COMMS-TONE | OPERATION_PROCESS | PLATFORM | 运维部 | INFO | 2026-10-03</w:t>
      </w:r>
    </w:p>
    <w:p>
      <w:pPr>
        <w:pStyle w:val="Heading2"/>
      </w:pPr>
      <w:r>
        <w:t>对员工可说</w:t>
      </w:r>
    </w:p>
    <w:p>
      <w:r>
        <w:t>可以说明影响面、是否已知、请提供时间窗与 request_id、已建单编号（真实检索到的）。可以说「正在按手册排查」。</w:t>
      </w:r>
    </w:p>
    <w:p>
      <w:pPr>
        <w:pStyle w:val="Heading2"/>
      </w:pPr>
      <w:r>
        <w:t>禁止承诺</w:t>
      </w:r>
    </w:p>
    <w:p>
      <w:r>
        <w:t>禁止承诺未证实根因、禁止给出具体恢复时刻除非值班已确认、禁止把内部猜测当公告。</w:t>
      </w:r>
    </w:p>
    <w:p>
      <w:pPr>
        <w:pStyle w:val="Heading2"/>
      </w:pPr>
      <w:r>
        <w:t>禁止泄露</w:t>
      </w:r>
    </w:p>
    <w:p>
      <w:r>
        <w:t>禁止在对员工回复中粘贴内部主机名清单、密钥、完整日志。安全红线见安全规范。</w:t>
      </w:r>
    </w:p>
    <w:p>
      <w:pPr>
        <w:pStyle w:val="Heading2"/>
      </w:pPr>
      <w:r>
        <w:t>与 Agent</w:t>
      </w:r>
    </w:p>
    <w:p>
      <w:r>
        <w:t>Agent 依据是知识 snippet 与 Tool 结果。无命中须声明依据不足，不得用常识补公司流程。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