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i w:val="0"/>
          <w:color w:val="168C85"/>
        </w:rPr>
        <w:t>BÁO CÁO NGHIÊN CỨU UX &amp; CHIẾN LƯỢC SẢN PHẨM</w:t>
      </w:r>
    </w:p>
    <w:p>
      <w:pPr>
        <w:pStyle w:val="Title"/>
      </w:pPr>
      <w:r>
        <w:t>NỀN TẢNG TẠO LANDING PAGE SỰ KIỆN CÓ CÁ NHÂN HÓA BẰNG AI</w:t>
      </w:r>
    </w:p>
    <w:p>
      <w:pPr>
        <w:pStyle w:val="Subtitle"/>
      </w:pPr>
      <w:r>
        <w:rPr>
          <w:i w:val="0"/>
        </w:rPr>
        <w:t>Thị trường Việt Nam  |  Giai đoạn tham chiếu 2024–2026</w:t>
      </w:r>
    </w:p>
    <w:p>
      <w:r>
        <w:rPr>
          <w:i/>
          <w:color w:val="536273"/>
        </w:rPr>
        <w:t>Bản hoàn chỉnh đã hiệu chỉnh và bổ sung</w:t>
      </w:r>
    </w:p>
    <w:p>
      <w:r>
        <w:rPr>
          <w:i w:val="0"/>
          <w:color w:val="536273"/>
        </w:rPr>
        <w:t>Ngày biên soạn: 23/10/2026</w:t>
      </w:r>
    </w:p>
    <w:tbl>
      <w:tblPr>
        <w:tblW w:type="auto" w:w="0"/>
        <w:jc w:val="center"/>
        <w:tblLook w:firstColumn="1" w:firstRow="1" w:lastColumn="0" w:lastRow="0" w:noHBand="0" w:noVBand="1" w:val="04A0"/>
      </w:tblPr>
      <w:tblGrid>
        <w:gridCol w:w="9878"/>
      </w:tblGrid>
      <w:tr>
        <w:tc>
          <w:tcPr>
            <w:tcW w:type="dxa" w:w="9878"/>
            <w:shd w:fill="EEF3F8"/>
            <w:tcMar>
              <w:top w:w="150" w:type="dxa"/>
              <w:start w:w="180" w:type="dxa"/>
              <w:bottom w:w="150" w:type="dxa"/>
              <w:end w:w="180" w:type="dxa"/>
            </w:tcMar>
          </w:tcPr>
          <w:p>
            <w:pPr>
              <w:spacing w:after="80"/>
            </w:pPr>
            <w:r/>
            <w:r>
              <w:rPr>
                <w:rFonts w:ascii="Arial" w:hAnsi="Arial"/>
                <w:b/>
                <w:color w:val="6044A6"/>
                <w:sz w:val="21"/>
              </w:rPr>
              <w:t>Phạm vi và mức độ chắc chắn</w:t>
            </w:r>
          </w:p>
          <w:p>
            <w:pPr>
              <w:spacing w:after="0" w:line="269" w:lineRule="auto"/>
            </w:pPr>
            <w:r>
              <w:rPr>
                <w:rFonts w:ascii="Arial" w:hAnsi="Arial"/>
                <w:sz w:val="20"/>
              </w:rPr>
              <w:t>Báo cáo tổng hợp ý tưởng trong tài liệu gốc, bổ sung định nghĩa sản phẩm, lộ trình kiểm chứng và nguồn bối cảnh. Các con số phân khúc, WTP, KPI và persona chưa có bằng chứng nghiên cứu sơ cấp được giữ ở trạng thái giả thuyết; báo cáo không trình bày chúng như thống kê đại diện thị trường.</w:t>
            </w:r>
          </w:p>
        </w:tc>
      </w:tr>
    </w:tbl>
    <w:p>
      <w:pPr>
        <w:spacing w:after="20"/>
      </w:pPr>
    </w:p>
    <w:p>
      <w:r>
        <w:rPr>
          <w:i/>
          <w:color w:val="536273"/>
        </w:rPr>
        <w:t>Tài liệu này là cơ sở để thảo luận và thiết kế nghiên cứu tiếp theo; không thay thế khảo sát người dùng, thẩm định pháp lý, kiểm tra API hoặc thử nghiệm sản phẩm thực tế.</w:t>
      </w:r>
    </w:p>
    <w:p>
      <w:pPr>
        <w:pStyle w:val="Heading2"/>
      </w:pPr>
      <w:r>
        <w:t>Bản này bao gồm</w:t>
      </w:r>
    </w:p>
    <w:p>
      <w:pPr>
        <w:pStyle w:val="ListBullet"/>
      </w:pPr>
      <w:r>
        <w:t>Tái cấu trúc phân khúc, persona giả thuyết và hành trình người dùng.</w:t>
      </w:r>
    </w:p>
    <w:p>
      <w:pPr>
        <w:pStyle w:val="ListBullet"/>
      </w:pPr>
      <w:r>
        <w:t>Làm rõ AI tạo trang khác với cá nhân hóa động theo chiến dịch.</w:t>
      </w:r>
    </w:p>
    <w:p>
      <w:pPr>
        <w:pStyle w:val="ListBullet"/>
      </w:pPr>
      <w:r>
        <w:t>Đề xuất MVP theo giai đoạn, metric đo lường, kiểm chứng giá và lộ trình tích hợp.</w:t>
      </w:r>
    </w:p>
    <w:p>
      <w:pPr>
        <w:pStyle w:val="ListBullet"/>
      </w:pPr>
      <w:r>
        <w:t>Bổ sung rủi ro nội dung AI, dữ liệu, thanh toán và an toàn vận hành.</w:t>
      </w:r>
    </w:p>
    <w:p>
      <w:r>
        <w:br w:type="page"/>
      </w:r>
    </w:p>
    <w:p>
      <w:pPr>
        <w:pStyle w:val="Heading1"/>
      </w:pPr>
      <w:r>
        <w:t>Mục lục</w:t>
      </w:r>
    </w:p>
    <w:p>
      <w:pPr>
        <w:pStyle w:val="ListBullet"/>
      </w:pPr>
      <w:r>
        <w:t>1. Tóm tắt điều hành</w:t>
      </w:r>
    </w:p>
    <w:p>
      <w:pPr>
        <w:pStyle w:val="ListBullet"/>
      </w:pPr>
      <w:r>
        <w:t>2. Mục tiêu, phạm vi và phương pháp</w:t>
      </w:r>
    </w:p>
    <w:p>
      <w:pPr>
        <w:pStyle w:val="ListBullet"/>
      </w:pPr>
      <w:r>
        <w:t>3. Bối cảnh thị trường và tín hiệu ngành 2024–2026</w:t>
      </w:r>
    </w:p>
    <w:p>
      <w:pPr>
        <w:pStyle w:val="ListBullet"/>
      </w:pPr>
      <w:r>
        <w:t>4. Phân khúc người dùng và ưu tiên</w:t>
      </w:r>
    </w:p>
    <w:p>
      <w:pPr>
        <w:pStyle w:val="ListBullet"/>
      </w:pPr>
      <w:r>
        <w:t>5. Persona giả thuyết</w:t>
      </w:r>
    </w:p>
    <w:p>
      <w:pPr>
        <w:pStyle w:val="ListBullet"/>
      </w:pPr>
      <w:r>
        <w:t>6. Hành trình người dùng và điểm nghẽn</w:t>
      </w:r>
    </w:p>
    <w:p>
      <w:pPr>
        <w:pStyle w:val="ListBullet"/>
      </w:pPr>
      <w:r>
        <w:t>7. Định nghĩa sản phẩm: AI tạo trang và landing page động</w:t>
      </w:r>
    </w:p>
    <w:p>
      <w:pPr>
        <w:pStyle w:val="ListBullet"/>
      </w:pPr>
      <w:r>
        <w:t>8. Nguyên tắc UX/UI</w:t>
      </w:r>
    </w:p>
    <w:p>
      <w:pPr>
        <w:pStyle w:val="ListBullet"/>
      </w:pPr>
      <w:r>
        <w:t>9. Yêu cầu tính năng và phạm vi MVP</w:t>
      </w:r>
    </w:p>
    <w:p>
      <w:pPr>
        <w:pStyle w:val="ListBullet"/>
      </w:pPr>
      <w:r>
        <w:t>10. Mô hình kinh doanh và giả thuyết giá</w:t>
      </w:r>
    </w:p>
    <w:p>
      <w:pPr>
        <w:pStyle w:val="ListBullet"/>
      </w:pPr>
      <w:r>
        <w:t>11. Đối thủ và giả thuyết khoảng trống</w:t>
      </w:r>
    </w:p>
    <w:p>
      <w:pPr>
        <w:pStyle w:val="ListBullet"/>
      </w:pPr>
      <w:r>
        <w:t>12. Chỉ số thành công và kế hoạch kiểm chứng</w:t>
      </w:r>
    </w:p>
    <w:p>
      <w:pPr>
        <w:pStyle w:val="ListBullet"/>
      </w:pPr>
      <w:r>
        <w:t>13. Kiến trúc vận hành, dữ liệu và rủi ro</w:t>
      </w:r>
    </w:p>
    <w:p>
      <w:pPr>
        <w:pStyle w:val="ListBullet"/>
      </w:pPr>
      <w:r>
        <w:t>14. Lộ trình đề xuất và quyết định cần chốt</w:t>
      </w:r>
    </w:p>
    <w:p>
      <w:pPr>
        <w:pStyle w:val="ListBullet"/>
      </w:pPr>
      <w:r>
        <w:t>Phụ lục A. Câu hỏi phỏng vấn người dùng</w:t>
      </w:r>
    </w:p>
    <w:p>
      <w:pPr>
        <w:pStyle w:val="ListBullet"/>
      </w:pPr>
      <w:r>
        <w:t>Phụ lục B. Bảng giả thuyết cần kiểm chứng</w:t>
      </w:r>
    </w:p>
    <w:p>
      <w:pPr>
        <w:pStyle w:val="ListBullet"/>
      </w:pPr>
      <w:r>
        <w:t>Tài liệu tham khảo</w:t>
      </w:r>
    </w:p>
    <w:tbl>
      <w:tblPr>
        <w:tblW w:type="auto" w:w="0"/>
        <w:jc w:val="center"/>
        <w:tblLook w:firstColumn="1" w:firstRow="1" w:lastColumn="0" w:lastRow="0" w:noHBand="0" w:noVBand="1" w:val="04A0"/>
      </w:tblPr>
      <w:tblGrid>
        <w:gridCol w:w="9878"/>
      </w:tblGrid>
      <w:tr>
        <w:tc>
          <w:tcPr>
            <w:tcW w:type="dxa" w:w="9878"/>
            <w:shd w:fill="EEF3F8"/>
            <w:tcMar>
              <w:top w:w="150" w:type="dxa"/>
              <w:start w:w="180" w:type="dxa"/>
              <w:bottom w:w="150" w:type="dxa"/>
              <w:end w:w="180" w:type="dxa"/>
            </w:tcMar>
          </w:tcPr>
          <w:p>
            <w:pPr>
              <w:spacing w:after="80"/>
            </w:pPr>
            <w:r/>
            <w:r>
              <w:rPr>
                <w:rFonts w:ascii="Arial" w:hAnsi="Arial"/>
                <w:b/>
                <w:color w:val="6044A6"/>
                <w:sz w:val="21"/>
              </w:rPr>
              <w:t>Kết luận nhanh</w:t>
            </w:r>
          </w:p>
          <w:p>
            <w:pPr>
              <w:spacing w:after="0" w:line="269" w:lineRule="auto"/>
            </w:pPr>
            <w:r>
              <w:rPr>
                <w:rFonts w:ascii="Arial" w:hAnsi="Arial"/>
                <w:sz w:val="20"/>
              </w:rPr>
              <w:t>Nên bắt đầu bằng công cụ giúp người tổ chức tạo, sửa, xem trước và xuất bản trang đăng ký sự kiện; kiểm chứng giá trị trước khi mở rộng sang thanh toán tự động, Zalo, vé QR và check-in. Điểm khác biệt về ‘landing page động’ phải được định nghĩa thành quy tắc cá nhân hóa có kiểm soát, không chỉ là AI sinh một trang tĩnh.</w:t>
            </w:r>
          </w:p>
        </w:tc>
      </w:tr>
    </w:tbl>
    <w:p>
      <w:pPr>
        <w:spacing w:after="20"/>
      </w:pPr>
    </w:p>
    <w:p>
      <w:r>
        <w:br w:type="page"/>
      </w:r>
    </w:p>
    <w:p>
      <w:pPr>
        <w:pStyle w:val="Heading1"/>
      </w:pPr>
      <w:r>
        <w:t>1. Tóm tắt điều hành</w:t>
      </w:r>
    </w:p>
    <w:p>
      <w:r>
        <w:rPr>
          <w:i w:val="0"/>
        </w:rPr>
        <w:t>Tài liệu gốc đã nhận diện một vấn đề có ý nghĩa thực tế: người làm marketing và người tổ chức sự kiện thường phải phối hợp nội dung, thiết kế, biểu mẫu, dữ liệu và truyền thông qua nhiều công cụ. Ý tưởng dùng AI để dựng bản nháp landing page, đồng thời hỗ trợ đăng ký và vận hành sự kiện, có tiềm năng giảm thao tác thủ công. Tuy vậy, mức độ ưu tiên của từng nhu cầu và khả năng chi trả hiện chưa được chứng minh bằng nghiên cứu sơ cấp.</w:t>
      </w:r>
    </w:p>
    <w:p>
      <w:r>
        <w:rPr>
          <w:i w:val="0"/>
        </w:rPr>
        <w:t>Đề xuất sản phẩm là một nền tảng tạo landing page sự kiện theo hướng AI-assisted: người dùng cung cấp brief có cấu trúc; AI tạo bản nháp nội dung và bố cục; người tổ chức duyệt, chỉnh sửa và xuất bản; hệ thống đo lượt xem và đăng ký. Giai đoạn sau có thể bổ sung cá nhân hóa theo chiến dịch/UTM, gửi nhắc lịch, vé QR, thanh toán và check-in nếu nhu cầu, tính khả thi và chi phí tích hợp được xác nhận.</w:t>
      </w:r>
    </w:p>
    <w:p>
      <w:r>
        <w:rPr>
          <w:i w:val="0"/>
        </w:rPr>
        <w:t>Hai phân khúc ưu tiên để nghiên cứu là marketer in-house tại SME và chủ cơ sở/trainer thường xuyên tổ chức workshop. Agency là phân khúc thứ cấp do có nhu cầu nhiều trang nhưng cần quản lý nhiều khách hàng, quy trình duyệt và tùy biến cao hơn. Ban tổ chức sinh viên phù hợp với gói miễn phí hoặc kênh lan tỏa, nhưng khả năng trả phí cần được kiểm chứng riêng.</w:t>
      </w:r>
    </w:p>
    <w:tbl>
      <w:tblPr>
        <w:tblW w:type="auto" w:w="0"/>
        <w:jc w:val="center"/>
        <w:tblLook w:firstColumn="1" w:firstRow="1" w:lastColumn="0" w:lastRow="0" w:noHBand="0" w:noVBand="1" w:val="04A0"/>
      </w:tblPr>
      <w:tblGrid>
        <w:gridCol w:w="9878"/>
      </w:tblGrid>
      <w:tr>
        <w:tc>
          <w:tcPr>
            <w:tcW w:type="dxa" w:w="9878"/>
            <w:shd w:fill="F2EFFA"/>
            <w:tcMar>
              <w:top w:w="150" w:type="dxa"/>
              <w:start w:w="180" w:type="dxa"/>
              <w:bottom w:w="150" w:type="dxa"/>
              <w:end w:w="180" w:type="dxa"/>
            </w:tcMar>
          </w:tcPr>
          <w:p>
            <w:pPr>
              <w:spacing w:after="80"/>
            </w:pPr>
            <w:r/>
            <w:r>
              <w:rPr>
                <w:rFonts w:ascii="Arial" w:hAnsi="Arial"/>
                <w:b/>
                <w:color w:val="6044A6"/>
                <w:sz w:val="21"/>
              </w:rPr>
              <w:t>Quyết định sản phẩm đề xuất</w:t>
            </w:r>
          </w:p>
          <w:p>
            <w:pPr>
              <w:spacing w:after="0" w:line="269" w:lineRule="auto"/>
            </w:pPr>
            <w:r>
              <w:rPr>
                <w:rFonts w:ascii="Arial" w:hAnsi="Arial"/>
                <w:sz w:val="20"/>
              </w:rPr>
              <w:t>Không lấy ‘có AI’ làm giá trị cốt lõi duy nhất. Hãy kiểm chứng ba kết quả: (1) rút ngắn thời gian từ brief đến trang có thể xuất bản; (2) giảm lỗi khi hiển thị và thu thập đăng ký trên điện thoại; (3) giúp người tổ chức theo dõi đăng ký mà không phải chuyển dữ liệu thủ công giữa nhiều công cụ.</w:t>
            </w:r>
          </w:p>
        </w:tc>
      </w:tr>
    </w:tbl>
    <w:p>
      <w:pPr>
        <w:spacing w:after="20"/>
      </w:pPr>
    </w:p>
    <w:p>
      <w:pPr>
        <w:pStyle w:val="Heading1"/>
      </w:pPr>
      <w:r>
        <w:t>2. Mục tiêu, phạm vi và phương pháp</w:t>
      </w:r>
    </w:p>
    <w:p>
      <w:pPr>
        <w:pStyle w:val="Heading2"/>
      </w:pPr>
      <w:r>
        <w:t>2.1. Mục tiêu nghiên cứu</w:t>
      </w:r>
    </w:p>
    <w:p>
      <w:r>
        <w:rPr>
          <w:i w:val="0"/>
        </w:rPr>
        <w:t>Nghiên cứu nhằm xác định ai có nhu cầu tạo landing page sự kiện thường xuyên; hiểu quy trình từ lên ý tưởng đến xuất bản, nhận đăng ký và theo dõi người tham dự; đánh giá vai trò phù hợp của AI trong khâu tạo nội dung, bố cục và cá nhân hóa; và chọn phạm vi MVP có thể kiểm chứng nhanh.</w:t>
      </w:r>
    </w:p>
    <w:p>
      <w:pPr>
        <w:pStyle w:val="Heading2"/>
      </w:pPr>
      <w:r>
        <w:t>2.2. Phạm vi</w:t>
      </w:r>
    </w:p>
    <w:p>
      <w:pPr>
        <w:pStyle w:val="ListBullet"/>
      </w:pPr>
      <w:r>
        <w:t>Đối tượng: cá nhân/đơn vị tổ chức workshop, webinar, khóa học ngắn hạn, ra mắt sản phẩm, sự kiện cộng đồng và hoạt động tuyển sinh.</w:t>
      </w:r>
    </w:p>
    <w:p>
      <w:pPr>
        <w:pStyle w:val="ListBullet"/>
      </w:pPr>
      <w:r>
        <w:t>Thị trường địa lý: Việt Nam. Mọi khác biệt về địa phương, ngành, quy mô và kênh phân phối cần được xác nhận trong nghiên cứu người dùng.</w:t>
      </w:r>
    </w:p>
    <w:p>
      <w:pPr>
        <w:pStyle w:val="ListBullet"/>
      </w:pPr>
      <w:r>
        <w:t>Sản phẩm: công cụ tạo và vận hành trang đăng ký sự kiện. Thanh toán, gửi tin nhắn, vé và check-in là các mô-đun có thể mở rộng, không mặc định thuộc MVP.</w:t>
      </w:r>
    </w:p>
    <w:p>
      <w:pPr>
        <w:pStyle w:val="ListBullet"/>
      </w:pPr>
      <w:r>
        <w:t>Khoảng thời gian tham chiếu: 2024–2026. Số liệu có ngày công bố khác nhau cần được ghi rõ năm và phạm vi.</w:t>
      </w:r>
    </w:p>
    <w:p>
      <w:pPr>
        <w:pStyle w:val="Heading2"/>
      </w:pPr>
      <w:r>
        <w:t>2.3. Phương pháp và giới hạn</w:t>
      </w:r>
    </w:p>
    <w:tbl>
      <w:tblPr>
        <w:tblW w:type="auto" w:w="0"/>
        <w:jc w:val="center"/>
        <w:tblLook w:firstColumn="1" w:firstRow="1" w:lastColumn="0" w:lastRow="0" w:noHBand="0" w:noVBand="1" w:val="04A0"/>
      </w:tblPr>
      <w:tblGrid>
        <w:gridCol w:w="9878"/>
      </w:tblGrid>
      <w:tr>
        <w:tc>
          <w:tcPr>
            <w:tcW w:type="dxa" w:w="9878"/>
            <w:shd w:fill="EEF3F8"/>
            <w:tcMar>
              <w:top w:w="150" w:type="dxa"/>
              <w:start w:w="180" w:type="dxa"/>
              <w:bottom w:w="150" w:type="dxa"/>
              <w:end w:w="180" w:type="dxa"/>
            </w:tcMar>
          </w:tcPr>
          <w:p>
            <w:pPr>
              <w:spacing w:after="80"/>
            </w:pPr>
            <w:r/>
            <w:r>
              <w:rPr>
                <w:rFonts w:ascii="Arial" w:hAnsi="Arial"/>
                <w:b/>
                <w:color w:val="6044A6"/>
                <w:sz w:val="21"/>
              </w:rPr>
              <w:t>Tình trạng bằng chứng</w:t>
            </w:r>
          </w:p>
          <w:p>
            <w:pPr>
              <w:spacing w:after="0" w:line="269" w:lineRule="auto"/>
            </w:pPr>
            <w:r>
              <w:rPr>
                <w:rFonts w:ascii="Arial" w:hAnsi="Arial"/>
                <w:sz w:val="20"/>
              </w:rPr>
              <w:t>Bản hoàn chỉnh này tổ chức lại các nhận định trong tài liệu gốc và gắn nhãn các điểm chưa được xác minh. Chưa có hồ sơ phỏng vấn/khảo sát, cỡ mẫu, bảng hỏi hay dữ liệu thử nghiệm được cung cấp cùng tệp gốc. Vì vậy persona, mức giá, quy mô phân khúc, KPI và tần suất trong tài liệu được xem là giả thuyết thiết kế, không phải kết quả đại diện.</w:t>
            </w:r>
          </w:p>
        </w:tc>
      </w:tr>
    </w:tbl>
    <w:p>
      <w:pPr>
        <w:spacing w:after="20"/>
      </w:pPr>
    </w:p>
    <w:p>
      <w:r>
        <w:rPr>
          <w:i w:val="0"/>
        </w:rPr>
        <w:t>Để chuyển báo cáo thành nghiên cứu đã kiểm chứng, cần tiến hành phỏng vấn theo hành vi gần nhất, thử nghiệm prototype với nhiệm vụ thật và pilot trên các sự kiện đang diễn ra. Mỗi kết quả cần lưu lại ngày, số người tham gia, tiêu chí tuyển mẫu, câu hỏi, dữ liệu quan sát, cách phân tích và giới hạn. Không suy rộng từ mẫu thuận tiện thành toàn bộ thị trường.</w:t>
      </w:r>
    </w:p>
    <w:p>
      <w:pPr>
        <w:pStyle w:val="Heading2"/>
      </w:pPr>
      <w:r>
        <w:t>2.4. Phân loại phát biểu</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8"/>
              </w:rPr>
              <w:t>Loại</w:t>
            </w:r>
          </w:p>
        </w:tc>
        <w:tc>
          <w:tcPr>
            <w:tcW w:type="dxa" w:w="835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8"/>
              </w:rPr>
              <w:t>Cách dùng trong báo cáo</w:t>
            </w:r>
          </w:p>
        </w:tc>
      </w:tr>
      <w:tr>
        <w:trPr>
          <w:cantSplit/>
        </w:trPr>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8"/>
              </w:rPr>
              <w:t>Dữ kiện thứ cấp</w:t>
            </w:r>
          </w:p>
        </w:tc>
        <w:tc>
          <w:tcPr>
            <w:tcW w:type="dxa" w:w="8352"/>
            <w:vAlign w:val="center"/>
            <w:tcMar>
              <w:top w:w="90" w:type="dxa"/>
              <w:start w:w="100" w:type="dxa"/>
              <w:bottom w:w="90" w:type="dxa"/>
              <w:end w:w="100" w:type="dxa"/>
            </w:tcMar>
          </w:tcPr>
          <w:p>
            <w:pPr>
              <w:spacing w:after="0" w:line="252" w:lineRule="auto"/>
            </w:pPr>
            <w:r/>
            <w:r>
              <w:rPr>
                <w:rFonts w:ascii="Arial" w:hAnsi="Arial" w:eastAsia="Arial"/>
                <w:b w:val="0"/>
                <w:color w:val="19232D"/>
                <w:sz w:val="18"/>
              </w:rPr>
              <w:t>Có nguồn kiểm tra được, thời điểm, phạm vi và liên kết; chỉ dùng cho điều nguồn thực sự chứng minh.</w:t>
            </w:r>
          </w:p>
        </w:tc>
      </w:tr>
      <w:tr>
        <w:trPr>
          <w:cantSplit/>
        </w:trPr>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8"/>
              </w:rPr>
              <w:t>Kết quả nghiên cứu sơ cấp</w:t>
            </w:r>
          </w:p>
        </w:tc>
        <w:tc>
          <w:tcPr>
            <w:tcW w:type="dxa" w:w="835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8"/>
              </w:rPr>
              <w:t>Gắn với mẫu, phương pháp và thời gian khảo sát; không suy rộng quá mức.</w:t>
            </w:r>
          </w:p>
        </w:tc>
      </w:tr>
      <w:tr>
        <w:trPr>
          <w:cantSplit/>
        </w:trPr>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8"/>
              </w:rPr>
              <w:t>Giả thuyết</w:t>
            </w:r>
          </w:p>
        </w:tc>
        <w:tc>
          <w:tcPr>
            <w:tcW w:type="dxa" w:w="8352"/>
            <w:vAlign w:val="center"/>
            <w:tcMar>
              <w:top w:w="90" w:type="dxa"/>
              <w:start w:w="100" w:type="dxa"/>
              <w:bottom w:w="90" w:type="dxa"/>
              <w:end w:w="100" w:type="dxa"/>
            </w:tcMar>
          </w:tcPr>
          <w:p>
            <w:pPr>
              <w:spacing w:after="0" w:line="252" w:lineRule="auto"/>
            </w:pPr>
            <w:r/>
            <w:r>
              <w:rPr>
                <w:rFonts w:ascii="Arial" w:hAnsi="Arial" w:eastAsia="Arial"/>
                <w:b w:val="0"/>
                <w:color w:val="19232D"/>
                <w:sz w:val="18"/>
              </w:rPr>
              <w:t>Nhận định cần kiểm tra; dùng ngôn ngữ như ‘có thể’, ‘giả thuyết ban đầu’, ‘cần xác nhận’.</w:t>
            </w:r>
          </w:p>
        </w:tc>
      </w:tr>
      <w:tr>
        <w:trPr>
          <w:cantSplit/>
        </w:trPr>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8"/>
              </w:rPr>
              <w:t>Mục tiêu sản phẩm</w:t>
            </w:r>
          </w:p>
        </w:tc>
        <w:tc>
          <w:tcPr>
            <w:tcW w:type="dxa" w:w="835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8"/>
              </w:rPr>
              <w:t>Kết quả mong muốn được đặt làm ngưỡng thử nghiệm, không trình bày như kết quả đã đạt.</w:t>
            </w:r>
          </w:p>
        </w:tc>
      </w:tr>
    </w:tbl>
    <w:p>
      <w:pPr>
        <w:spacing w:after="20"/>
      </w:pPr>
    </w:p>
    <w:p>
      <w:pPr>
        <w:pStyle w:val="Heading1"/>
      </w:pPr>
      <w:r>
        <w:t>3. Bối cảnh thị trường và tín hiệu ngành 2024–2026</w:t>
      </w:r>
    </w:p>
    <w:p>
      <w:r>
        <w:rPr>
          <w:i w:val="0"/>
        </w:rPr>
        <w:t>Các sự kiện được công bố tại Việt Nam cho thấy AI, marketing và MarTech là những chủ đề được đưa vào chương trình ngành trong giai đoạn này. Đây là bằng chứng về mức độ quan tâm của cộng đồng, không phải bằng chứng rằng sự kiện đã dùng landing page động bằng AI.</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93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Năm</w:t>
            </w:r>
          </w:p>
        </w:tc>
        <w:tc>
          <w:tcPr>
            <w:tcW w:type="dxa" w:w="612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Sự kiện và tín hiệu liên quan</w:t>
            </w:r>
          </w:p>
        </w:tc>
        <w:tc>
          <w:tcPr>
            <w:tcW w:type="dxa" w:w="352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Cách diễn giải</w:t>
            </w:r>
          </w:p>
        </w:tc>
      </w:tr>
      <w:tr>
        <w:trPr>
          <w:cantSplit/>
        </w:trPr>
        <w:tc>
          <w:tcPr>
            <w:tcW w:type="dxa" w:w="93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2024</w:t>
            </w:r>
          </w:p>
        </w:tc>
        <w:tc>
          <w:tcPr>
            <w:tcW w:type="dxa" w:w="61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MMA INNOVATE 2024 tại TP.HCM ngày 21/6; nội dung gồm AI, digital marketing, dữ liệu và tự động hóa. [1]</w:t>
            </w:r>
          </w:p>
        </w:tc>
        <w:tc>
          <w:tcPr>
            <w:tcW w:type="dxa" w:w="3528"/>
            <w:vAlign w:val="center"/>
            <w:tcMar>
              <w:top w:w="90" w:type="dxa"/>
              <w:start w:w="100" w:type="dxa"/>
              <w:bottom w:w="90" w:type="dxa"/>
              <w:end w:w="100" w:type="dxa"/>
            </w:tcMar>
          </w:tcPr>
          <w:p>
            <w:pPr>
              <w:spacing w:after="0" w:line="252" w:lineRule="auto"/>
            </w:pPr>
            <w:r/>
            <w:r>
              <w:rPr>
                <w:rFonts w:ascii="Arial" w:hAnsi="Arial" w:eastAsia="Arial"/>
                <w:b w:val="0"/>
                <w:color w:val="19232D"/>
                <w:sz w:val="17"/>
              </w:rPr>
              <w:t>Bối cảnh MarTech/AI marketing; nguồn không chứng minh dùng AI landing page.</w:t>
            </w:r>
          </w:p>
        </w:tc>
      </w:tr>
      <w:tr>
        <w:trPr>
          <w:cantSplit/>
        </w:trPr>
        <w:tc>
          <w:tcPr>
            <w:tcW w:type="dxa" w:w="93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2024</w:t>
            </w:r>
          </w:p>
        </w:tc>
        <w:tc>
          <w:tcPr>
            <w:tcW w:type="dxa" w:w="61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MMA ALC Summit 2024 tại TP.HCM ngày 22/8; chủ đề AI trong marketing, cá nhân hóa và tối ưu hiệu quả. [2]</w:t>
            </w:r>
          </w:p>
        </w:tc>
        <w:tc>
          <w:tcPr>
            <w:tcW w:type="dxa" w:w="352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Liên quan nhất đến cá nhân hóa marketing, nhưng không riêng landing page.</w:t>
            </w:r>
          </w:p>
        </w:tc>
      </w:tr>
      <w:tr>
        <w:trPr>
          <w:cantSplit/>
        </w:trPr>
        <w:tc>
          <w:tcPr>
            <w:tcW w:type="dxa" w:w="93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2024</w:t>
            </w:r>
          </w:p>
        </w:tc>
        <w:tc>
          <w:tcPr>
            <w:tcW w:type="dxa" w:w="61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AI4VN 2024 tại Hà Nội ngày 23/8; chương trình đề cập AI tạo sinh, tự động hóa và ứng dụng AI trong doanh nghiệp. [3]</w:t>
            </w:r>
          </w:p>
        </w:tc>
        <w:tc>
          <w:tcPr>
            <w:tcW w:type="dxa" w:w="3528"/>
            <w:vAlign w:val="center"/>
            <w:tcMar>
              <w:top w:w="90" w:type="dxa"/>
              <w:start w:w="100" w:type="dxa"/>
              <w:bottom w:w="90" w:type="dxa"/>
              <w:end w:w="100" w:type="dxa"/>
            </w:tcMar>
          </w:tcPr>
          <w:p>
            <w:pPr>
              <w:spacing w:after="0" w:line="252" w:lineRule="auto"/>
            </w:pPr>
            <w:r/>
            <w:r>
              <w:rPr>
                <w:rFonts w:ascii="Arial" w:hAnsi="Arial" w:eastAsia="Arial"/>
                <w:b w:val="0"/>
                <w:color w:val="19232D"/>
                <w:sz w:val="17"/>
              </w:rPr>
              <w:t>Sự kiện AI tổng quát, không chuyên marketing.</w:t>
            </w:r>
          </w:p>
        </w:tc>
      </w:tr>
      <w:tr>
        <w:trPr>
          <w:cantSplit/>
        </w:trPr>
        <w:tc>
          <w:tcPr>
            <w:tcW w:type="dxa" w:w="93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2025</w:t>
            </w:r>
          </w:p>
        </w:tc>
        <w:tc>
          <w:tcPr>
            <w:tcW w:type="dxa" w:w="61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MMA INNOVATE Vietnam 2025 tại TP.HCM ngày 21/8; chương trình đề cập cá nhân hóa bằng AI, phân tích dự đoán và nội dung quy mô lớn. [4]</w:t>
            </w:r>
          </w:p>
        </w:tc>
        <w:tc>
          <w:tcPr>
            <w:tcW w:type="dxa" w:w="352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Có liên hệ đến marketing cá nhân hóa; không xác nhận triển khai trang đích động.</w:t>
            </w:r>
          </w:p>
        </w:tc>
      </w:tr>
      <w:tr>
        <w:trPr>
          <w:cantSplit/>
        </w:trPr>
        <w:tc>
          <w:tcPr>
            <w:tcW w:type="dxa" w:w="93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2025</w:t>
            </w:r>
          </w:p>
        </w:tc>
        <w:tc>
          <w:tcPr>
            <w:tcW w:type="dxa" w:w="61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AI4VN 2025 tại Hà Nội ngày 26/9; có AI Summit, AI Expo và các phiên ứng dụng AI. [5]</w:t>
            </w:r>
          </w:p>
        </w:tc>
        <w:tc>
          <w:tcPr>
            <w:tcW w:type="dxa" w:w="3528"/>
            <w:vAlign w:val="center"/>
            <w:tcMar>
              <w:top w:w="90" w:type="dxa"/>
              <w:start w:w="100" w:type="dxa"/>
              <w:bottom w:w="90" w:type="dxa"/>
              <w:end w:w="100" w:type="dxa"/>
            </w:tcMar>
          </w:tcPr>
          <w:p>
            <w:pPr>
              <w:spacing w:after="0" w:line="252" w:lineRule="auto"/>
            </w:pPr>
            <w:r/>
            <w:r>
              <w:rPr>
                <w:rFonts w:ascii="Arial" w:hAnsi="Arial" w:eastAsia="Arial"/>
                <w:b w:val="0"/>
                <w:color w:val="19232D"/>
                <w:sz w:val="17"/>
              </w:rPr>
              <w:t>Bối cảnh AI toàn ngành.</w:t>
            </w:r>
          </w:p>
        </w:tc>
      </w:tr>
      <w:tr>
        <w:trPr>
          <w:cantSplit/>
        </w:trPr>
        <w:tc>
          <w:tcPr>
            <w:tcW w:type="dxa" w:w="93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2026</w:t>
            </w:r>
          </w:p>
        </w:tc>
        <w:tc>
          <w:tcPr>
            <w:tcW w:type="dxa" w:w="61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MMA INNOVATE Vietnam 2026 được niêm yết ngày 10–11/6 tại TP.HCM. [6]</w:t>
            </w:r>
          </w:p>
        </w:tc>
        <w:tc>
          <w:tcPr>
            <w:tcW w:type="dxa" w:w="352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Sự kiện marketing/MarTech; dùng như tín hiệu ngành.</w:t>
            </w:r>
          </w:p>
        </w:tc>
      </w:tr>
      <w:tr>
        <w:trPr>
          <w:cantSplit/>
        </w:trPr>
        <w:tc>
          <w:tcPr>
            <w:tcW w:type="dxa" w:w="93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2026</w:t>
            </w:r>
          </w:p>
        </w:tc>
        <w:tc>
          <w:tcPr>
            <w:tcW w:type="dxa" w:w="61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Trang HBR công bố lịch AI Marketing Summit 2026 vào 25–26/7 tại Hà Nội với nội dung ứng dụng AI vào marketing và chuyển đổi. [7]</w:t>
            </w:r>
          </w:p>
        </w:tc>
        <w:tc>
          <w:tcPr>
            <w:tcW w:type="dxa" w:w="3528"/>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Thông tin từ trang đơn vị tổ chức; cần phân biệt quảng bá với báo cáo độc lập sau sự kiện.</w:t>
            </w:r>
          </w:p>
        </w:tc>
      </w:tr>
    </w:tbl>
    <w:p>
      <w:pPr>
        <w:spacing w:after="20"/>
      </w:pPr>
    </w:p>
    <w:p>
      <w:r>
        <w:rPr>
          <w:i w:val="0"/>
        </w:rPr>
        <w:t>RMIT Việt Nam mô tả AI đang tác động đến marketing qua tự động hóa sáng tạo, cá nhân hóa và hiệu quả truyền thông; bài viết đưa ví dụ chiến dịch cá nhân hóa nội dung. Nguồn này củng cố bối cảnh AI marketing, nhưng không xác nhận nhu cầu hay hiệu quả của công cụ tạo landing page sự kiện. [8]</w:t>
      </w:r>
    </w:p>
    <w:tbl>
      <w:tblPr>
        <w:tblW w:type="auto" w:w="0"/>
        <w:jc w:val="center"/>
        <w:tblLook w:firstColumn="1" w:firstRow="1" w:lastColumn="0" w:lastRow="0" w:noHBand="0" w:noVBand="1" w:val="04A0"/>
      </w:tblPr>
      <w:tblGrid>
        <w:gridCol w:w="9878"/>
      </w:tblGrid>
      <w:tr>
        <w:tc>
          <w:tcPr>
            <w:tcW w:type="dxa" w:w="9878"/>
            <w:shd w:fill="F2EFFA"/>
            <w:tcMar>
              <w:top w:w="150" w:type="dxa"/>
              <w:start w:w="180" w:type="dxa"/>
              <w:bottom w:w="150" w:type="dxa"/>
              <w:end w:w="180" w:type="dxa"/>
            </w:tcMar>
          </w:tcPr>
          <w:p>
            <w:pPr>
              <w:spacing w:after="80"/>
            </w:pPr>
            <w:r/>
            <w:r>
              <w:rPr>
                <w:rFonts w:ascii="Arial" w:hAnsi="Arial"/>
                <w:b/>
                <w:color w:val="6044A6"/>
                <w:sz w:val="21"/>
              </w:rPr>
              <w:t>Kết luận bối cảnh</w:t>
            </w:r>
          </w:p>
          <w:p>
            <w:pPr>
              <w:spacing w:after="0" w:line="269" w:lineRule="auto"/>
            </w:pPr>
            <w:r>
              <w:rPr>
                <w:rFonts w:ascii="Arial" w:hAnsi="Arial"/>
                <w:sz w:val="20"/>
              </w:rPr>
              <w:t>Trong các nguồn đã rà soát, chưa có căn cứ để gọi đây là các sự kiện ‘landing page động bằng AI’ hoặc khẳng định doanh nghiệp tại các sự kiện đã áp dụng đúng giải pháp đang đề xuất. Tài liệu nên dùng chúng làm bối cảnh, sau đó bổ sung phỏng vấn và benchmark sản phẩm để chứng minh nhu cầu cụ thể.</w:t>
            </w:r>
          </w:p>
        </w:tc>
      </w:tr>
    </w:tbl>
    <w:p>
      <w:pPr>
        <w:spacing w:after="20"/>
      </w:pPr>
    </w:p>
    <w:p>
      <w:pPr>
        <w:pStyle w:val="Heading1"/>
      </w:pPr>
      <w:r>
        <w:t>4. Phân khúc người dùng và ưu tiên</w:t>
      </w:r>
    </w:p>
    <w:p>
      <w:r>
        <w:rPr>
          <w:i w:val="0"/>
        </w:rPr>
        <w:t>Không nên dùng số lượng ước tính trong bản gốc như quy mô khách hàng đã xác minh. Các khoảng số hiện có thiếu cách tính và có nguy cơ chồng lấn giữa chức danh, doanh nghiệp và người tổ chức. Bảng dưới đây giữ vai trò phân khúc cần nghiên cứu, thay vì đưa ra ước lượng thị trường giả chính xác.</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16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Phân khúc</w:t>
            </w:r>
          </w:p>
        </w:tc>
        <w:tc>
          <w:tcPr>
            <w:tcW w:type="dxa" w:w="1224"/>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Ưu tiên</w:t>
            </w:r>
          </w:p>
        </w:tc>
        <w:tc>
          <w:tcPr>
            <w:tcW w:type="dxa" w:w="396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Nhu cầu cần kiểm chứng</w:t>
            </w:r>
          </w:p>
        </w:tc>
        <w:tc>
          <w:tcPr>
            <w:tcW w:type="dxa" w:w="324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Rủi ro/điều kiện mua</w:t>
            </w:r>
          </w:p>
        </w:tc>
      </w:tr>
      <w:tr>
        <w:trPr>
          <w:cantSplit/>
        </w:trPr>
        <w:tc>
          <w:tcPr>
            <w:tcW w:type="dxa" w:w="21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Marketer in-house tại SME</w:t>
            </w:r>
          </w:p>
        </w:tc>
        <w:tc>
          <w:tcPr>
            <w:tcW w:type="dxa" w:w="1224"/>
            <w:vAlign w:val="center"/>
            <w:tcMar>
              <w:top w:w="90" w:type="dxa"/>
              <w:start w:w="100" w:type="dxa"/>
              <w:bottom w:w="90" w:type="dxa"/>
              <w:end w:w="100" w:type="dxa"/>
            </w:tcMar>
          </w:tcPr>
          <w:p>
            <w:pPr>
              <w:spacing w:after="0" w:line="252" w:lineRule="auto"/>
            </w:pPr>
            <w:r/>
            <w:r>
              <w:rPr>
                <w:rFonts w:ascii="Arial" w:hAnsi="Arial" w:eastAsia="Arial"/>
                <w:b w:val="0"/>
                <w:color w:val="19232D"/>
                <w:sz w:val="17"/>
              </w:rPr>
              <w:t>Primary</w:t>
            </w:r>
          </w:p>
        </w:tc>
        <w:tc>
          <w:tcPr>
            <w:tcW w:type="dxa" w:w="39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Tạo trang nhanh; nhận lead; đồng bộ dữ liệu; đo chiến dịch; quản lý nhiều lần tổ chức.</w:t>
            </w:r>
          </w:p>
        </w:tc>
        <w:tc>
          <w:tcPr>
            <w:tcW w:type="dxa" w:w="324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Phê duyệt ngân sách; yêu cầu bảo mật, tracking, tích hợp CRM/Sheet.</w:t>
            </w:r>
          </w:p>
        </w:tc>
      </w:tr>
      <w:tr>
        <w:trPr>
          <w:cantSplit/>
        </w:trPr>
        <w:tc>
          <w:tcPr>
            <w:tcW w:type="dxa" w:w="21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Chủ cơ sở đào tạo/trainer/coach</w:t>
            </w:r>
          </w:p>
        </w:tc>
        <w:tc>
          <w:tcPr>
            <w:tcW w:type="dxa" w:w="1224"/>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Primary</w:t>
            </w:r>
          </w:p>
        </w:tc>
        <w:tc>
          <w:tcPr>
            <w:tcW w:type="dxa" w:w="39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Tự tạo trang; đăng ký lớp; quản lý chỗ/vé; giảm thao tác đối soát và nhắc học viên.</w:t>
            </w:r>
          </w:p>
        </w:tc>
        <w:tc>
          <w:tcPr>
            <w:tcW w:type="dxa" w:w="324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Sự kiện không đều; nhạy cảm giá; cần quy trình đơn giản trên điện thoại.</w:t>
            </w:r>
          </w:p>
        </w:tc>
      </w:tr>
      <w:tr>
        <w:trPr>
          <w:cantSplit/>
        </w:trPr>
        <w:tc>
          <w:tcPr>
            <w:tcW w:type="dxa" w:w="21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Agency/event agency</w:t>
            </w:r>
          </w:p>
        </w:tc>
        <w:tc>
          <w:tcPr>
            <w:tcW w:type="dxa" w:w="1224"/>
            <w:vAlign w:val="center"/>
            <w:tcMar>
              <w:top w:w="90" w:type="dxa"/>
              <w:start w:w="100" w:type="dxa"/>
              <w:bottom w:w="90" w:type="dxa"/>
              <w:end w:w="100" w:type="dxa"/>
            </w:tcMar>
          </w:tcPr>
          <w:p>
            <w:pPr>
              <w:spacing w:after="0" w:line="252" w:lineRule="auto"/>
            </w:pPr>
            <w:r/>
            <w:r>
              <w:rPr>
                <w:rFonts w:ascii="Arial" w:hAnsi="Arial" w:eastAsia="Arial"/>
                <w:b w:val="0"/>
                <w:color w:val="19232D"/>
                <w:sz w:val="17"/>
              </w:rPr>
              <w:t>Secondary</w:t>
            </w:r>
          </w:p>
        </w:tc>
        <w:tc>
          <w:tcPr>
            <w:tcW w:type="dxa" w:w="39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Tạo nhiều trang; quản lý nhiều thương hiệu; phê duyệt khách hàng; sao chép mẫu.</w:t>
            </w:r>
          </w:p>
        </w:tc>
        <w:tc>
          <w:tcPr>
            <w:tcW w:type="dxa" w:w="324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Đòi hỏi tùy biến, phân quyền, xuất dữ liệu và kiểm soát thương hiệu.</w:t>
            </w:r>
          </w:p>
        </w:tc>
      </w:tr>
      <w:tr>
        <w:trPr>
          <w:cantSplit/>
        </w:trPr>
        <w:tc>
          <w:tcPr>
            <w:tcW w:type="dxa" w:w="21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Freelancer/event planner</w:t>
            </w:r>
          </w:p>
        </w:tc>
        <w:tc>
          <w:tcPr>
            <w:tcW w:type="dxa" w:w="1224"/>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Secondary/Tertiary</w:t>
            </w:r>
          </w:p>
        </w:tc>
        <w:tc>
          <w:tcPr>
            <w:tcW w:type="dxa" w:w="39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Dựng bản nháp nhanh để chốt khách; làm theo từng dự án.</w:t>
            </w:r>
          </w:p>
        </w:tc>
        <w:tc>
          <w:tcPr>
            <w:tcW w:type="dxa" w:w="324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Nhu cầu và dòng tiền dao động; có thể chuộng trả theo sự kiện.</w:t>
            </w:r>
          </w:p>
        </w:tc>
      </w:tr>
      <w:tr>
        <w:trPr>
          <w:cantSplit/>
        </w:trPr>
        <w:tc>
          <w:tcPr>
            <w:tcW w:type="dxa" w:w="21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CLB/sinh viên/tổ chức cộng đồng</w:t>
            </w:r>
          </w:p>
        </w:tc>
        <w:tc>
          <w:tcPr>
            <w:tcW w:type="dxa" w:w="1224"/>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Tertiary</w:t>
            </w:r>
          </w:p>
        </w:tc>
        <w:tc>
          <w:tcPr>
            <w:tcW w:type="dxa" w:w="39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Trang đẹp, đăng ký đơn giản, check-in dễ; chi phí thấp hoặc miễn phí.</w:t>
            </w:r>
          </w:p>
        </w:tc>
        <w:tc>
          <w:tcPr>
            <w:tcW w:type="dxa" w:w="324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Khả năng trả phí thấp; phù hợp freemium/viral hơn mục tiêu doanh thu ban đầu.</w:t>
            </w:r>
          </w:p>
        </w:tc>
      </w:tr>
    </w:tbl>
    <w:p>
      <w:pPr>
        <w:spacing w:after="20"/>
      </w:pPr>
    </w:p>
    <w:p>
      <w:pPr>
        <w:pStyle w:val="Heading2"/>
      </w:pPr>
      <w:r>
        <w:t>4.1. Cách xác định TAM/SAM/SOM</w:t>
      </w:r>
    </w:p>
    <w:p>
      <w:r>
        <w:rPr>
          <w:i w:val="0"/>
        </w:rPr>
        <w:t>TAM, SAM và SOM cần được tính theo phương pháp bottom-up, tách số tài khoản phù hợp khỏi doanh thu có thể đạt. Không cộng số doanh nghiệp với số nhân sự nếu hai nhóm chồng lấn.</w:t>
      </w:r>
    </w:p>
    <w:p>
      <w:pPr>
        <w:pStyle w:val="ListBullet"/>
      </w:pPr>
      <w:r>
        <w:t>TAM = số tổ chức/người tổ chức phù hợp × doanh thu năm giả định trên mỗi tài khoản.</w:t>
      </w:r>
    </w:p>
    <w:p>
      <w:pPr>
        <w:pStyle w:val="ListBullet"/>
      </w:pPr>
      <w:r>
        <w:t>SAM = phần TAM phù hợp với loại sự kiện, địa bàn, năng lực sản phẩm, yêu cầu ngôn ngữ và tích hợp.</w:t>
      </w:r>
    </w:p>
    <w:p>
      <w:pPr>
        <w:pStyle w:val="ListBullet"/>
      </w:pPr>
      <w:r>
        <w:t>SOM = số tài khoản có thể tiếp cận trong 12–24 tháng × tỷ lệ kích hoạt × tỷ lệ trả phí × doanh thu bình quân năm.</w:t>
      </w:r>
    </w:p>
    <w:p>
      <w:r>
        <w:rPr>
          <w:i w:val="0"/>
        </w:rPr>
        <w:t>Mỗi biến cần nguồn hoặc nhãn giả định, và nên trình bày kịch bản thấp/cơ sở/cao. Cần loại trừ tài khoản trùng, nhóm chỉ tổ chức quá ít sự kiện và phân khúc chưa thể phục vụ bằng năng lực hiện tại.</w:t>
      </w:r>
    </w:p>
    <w:p>
      <w:pPr>
        <w:pStyle w:val="Heading1"/>
      </w:pPr>
      <w:r>
        <w:t>5. Persona giả thuyết</w:t>
      </w:r>
    </w:p>
    <w:tbl>
      <w:tblPr>
        <w:tblW w:type="auto" w:w="0"/>
        <w:jc w:val="center"/>
        <w:tblLook w:firstColumn="1" w:firstRow="1" w:lastColumn="0" w:lastRow="0" w:noHBand="0" w:noVBand="1" w:val="04A0"/>
      </w:tblPr>
      <w:tblGrid>
        <w:gridCol w:w="9878"/>
      </w:tblGrid>
      <w:tr>
        <w:tc>
          <w:tcPr>
            <w:tcW w:type="dxa" w:w="9878"/>
            <w:shd w:fill="EEF3F8"/>
            <w:tcMar>
              <w:top w:w="150" w:type="dxa"/>
              <w:start w:w="180" w:type="dxa"/>
              <w:bottom w:w="150" w:type="dxa"/>
              <w:end w:w="180" w:type="dxa"/>
            </w:tcMar>
          </w:tcPr>
          <w:p>
            <w:pPr>
              <w:spacing w:after="80"/>
            </w:pPr>
            <w:r/>
            <w:r>
              <w:rPr>
                <w:rFonts w:ascii="Arial" w:hAnsi="Arial"/>
                <w:b/>
                <w:color w:val="6044A6"/>
                <w:sz w:val="21"/>
              </w:rPr>
              <w:t>Cách đọc persona</w:t>
            </w:r>
          </w:p>
          <w:p>
            <w:pPr>
              <w:spacing w:after="0" w:line="269" w:lineRule="auto"/>
            </w:pPr>
            <w:r>
              <w:rPr>
                <w:rFonts w:ascii="Arial" w:hAnsi="Arial"/>
                <w:sz w:val="20"/>
              </w:rPr>
              <w:t>Các persona dưới đây là archetype tổng hợp từ tài liệu gốc, chưa phải chân dung đại diện từ phỏng vấn. Tuổi, thu nhập, lịch sinh hoạt, thiết bị và câu nói trong bản cũ không được dùng làm sự thật nếu không có ghi chép nghiên cứu. Hãy xác thực mục tiêu, hành vi và công cụ bằng người tham gia thật.</w:t>
            </w:r>
          </w:p>
        </w:tc>
      </w:tr>
    </w:tbl>
    <w:p>
      <w:pPr>
        <w:spacing w:after="20"/>
      </w:pPr>
    </w:p>
    <w:p>
      <w:pPr>
        <w:pStyle w:val="Heading2"/>
      </w:pPr>
      <w:r>
        <w:t>5.1. Marketer in-house tại SME — người dùng ưu tiên</w:t>
      </w:r>
    </w:p>
    <w:p>
      <w:r>
        <w:rPr>
          <w:i w:val="0"/>
        </w:rPr>
        <w:t>Bối cảnh giả thuyết: chịu trách nhiệm tạo lead cho workshop, webinar hoặc sự kiện khách hàng; đội ngũ nhỏ, phải phối hợp nội dung, thiết kế, quảng cáo và bán hàng. Hiện dùng một tổ hợp công cụ dựng trang, thiết kế, spreadsheet và công cụ AI tổng quát.</w:t>
      </w:r>
    </w:p>
    <w:p>
      <w:pPr>
        <w:pStyle w:val="ListBullet"/>
      </w:pPr>
      <w:r>
        <w:t>Mục tiêu: đưa trang đăng ký lên đúng hạn; thu đủ thông tin; xem hiệu quả theo chiến dịch; bàn giao lead cho sales.</w:t>
      </w:r>
    </w:p>
    <w:p>
      <w:pPr>
        <w:pStyle w:val="ListBullet"/>
      </w:pPr>
      <w:r>
        <w:t>Điểm đau cần xác thực: chờ thiết kế/dev; sửa mobile; lỗi form; gắn tracking; dữ liệu không đồng bộ; thay đổi sát giờ.</w:t>
      </w:r>
    </w:p>
    <w:p>
      <w:pPr>
        <w:pStyle w:val="ListBullet"/>
      </w:pPr>
      <w:r>
        <w:t>Giá trị sản phẩm: tạo bản nháp theo brief, dễ sửa theo khối, checklist trước xuất bản, tích hợp dữ liệu đáng tin cậy.</w:t>
      </w:r>
    </w:p>
    <w:p>
      <w:pPr>
        <w:pStyle w:val="ListBullet"/>
      </w:pPr>
      <w:r>
        <w:t>Rào cản: chính sách IT/bảo mật, kết nối CRM, quyền sở hữu dữ liệu, khả năng đo lường và chất lượng AI.</w:t>
      </w:r>
    </w:p>
    <w:p>
      <w:pPr>
        <w:pStyle w:val="Heading2"/>
      </w:pPr>
      <w:r>
        <w:t>5.2. Chủ cơ sở đào tạo/trainer — người mua có thể tự quyết</w:t>
      </w:r>
    </w:p>
    <w:p>
      <w:r>
        <w:rPr>
          <w:i w:val="0"/>
        </w:rPr>
        <w:t>Bối cảnh giả thuyết: tổ chức workshop/lớp học định kỳ, ít nhân sự vận hành; hiện dùng biểu mẫu, spreadsheet và tin nhắn để nhận đăng ký và nhắc người tham dự.</w:t>
      </w:r>
    </w:p>
    <w:p>
      <w:pPr>
        <w:pStyle w:val="ListBullet"/>
      </w:pPr>
      <w:r>
        <w:t>Mục tiêu: mở đăng ký nhanh, hiển thị thương hiệu chuyên nghiệp, biết ai đã đăng ký/đã thanh toán, giảm nhắc thủ công.</w:t>
      </w:r>
    </w:p>
    <w:p>
      <w:pPr>
        <w:pStyle w:val="ListBullet"/>
      </w:pPr>
      <w:r>
        <w:t>Điểm đau cần xác thực: thao tác kỹ thuật, phí thuê ngoài, thu tiền và gửi xác nhận, quản lý học viên.</w:t>
      </w:r>
    </w:p>
    <w:p>
      <w:pPr>
        <w:pStyle w:val="ListBullet"/>
      </w:pPr>
      <w:r>
        <w:t>Rào cản: phí thuê bao khi không có sự kiện; cần trải nghiệm mobile-first; không muốn cấu hình tích hợp phức tạp.</w:t>
      </w:r>
    </w:p>
    <w:p>
      <w:pPr>
        <w:pStyle w:val="Heading2"/>
      </w:pPr>
      <w:r>
        <w:t>5.3. Agency/account lead — phân khúc thứ cấp</w:t>
      </w:r>
    </w:p>
    <w:p>
      <w:r>
        <w:rPr>
          <w:i w:val="0"/>
        </w:rPr>
        <w:t>Bối cảnh giả thuyết: cần dựng nhiều landing page cho nhiều khách hàng, sửa nội dung sát hạn và duy trì quy trình duyệt. Giá trị nằm ở tái sử dụng mẫu, workspace theo khách hàng, lịch sử phiên bản và phân quyền; nhu cầu này có thể vượt phạm vi MVP đơn giản.</w:t>
      </w:r>
    </w:p>
    <w:p>
      <w:pPr>
        <w:pStyle w:val="Heading2"/>
      </w:pPr>
      <w:r>
        <w:t>5.4. Ban tổ chức CLB/sự kiện cộng đồng — phân khúc freemium</w:t>
      </w:r>
    </w:p>
    <w:p>
      <w:r>
        <w:rPr>
          <w:i w:val="0"/>
        </w:rPr>
        <w:t>Bối cảnh giả thuyết: ưu tiên công cụ miễn phí, thao tác trên điện thoại, chia sẻ qua mạng xã hội và check-in dễ. Đây có thể là nhóm tạo nhận biết hoặc thử nghiệm, nhưng chưa có bằng chứng cho thấy là nguồn doanh thu ưu tiên.</w:t>
      </w:r>
    </w:p>
    <w:p>
      <w:pPr>
        <w:pStyle w:val="Heading1"/>
      </w:pPr>
      <w:r>
        <w:t>6. Hành trình người dùng và điểm nghẽn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51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Giai đoạn</w:t>
            </w:r>
          </w:p>
        </w:tc>
        <w:tc>
          <w:tcPr>
            <w:tcW w:type="dxa" w:w="288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Việc người tổ chức làm</w:t>
            </w:r>
          </w:p>
        </w:tc>
        <w:tc>
          <w:tcPr>
            <w:tcW w:type="dxa" w:w="309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Rủi ro/điểm nghẽn</w:t>
            </w:r>
          </w:p>
        </w:tc>
        <w:tc>
          <w:tcPr>
            <w:tcW w:type="dxa" w:w="309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Cơ hội sản phẩm</w:t>
            </w:r>
          </w:p>
        </w:tc>
      </w:tr>
      <w:tr>
        <w:trPr>
          <w:cantSplit/>
        </w:trPr>
        <w:tc>
          <w:tcPr>
            <w:tcW w:type="dxa" w:w="15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1. Lập brief</w:t>
            </w:r>
          </w:p>
        </w:tc>
        <w:tc>
          <w:tcPr>
            <w:tcW w:type="dxa" w:w="288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Chốt mục tiêu, thời gian, địa điểm, diễn giả, lịch trình, giá và CTA.</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Thông tin thiếu, đổi nhiều lần, không thống nhất nguồn.</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Form có cấu trúc; phát hiện trường thiếu/mâu thuẫn.</w:t>
            </w:r>
          </w:p>
        </w:tc>
      </w:tr>
      <w:tr>
        <w:trPr>
          <w:cantSplit/>
        </w:trPr>
        <w:tc>
          <w:tcPr>
            <w:tcW w:type="dxa" w:w="151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2. Soạn nội dung</w:t>
            </w:r>
          </w:p>
        </w:tc>
        <w:tc>
          <w:tcPr>
            <w:tcW w:type="dxa" w:w="288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Viết tiêu đề, mô tả, lợi ích, agenda, FAQ và chính sách.</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Bắt đầu từ trang trắng; nội dung chung chung hoặc sai.</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AI tạo bản nháp dựa trên brief; đánh dấu phần cần xác nhận.</w:t>
            </w:r>
          </w:p>
        </w:tc>
      </w:tr>
      <w:tr>
        <w:trPr>
          <w:cantSplit/>
        </w:trPr>
        <w:tc>
          <w:tcPr>
            <w:tcW w:type="dxa" w:w="15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3. Dựng và sửa trang</w:t>
            </w:r>
          </w:p>
        </w:tc>
        <w:tc>
          <w:tcPr>
            <w:tcW w:type="dxa" w:w="288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Chọn mẫu, thay ảnh/màu, điều chỉnh các khối.</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Mất thời gian; bố cục vỡ trên mobile; khó quay lại phiên bản cũ.</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Section editor; responsive preview; undo; version history.</w:t>
            </w:r>
          </w:p>
        </w:tc>
      </w:tr>
      <w:tr>
        <w:trPr>
          <w:cantSplit/>
        </w:trPr>
        <w:tc>
          <w:tcPr>
            <w:tcW w:type="dxa" w:w="151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4. Form và dữ liệu</w:t>
            </w:r>
          </w:p>
        </w:tc>
        <w:tc>
          <w:tcPr>
            <w:tcW w:type="dxa" w:w="288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Chọn trường đăng ký, nơi lưu và công cụ đo.</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Form lỗi, dữ liệu lặp, mất nguồn chiến dịch.</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Kiểm thử form; field mapping; UTM; xuất dữ liệu.</w:t>
            </w:r>
          </w:p>
        </w:tc>
      </w:tr>
      <w:tr>
        <w:trPr>
          <w:cantSplit/>
        </w:trPr>
        <w:tc>
          <w:tcPr>
            <w:tcW w:type="dxa" w:w="15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5. Xuất bản và phân phối</w:t>
            </w:r>
          </w:p>
        </w:tc>
        <w:tc>
          <w:tcPr>
            <w:tcW w:type="dxa" w:w="288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Gắn tên miền/link vào quảng cáo, email, Zalo, social.</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Link sai, thiếu tracking hoặc preview chia sẻ không đẹp.</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Checklist publish; metadata/share preview; link UTM.</w:t>
            </w:r>
          </w:p>
        </w:tc>
      </w:tr>
      <w:tr>
        <w:trPr>
          <w:cantSplit/>
        </w:trPr>
        <w:tc>
          <w:tcPr>
            <w:tcW w:type="dxa" w:w="151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6. Chăm sóc và tham dự</w:t>
            </w:r>
          </w:p>
        </w:tc>
        <w:tc>
          <w:tcPr>
            <w:tcW w:type="dxa" w:w="288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Xác nhận, nhắc lịch, quản lý vé, check-in.</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Tin nhắn thủ công; sai trạng thái thanh toán; ùn tắc check-in.</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Mở rộng sau MVP theo nhu cầu; không mặc định tự động hóa mọi kênh.</w:t>
            </w:r>
          </w:p>
        </w:tc>
      </w:tr>
      <w:tr>
        <w:trPr>
          <w:cantSplit/>
        </w:trPr>
        <w:tc>
          <w:tcPr>
            <w:tcW w:type="dxa" w:w="15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7. Đánh giá</w:t>
            </w:r>
          </w:p>
        </w:tc>
        <w:tc>
          <w:tcPr>
            <w:tcW w:type="dxa" w:w="288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Tổng hợp view, đăng ký, tham dự và chi phí.</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Không rõ mẫu số; khó quy kết hiệu quả cho landing page.</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Dashboard funnel với định nghĩa metric và xuất báo cáo.</w:t>
            </w:r>
          </w:p>
        </w:tc>
      </w:tr>
    </w:tbl>
    <w:p>
      <w:pPr>
        <w:spacing w:after="20"/>
      </w:pPr>
    </w:p>
    <w:p>
      <w:r>
        <w:rPr>
          <w:i w:val="0"/>
        </w:rPr>
        <w:t>Nghiên cứu sơ cấp nên yêu cầu người tham gia kể lại sự kiện gần nhất thay vì hỏi chung “anh/chị có thích AI không?”. Hãy quan sát một quy trình thật, đo thời gian và ghi số lần chuyển giữa công cụ; sau đó mới đánh giá bản prototype.</w:t>
      </w:r>
    </w:p>
    <w:p>
      <w:pPr>
        <w:pStyle w:val="Heading1"/>
      </w:pPr>
      <w:r>
        <w:t>7. Định nghĩa sản phẩm: AI tạo trang và landing page động</w:t>
      </w:r>
    </w:p>
    <w:p>
      <w:pPr>
        <w:pStyle w:val="Heading2"/>
      </w:pPr>
      <w:r>
        <w:t>7.1. Phân biệt ba năng lực</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Năng lực</w:t>
            </w:r>
          </w:p>
        </w:tc>
        <w:tc>
          <w:tcPr>
            <w:tcW w:type="dxa" w:w="453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Mô tả</w:t>
            </w:r>
          </w:p>
        </w:tc>
        <w:tc>
          <w:tcPr>
            <w:tcW w:type="dxa" w:w="396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Điều kiện</w:t>
            </w:r>
          </w:p>
        </w:tc>
      </w:tr>
      <w:tr>
        <w:trPr>
          <w:cantSplit/>
        </w:trPr>
        <w:tc>
          <w:tcPr>
            <w:tcW w:type="dxa" w:w="2088"/>
            <w:vAlign w:val="center"/>
            <w:tcMar>
              <w:top w:w="90" w:type="dxa"/>
              <w:start w:w="100" w:type="dxa"/>
              <w:bottom w:w="90" w:type="dxa"/>
              <w:end w:w="100" w:type="dxa"/>
            </w:tcMar>
          </w:tcPr>
          <w:p>
            <w:pPr>
              <w:spacing w:after="0" w:line="252" w:lineRule="auto"/>
            </w:pPr>
            <w:r/>
            <w:r>
              <w:rPr>
                <w:rFonts w:ascii="Arial" w:hAnsi="Arial" w:eastAsia="Arial"/>
                <w:b w:val="0"/>
                <w:color w:val="19232D"/>
                <w:sz w:val="17"/>
              </w:rPr>
              <w:t>AI-assisted generation</w:t>
            </w:r>
          </w:p>
        </w:tc>
        <w:tc>
          <w:tcPr>
            <w:tcW w:type="dxa" w:w="453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AI tạo bản nháp nội dung, bố cục, FAQ hoặc gợi ý hình ảnh từ brief.</w:t>
            </w:r>
          </w:p>
        </w:tc>
        <w:tc>
          <w:tcPr>
            <w:tcW w:type="dxa" w:w="39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Người tổ chức duyệt nội dung và thông tin sự kiện trước xuất bản.</w:t>
            </w:r>
          </w:p>
        </w:tc>
      </w:tr>
      <w:tr>
        <w:trPr>
          <w:cantSplit/>
        </w:trPr>
        <w:tc>
          <w:tcPr>
            <w:tcW w:type="dxa" w:w="208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Cá nhân hóa động</w:t>
            </w:r>
          </w:p>
        </w:tc>
        <w:tc>
          <w:tcPr>
            <w:tcW w:type="dxa" w:w="453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Một số khối thay đổi theo chiến dịch, ngôn ngữ, loại vé hoặc quy tắc do người tổ chức cấu hình.</w:t>
            </w:r>
          </w:p>
        </w:tc>
        <w:tc>
          <w:tcPr>
            <w:tcW w:type="dxa" w:w="39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Có phiên bản mặc định, xem trước từng biến thể và kiểm soát dữ liệu dùng.</w:t>
            </w:r>
          </w:p>
        </w:tc>
      </w:tr>
      <w:tr>
        <w:trPr>
          <w:cantSplit/>
        </w:trPr>
        <w:tc>
          <w:tcPr>
            <w:tcW w:type="dxa" w:w="2088"/>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Tối ưu theo dữ liệu</w:t>
            </w:r>
          </w:p>
        </w:tc>
        <w:tc>
          <w:tcPr>
            <w:tcW w:type="dxa" w:w="453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Báo cáo hiệu quả hoặc thử nghiệm biến thể, rồi gợi ý thay đổi.</w:t>
            </w:r>
          </w:p>
        </w:tc>
        <w:tc>
          <w:tcPr>
            <w:tcW w:type="dxa" w:w="39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Có baseline, traffic đủ, định nghĩa metric và quyền duyệt của người dùng.</w:t>
            </w:r>
          </w:p>
        </w:tc>
      </w:tr>
    </w:tbl>
    <w:p>
      <w:pPr>
        <w:spacing w:after="20"/>
      </w:pPr>
    </w:p>
    <w:p>
      <w:r>
        <w:rPr>
          <w:i w:val="0"/>
        </w:rPr>
        <w:t>AI tạo một trang hoàn chỉnh ở thời điểm ban đầu chưa đồng nghĩa với landing page động. Để dùng cụm từ “động”, sản phẩm cần có logic chọn nội dung/biến thể theo tín hiệu hoặc cấu hình xác định. Không nên dùng thuộc tính nhạy cảm hoặc suy luận cá nhân không cần thiết.</w:t>
      </w:r>
    </w:p>
    <w:p>
      <w:pPr>
        <w:pStyle w:val="Heading2"/>
      </w:pPr>
      <w:r>
        <w:t>7.2. Luồng sản phẩm đề xuất</w:t>
      </w:r>
    </w:p>
    <w:p>
      <w:pPr>
        <w:spacing w:after="60"/>
        <w:ind w:left="403" w:hanging="403"/>
      </w:pPr>
      <w:r>
        <w:t>1. Người dùng tạo sự kiện bằng biểu mẫu có cấu trúc hoặc tải brief.</w:t>
      </w:r>
    </w:p>
    <w:p>
      <w:pPr>
        <w:spacing w:after="60"/>
        <w:ind w:left="403" w:hanging="403"/>
      </w:pPr>
      <w:r>
        <w:t>2. Hệ thống kiểm tra trường thiếu/mâu thuẫn; AI chỉ diễn đạt lại thông tin đã cung cấp hoặc gợi ý phần cần bổ sung.</w:t>
      </w:r>
    </w:p>
    <w:p>
      <w:pPr>
        <w:spacing w:after="60"/>
        <w:ind w:left="403" w:hanging="403"/>
      </w:pPr>
      <w:r>
        <w:t>3. AI đề xuất tiêu đề, mô tả, agenda, lợi ích tham dự, FAQ và thứ tự section theo loại sự kiện.</w:t>
      </w:r>
    </w:p>
    <w:p>
      <w:pPr>
        <w:spacing w:after="60"/>
        <w:ind w:left="403" w:hanging="403"/>
      </w:pPr>
      <w:r>
        <w:t>4. Người dùng sửa từng khối, xem trước desktop/mobile, lưu phiên bản và hoàn tác.</w:t>
      </w:r>
    </w:p>
    <w:p>
      <w:pPr>
        <w:spacing w:after="60"/>
        <w:ind w:left="403" w:hanging="403"/>
      </w:pPr>
      <w:r>
        <w:t>5. Người dùng tùy chọn tạo biến thể theo UTM/chiến dịch, duyệt nội dung từng biến thể và đặt phiên bản mặc định.</w:t>
      </w:r>
    </w:p>
    <w:p>
      <w:pPr>
        <w:spacing w:after="60"/>
        <w:ind w:left="403" w:hanging="403"/>
      </w:pPr>
      <w:r>
        <w:t>6. Checklist trước xuất bản kiểm tra thông tin, form, CTA, chính sách, tracking, mobile và metadata chia sẻ.</w:t>
      </w:r>
    </w:p>
    <w:p>
      <w:pPr>
        <w:spacing w:after="60"/>
        <w:ind w:left="403" w:hanging="403"/>
      </w:pPr>
      <w:r>
        <w:t>7. Sau xuất bản, dashboard theo dõi lượt xem, form bắt đầu, form hoàn tất và các nguồn traffic đã cấu hình.</w:t>
      </w:r>
    </w:p>
    <w:p>
      <w:pPr>
        <w:pStyle w:val="Heading2"/>
      </w:pPr>
      <w:r>
        <w:t>7.3. Ví dụ cá nhân hóa có kiểm soát</w:t>
      </w:r>
    </w:p>
    <w:p>
      <w:r>
        <w:rPr>
          <w:i w:val="0"/>
        </w:rPr>
        <w:t>Một workshop có hai chiến dịch: quảng cáo nhắm đến chủ doanh nghiệp nhỏ và email gửi khách hàng B2B. Người tổ chức chuẩn bị hai phiên bản tiêu đề/đoạn giới thiệu, duyệt trước cả hai, rồi gắn UTM tương ứng. Trang hiển thị phiên bản phù hợp khi truy cập từ liên kết chiến dịch; thời gian, giá vé, chính sách và form vẫn giống nhau nếu chưa được cấu hình khác. Người truy cập không bị phân loại bằng dữ liệu nhạy cảm; nếu thiếu UTM, trang hiển thị phiên bản mặc định.</w:t>
      </w:r>
    </w:p>
    <w:p>
      <w:pPr>
        <w:pStyle w:val="Heading1"/>
      </w:pPr>
      <w:r>
        <w:t>8. Nguyên tắc UX/UI</w:t>
      </w:r>
    </w:p>
    <w:p>
      <w:pPr>
        <w:pStyle w:val="Heading2"/>
      </w:pPr>
      <w:r>
        <w:t>8.1. Trải nghiệm công cụ tạo trang</w:t>
      </w:r>
    </w:p>
    <w:p>
      <w:pPr>
        <w:pStyle w:val="ListBullet"/>
      </w:pPr>
      <w:r>
        <w:t>Ưu tiên giao diện sáng/tối có thể chọn, tương phản tốt, có preview ngay; không khóa toàn bộ người dùng vào một phong cách màu.</w:t>
      </w:r>
    </w:p>
    <w:p>
      <w:pPr>
        <w:pStyle w:val="ListBullet"/>
      </w:pPr>
      <w:r>
        <w:t>Dùng mẫu theo mục tiêu sự kiện (webinar, workshop, ra mắt, cộng đồng), không gán gu thẩm mỹ cứng theo tuổi hoặc thế hệ.</w:t>
      </w:r>
    </w:p>
    <w:p>
      <w:pPr>
        <w:pStyle w:val="ListBullet"/>
      </w:pPr>
      <w:r>
        <w:t>Cho phép người dùng chỉnh tiêu đề, ảnh, CTA, lịch trình, màu thương hiệu và các section mà không phá bố cục responsive.</w:t>
      </w:r>
    </w:p>
    <w:p>
      <w:pPr>
        <w:pStyle w:val="ListBullet"/>
      </w:pPr>
      <w:r>
        <w:t>Giao diện AI cần cho thấy đầu vào nào đã được dùng, nội dung nào do AI đề xuất và trường nào cần xác nhận.</w:t>
      </w:r>
    </w:p>
    <w:p>
      <w:pPr>
        <w:pStyle w:val="ListBullet"/>
      </w:pPr>
      <w:r>
        <w:t>Bảo đảm Unicode tiếng Việt, dấu, font dễ đọc, bàn phím, độ tương phản, kích thước nút phù hợp mobile và thông báo lỗi rõ ràng.</w:t>
      </w:r>
    </w:p>
    <w:p>
      <w:pPr>
        <w:pStyle w:val="Heading2"/>
      </w:pPr>
      <w:r>
        <w:t>8.2. Trải nghiệm landing page xuất bản</w:t>
      </w:r>
    </w:p>
    <w:p>
      <w:pPr>
        <w:pStyle w:val="ListBullet"/>
      </w:pPr>
      <w:r>
        <w:t>Nội dung quan trọng như tên sự kiện, thời gian, địa điểm/hình thức, giá, diễn giả, lợi ích và CTA phải dễ quét.</w:t>
      </w:r>
    </w:p>
    <w:p>
      <w:pPr>
        <w:pStyle w:val="ListBullet"/>
      </w:pPr>
      <w:r>
        <w:t>Tối ưu mobile-first và kiểm tra tốc độ tải; không hy sinh khả năng đọc để thêm hiệu ứng chuyển động.</w:t>
      </w:r>
    </w:p>
    <w:p>
      <w:pPr>
        <w:pStyle w:val="ListBullet"/>
      </w:pPr>
      <w:r>
        <w:t>Form chỉ hỏi thông tin cần thiết; giải thích trường bắt buộc; hiển thị xác nhận sau khi đăng ký thành công.</w:t>
      </w:r>
    </w:p>
    <w:p>
      <w:pPr>
        <w:pStyle w:val="ListBullet"/>
      </w:pPr>
      <w:r>
        <w:t>Đồng hồ đếm ngược/số chỗ chỉ hiển thị khi phản ánh trạng thái thật; không dùng khan hiếm giả để tạo áp lực.</w:t>
      </w:r>
    </w:p>
    <w:p>
      <w:pPr>
        <w:pStyle w:val="ListBullet"/>
      </w:pPr>
      <w:r>
        <w:t>Thông tin chính sách, quyền riêng tư, hủy/hoàn tiền nếu có và kênh liên hệ phải dễ tìm.</w:t>
      </w:r>
    </w:p>
    <w:p>
      <w:r>
        <w:rPr>
          <w:i w:val="0"/>
        </w:rPr>
        <w:t>Các thông số màu, cỡ chữ và khoảng cách trong tài liệu gốc nên xem như design token khởi điểm, sau đó kiểm tra bằng usability test và accessibility review; không tuyên bố đó là sở thích phổ quát của từng nhóm tuổi.</w:t>
      </w:r>
    </w:p>
    <w:p>
      <w:pPr>
        <w:pStyle w:val="Heading1"/>
      </w:pPr>
      <w:r>
        <w:t>9. Yêu cầu tính năng và phạm vi MVP</w:t>
      </w:r>
    </w:p>
    <w:p>
      <w:pPr>
        <w:pStyle w:val="Heading2"/>
      </w:pPr>
      <w:r>
        <w:t>9.1. Must-have cho MVP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Tính năng</w:t>
            </w:r>
          </w:p>
        </w:tc>
        <w:tc>
          <w:tcPr>
            <w:tcW w:type="dxa" w:w="309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Giá trị cần kiểm chứng</w:t>
            </w:r>
          </w:p>
        </w:tc>
        <w:tc>
          <w:tcPr>
            <w:tcW w:type="dxa" w:w="561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Tiêu chí chấp nhận ban đầu</w:t>
            </w:r>
          </w:p>
        </w:tc>
      </w:tr>
      <w:tr>
        <w:trPr>
          <w:cantSplit/>
        </w:trPr>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AI tạo bản nháp từ brief</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Giảm công sức bắt đầu và tạo nội dung cấu trúc.</w:t>
            </w:r>
          </w:p>
        </w:tc>
        <w:tc>
          <w:tcPr>
            <w:tcW w:type="dxa" w:w="561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Tạo được title, mô tả, agenda, CTA và section; thông tin không có trong brief không bị khẳng định như thật.</w:t>
            </w:r>
          </w:p>
        </w:tc>
      </w:tr>
      <w:tr>
        <w:trPr>
          <w:cantSplit/>
        </w:trPr>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Section editor và mẫu sự kiện</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Sửa nhanh mà không cần kỹ năng lập trình.</w:t>
            </w:r>
          </w:p>
        </w:tc>
        <w:tc>
          <w:tcPr>
            <w:tcW w:type="dxa" w:w="561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Sửa được nội dung/ảnh/CTA; có undo và preview mobile/desktop.</w:t>
            </w:r>
          </w:p>
        </w:tc>
      </w:tr>
      <w:tr>
        <w:trPr>
          <w:cantSplit/>
        </w:trPr>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Form đăng ký và lưu dữ liệu</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Thu lead ổn định, giảm lỗi và chuyển file thủ công.</w:t>
            </w:r>
          </w:p>
        </w:tc>
        <w:tc>
          <w:tcPr>
            <w:tcW w:type="dxa" w:w="561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Có trường cơ bản, kiểm thử gửi, chống gửi lặp phù hợp và xuất dữ liệu.</w:t>
            </w:r>
          </w:p>
        </w:tc>
      </w:tr>
      <w:tr>
        <w:trPr>
          <w:cantSplit/>
        </w:trPr>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Xuất bản và checklist</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Đưa trang lên dùng được và tránh thiếu sót.</w:t>
            </w:r>
          </w:p>
        </w:tc>
        <w:tc>
          <w:tcPr>
            <w:tcW w:type="dxa" w:w="561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Có trạng thái draft/live, link rõ, checklist nội dung và hiển thị responsive.</w:t>
            </w:r>
          </w:p>
        </w:tc>
      </w:tr>
      <w:tr>
        <w:trPr>
          <w:cantSplit/>
        </w:trPr>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Analytics tối thiểu</w:t>
            </w:r>
          </w:p>
        </w:tc>
        <w:tc>
          <w:tcPr>
            <w:tcW w:type="dxa" w:w="309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Biết trang có tạo đăng ký hay không.</w:t>
            </w:r>
          </w:p>
        </w:tc>
        <w:tc>
          <w:tcPr>
            <w:tcW w:type="dxa" w:w="561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Hiển thị view, form start, submit success, conversion rate cùng mẫu số.</w:t>
            </w:r>
          </w:p>
        </w:tc>
      </w:tr>
      <w:tr>
        <w:trPr>
          <w:cantSplit/>
        </w:trPr>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Quyền dữ liệu cơ bản</w:t>
            </w:r>
          </w:p>
        </w:tc>
        <w:tc>
          <w:tcPr>
            <w:tcW w:type="dxa" w:w="309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Tạo niềm tin và hỗ trợ quản trị.</w:t>
            </w:r>
          </w:p>
        </w:tc>
        <w:tc>
          <w:tcPr>
            <w:tcW w:type="dxa" w:w="561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Thông báo thu thập, tải/xóa dữ liệu phù hợp với quyền và vai trò.</w:t>
            </w:r>
          </w:p>
        </w:tc>
      </w:tr>
    </w:tbl>
    <w:p>
      <w:pPr>
        <w:spacing w:after="20"/>
      </w:pPr>
    </w:p>
    <w:p>
      <w:pPr>
        <w:pStyle w:val="Heading2"/>
      </w:pPr>
      <w:r>
        <w:t>9.2. Giai đoạn sau khi kiểm chứng</w:t>
      </w:r>
    </w:p>
    <w:p>
      <w:pPr>
        <w:pStyle w:val="ListBullet"/>
      </w:pPr>
      <w:r>
        <w:t>Thư viện thương hiệu, workspace đa khách hàng, phê duyệt và lịch sử phiên bản cho agency.</w:t>
      </w:r>
    </w:p>
    <w:p>
      <w:pPr>
        <w:pStyle w:val="ListBullet"/>
      </w:pPr>
      <w:r>
        <w:t>Cá nhân hóa theo UTM/chiến dịch, quản lý biến thể và thử nghiệm A/B có hướng dẫn.</w:t>
      </w:r>
    </w:p>
    <w:p>
      <w:pPr>
        <w:pStyle w:val="ListBullet"/>
      </w:pPr>
      <w:r>
        <w:t>Gửi email xác nhận/nhắc lịch qua nhà cung cấp phù hợp; tích hợp Zalo OA/ZNS sau khi xác nhận tài khoản, quyền, phí, duyệt nội dung và giới hạn API.</w:t>
      </w:r>
    </w:p>
    <w:p>
      <w:pPr>
        <w:pStyle w:val="ListBullet"/>
      </w:pPr>
      <w:r>
        <w:t>Vé QR, check-in, thanh toán và đối soát khi đã kiểm chứng nhu cầu và có thiết kế xử lý giao dịch lỗi, hủy/hoàn tiền, quét trùng, mất mạng và hoàn tiền.</w:t>
      </w:r>
    </w:p>
    <w:p>
      <w:pPr>
        <w:pStyle w:val="ListBullet"/>
      </w:pPr>
      <w:r>
        <w:t>Social Kit tạo banner/bài đăng có thể là tiện ích tăng giá trị, nhưng cần tách khỏi mục tiêu cốt lõi nếu kéo dài thời gian MVP.</w:t>
      </w:r>
    </w:p>
    <w:p>
      <w:pPr>
        <w:pStyle w:val="Heading2"/>
      </w:pPr>
      <w:r>
        <w:t>9.3. Không đưa vào MVP</w:t>
      </w:r>
    </w:p>
    <w:p>
      <w:pPr>
        <w:pStyle w:val="ListBullet"/>
      </w:pPr>
      <w:r>
        <w:t>Tự động xuất bản nội dung AI chưa được người tổ chức duyệt.</w:t>
      </w:r>
    </w:p>
    <w:p>
      <w:pPr>
        <w:pStyle w:val="ListBullet"/>
      </w:pPr>
      <w:r>
        <w:t>Dùng AI để tự phán đoán giao dịch đã thanh toán chỉ từ ảnh chụp/mô tả tự do.</w:t>
      </w:r>
    </w:p>
    <w:p>
      <w:pPr>
        <w:pStyle w:val="ListBullet"/>
      </w:pPr>
      <w:r>
        <w:t>Tùy biến mã nguồn toàn phần nếu phân khúc ưu tiên không cần và làm tăng rủi ro hỗ trợ.</w:t>
      </w:r>
    </w:p>
    <w:p>
      <w:pPr>
        <w:pStyle w:val="ListBullet"/>
      </w:pPr>
      <w:r>
        <w:t>Cá nhân hóa dựa trên dữ liệu nhạy cảm hoặc tuyên bố cam kết tăng gấp đôi chuyển đổi/show-up.</w:t>
      </w:r>
    </w:p>
    <w:p>
      <w:pPr>
        <w:pStyle w:val="Heading1"/>
      </w:pPr>
      <w:r>
        <w:t>10. Mô hình kinh doanh và giả thuyết giá</w:t>
      </w:r>
    </w:p>
    <w:p>
      <w:r>
        <w:rPr>
          <w:i w:val="0"/>
        </w:rPr>
        <w:t>Các mức WTP trong tài liệu gốc (ví dụ gói cá nhân/SME, agency, trả theo sự kiện) nên được giữ như khoảng giá để thử nghiệm, không phải mức thị trường đã xác nhận. Mức trả lời trong phỏng vấn có thể khác hành vi thanh toán thật.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44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Gói giả thuyết</w:t>
            </w:r>
          </w:p>
        </w:tc>
        <w:tc>
          <w:tcPr>
            <w:tcW w:type="dxa" w:w="223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Đối tượng</w:t>
            </w:r>
          </w:p>
        </w:tc>
        <w:tc>
          <w:tcPr>
            <w:tcW w:type="dxa" w:w="252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Giá thử nghiệm từ bản gốc</w:t>
            </w:r>
          </w:p>
        </w:tc>
        <w:tc>
          <w:tcPr>
            <w:tcW w:type="dxa" w:w="475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Điều kiện cần làm rõ</w:t>
            </w:r>
          </w:p>
        </w:tc>
      </w:tr>
      <w:tr>
        <w:trPr>
          <w:cantSplit/>
        </w:trPr>
        <w:tc>
          <w:tcPr>
            <w:tcW w:type="dxa" w:w="144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Free</w:t>
            </w:r>
          </w:p>
        </w:tc>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7"/>
              </w:rPr>
              <w:t>CLB, người dùng thử, sự kiện nhỏ.</w:t>
            </w:r>
          </w:p>
        </w:tc>
        <w:tc>
          <w:tcPr>
            <w:tcW w:type="dxa" w:w="25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Miễn phí có giới hạn sự kiện/đăng ký.</w:t>
            </w:r>
          </w:p>
        </w:tc>
        <w:tc>
          <w:tcPr>
            <w:tcW w:type="dxa" w:w="4752"/>
            <w:vAlign w:val="center"/>
            <w:tcMar>
              <w:top w:w="90" w:type="dxa"/>
              <w:start w:w="100" w:type="dxa"/>
              <w:bottom w:w="90" w:type="dxa"/>
              <w:end w:w="100" w:type="dxa"/>
            </w:tcMar>
          </w:tcPr>
          <w:p>
            <w:pPr>
              <w:spacing w:after="0" w:line="252" w:lineRule="auto"/>
            </w:pPr>
            <w:r/>
            <w:r>
              <w:rPr>
                <w:rFonts w:ascii="Arial" w:hAnsi="Arial" w:eastAsia="Arial"/>
                <w:b w:val="0"/>
                <w:color w:val="19232D"/>
                <w:sz w:val="17"/>
              </w:rPr>
              <w:t>Giới hạn hợp lý; tránh dùng dữ liệu người tham dự làm đối giá ẩn.</w:t>
            </w:r>
          </w:p>
        </w:tc>
      </w:tr>
      <w:tr>
        <w:trPr>
          <w:cantSplit/>
        </w:trPr>
        <w:tc>
          <w:tcPr>
            <w:tcW w:type="dxa" w:w="144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Starter</w:t>
            </w:r>
          </w:p>
        </w:tc>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Trainer/chủ cơ sở ít sự kiện.</w:t>
            </w:r>
          </w:p>
        </w:tc>
        <w:tc>
          <w:tcPr>
            <w:tcW w:type="dxa" w:w="25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Khoảng 99.000 đồng/sự kiện hoặc 100.000–300.000 đồng/tháng.</w:t>
            </w:r>
          </w:p>
        </w:tc>
        <w:tc>
          <w:tcPr>
            <w:tcW w:type="dxa" w:w="475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So sánh trả theo sự kiện với thuê bao; kiểm tra mùa thấp điểm.</w:t>
            </w:r>
          </w:p>
        </w:tc>
      </w:tr>
      <w:tr>
        <w:trPr>
          <w:cantSplit/>
        </w:trPr>
        <w:tc>
          <w:tcPr>
            <w:tcW w:type="dxa" w:w="144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Growth</w:t>
            </w:r>
          </w:p>
        </w:tc>
        <w:tc>
          <w:tcPr>
            <w:tcW w:type="dxa" w:w="2232"/>
            <w:vAlign w:val="center"/>
            <w:tcMar>
              <w:top w:w="90" w:type="dxa"/>
              <w:start w:w="100" w:type="dxa"/>
              <w:bottom w:w="90" w:type="dxa"/>
              <w:end w:w="100" w:type="dxa"/>
            </w:tcMar>
          </w:tcPr>
          <w:p>
            <w:pPr>
              <w:spacing w:after="0" w:line="252" w:lineRule="auto"/>
            </w:pPr>
            <w:r/>
            <w:r>
              <w:rPr>
                <w:rFonts w:ascii="Arial" w:hAnsi="Arial" w:eastAsia="Arial"/>
                <w:b w:val="0"/>
                <w:color w:val="19232D"/>
                <w:sz w:val="17"/>
              </w:rPr>
              <w:t>Marketer in-house/SME.</w:t>
            </w:r>
          </w:p>
        </w:tc>
        <w:tc>
          <w:tcPr>
            <w:tcW w:type="dxa" w:w="25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Khoảng 199.000–399.000 đồng/tháng.</w:t>
            </w:r>
          </w:p>
        </w:tc>
        <w:tc>
          <w:tcPr>
            <w:tcW w:type="dxa" w:w="4752"/>
            <w:vAlign w:val="center"/>
            <w:tcMar>
              <w:top w:w="90" w:type="dxa"/>
              <w:start w:w="100" w:type="dxa"/>
              <w:bottom w:w="90" w:type="dxa"/>
              <w:end w:w="100" w:type="dxa"/>
            </w:tcMar>
          </w:tcPr>
          <w:p>
            <w:pPr>
              <w:spacing w:after="0" w:line="252" w:lineRule="auto"/>
            </w:pPr>
            <w:r/>
            <w:r>
              <w:rPr>
                <w:rFonts w:ascii="Arial" w:hAnsi="Arial" w:eastAsia="Arial"/>
                <w:b w:val="0"/>
                <w:color w:val="19232D"/>
                <w:sz w:val="17"/>
              </w:rPr>
              <w:t>Gắn với số trang, analytics, export, domain và hỗ trợ.</w:t>
            </w:r>
          </w:p>
        </w:tc>
      </w:tr>
      <w:tr>
        <w:trPr>
          <w:cantSplit/>
        </w:trPr>
        <w:tc>
          <w:tcPr>
            <w:tcW w:type="dxa" w:w="144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Agency</w:t>
            </w:r>
          </w:p>
        </w:tc>
        <w:tc>
          <w:tcPr>
            <w:tcW w:type="dxa" w:w="223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Agency nhiều khách hàng.</w:t>
            </w:r>
          </w:p>
        </w:tc>
        <w:tc>
          <w:tcPr>
            <w:tcW w:type="dxa" w:w="25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Khoảng 699.000–1.199.000 đồng/tháng.</w:t>
            </w:r>
          </w:p>
        </w:tc>
        <w:tc>
          <w:tcPr>
            <w:tcW w:type="dxa" w:w="475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Cần kiểm chứng workspace, thương hiệu, phân quyền và số khách hàng.</w:t>
            </w:r>
          </w:p>
        </w:tc>
      </w:tr>
    </w:tbl>
    <w:p>
      <w:pPr>
        <w:spacing w:after="20"/>
      </w:pPr>
    </w:p>
    <w:p>
      <w:r>
        <w:rPr>
          <w:i w:val="0"/>
        </w:rPr>
        <w:t>Trước khi chốt giá, cần tính chi phí AI theo lượt tạo/sửa, hosting, hỗ trợ, lưu trữ, email/tin nhắn, phí cổng thanh toán, hoàn tiền và chi phí tích hợp. Nếu Zalo hoặc nhà cung cấp khác có phí theo tin/API, cần xác nhận biểu phí hiện hành trước khi cam kết gói không giới hạn.</w:t>
      </w:r>
    </w:p>
    <w:p>
      <w:pPr>
        <w:pStyle w:val="Heading2"/>
      </w:pPr>
      <w:r>
        <w:t>10.1. Cách kiểm chứng giá</w:t>
      </w:r>
    </w:p>
    <w:p>
      <w:pPr>
        <w:spacing w:after="60"/>
        <w:ind w:left="403" w:hanging="403"/>
      </w:pPr>
      <w:r>
        <w:t>1. Phỏng vấn mức chi hiện tại và khoản chi có thể cắt giảm; yêu cầu người tham gia nêu ví dụ gần nhất.</w:t>
      </w:r>
    </w:p>
    <w:p>
      <w:pPr>
        <w:spacing w:after="60"/>
        <w:ind w:left="403" w:hanging="403"/>
      </w:pPr>
      <w:r>
        <w:t>2. Thử các gói/giá khác nhau trên trang giá hoặc trong pilot; đo hành động đăng ký/trả tiền chứ không chỉ hỏi mức sẵn sàng trả.</w:t>
      </w:r>
    </w:p>
    <w:p>
      <w:pPr>
        <w:spacing w:after="60"/>
        <w:ind w:left="403" w:hanging="403"/>
      </w:pPr>
      <w:r>
        <w:t>3. So sánh churn, tỷ lệ nâng gói, chi phí phục vụ và biên lợi nhuận theo phân khúc.</w:t>
      </w:r>
    </w:p>
    <w:p>
      <w:pPr>
        <w:spacing w:after="60"/>
        <w:ind w:left="403" w:hanging="403"/>
      </w:pPr>
      <w:r>
        <w:t>4. Đảm bảo đơn vị giá khớp hành vi: theo workspace/tháng, theo sự kiện hoặc theo số đăng ký; tránh tính phí trùng gây khó hiểu.</w:t>
      </w:r>
    </w:p>
    <w:p>
      <w:pPr>
        <w:pStyle w:val="Heading1"/>
      </w:pPr>
      <w:r>
        <w:t>11. Đối thủ và giả thuyết khoảng trống</w:t>
      </w:r>
    </w:p>
    <w:p>
      <w:r>
        <w:rPr>
          <w:i w:val="0"/>
        </w:rPr>
        <w:t>Không nên so sánh trình dựng trang, công cụ thiết kế, nền tảng sự kiện, bán vé và CRM như thể là cùng một loại sản phẩm. Hãy benchmark theo nhóm và cùng một kịch bản: tạo workshop, sửa diễn giả, tạo form, xuất bản, xuất dữ liệu và theo dõi kết quả. Với mỗi sản phẩm cần ghi gói dùng, ngày kiểm tra và nguồn chính thức.</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37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Nhóm giải pháp</w:t>
            </w:r>
          </w:p>
        </w:tc>
        <w:tc>
          <w:tcPr>
            <w:tcW w:type="dxa" w:w="288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Ví dụ được tài liệu gốc nhắc đến</w:t>
            </w:r>
          </w:p>
        </w:tc>
        <w:tc>
          <w:tcPr>
            <w:tcW w:type="dxa" w:w="576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Tiêu chí so sánh</w:t>
            </w:r>
          </w:p>
        </w:tc>
      </w:tr>
      <w:tr>
        <w:trPr>
          <w:cantSplit/>
        </w:trPr>
        <w:tc>
          <w:tcPr>
            <w:tcW w:type="dxa" w:w="237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Landing page/website builder</w:t>
            </w:r>
          </w:p>
        </w:tc>
        <w:tc>
          <w:tcPr>
            <w:tcW w:type="dxa" w:w="288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LadiPage, Webflow, Wix, Framer</w:t>
            </w:r>
          </w:p>
        </w:tc>
        <w:tc>
          <w:tcPr>
            <w:tcW w:type="dxa" w:w="57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Tốc độ dựng, editor, mobile, form, tracking, quyền xuất bản, tích hợp.</w:t>
            </w:r>
          </w:p>
        </w:tc>
      </w:tr>
      <w:tr>
        <w:trPr>
          <w:cantSplit/>
        </w:trPr>
        <w:tc>
          <w:tcPr>
            <w:tcW w:type="dxa" w:w="237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Thiết kế/website đơn giản</w:t>
            </w:r>
          </w:p>
        </w:tc>
        <w:tc>
          <w:tcPr>
            <w:tcW w:type="dxa" w:w="288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Canva Websites, Google Sites</w:t>
            </w:r>
          </w:p>
        </w:tc>
        <w:tc>
          <w:tcPr>
            <w:tcW w:type="dxa" w:w="57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Độ dễ, biểu mẫu, giới hạn tùy biến, analytics, khả năng xuất dữ liệu.</w:t>
            </w:r>
          </w:p>
        </w:tc>
      </w:tr>
      <w:tr>
        <w:trPr>
          <w:cantSplit/>
        </w:trPr>
        <w:tc>
          <w:tcPr>
            <w:tcW w:type="dxa" w:w="2376"/>
            <w:vAlign w:val="center"/>
            <w:tcMar>
              <w:top w:w="90" w:type="dxa"/>
              <w:start w:w="100" w:type="dxa"/>
              <w:bottom w:w="90" w:type="dxa"/>
              <w:end w:w="100" w:type="dxa"/>
            </w:tcMar>
          </w:tcPr>
          <w:p>
            <w:pPr>
              <w:spacing w:after="0" w:line="252" w:lineRule="auto"/>
            </w:pPr>
            <w:r/>
            <w:r>
              <w:rPr>
                <w:rFonts w:ascii="Arial" w:hAnsi="Arial" w:eastAsia="Arial"/>
                <w:b w:val="0"/>
                <w:color w:val="19232D"/>
                <w:sz w:val="17"/>
              </w:rPr>
              <w:t>Sự kiện/đăng ký/bán vé</w:t>
            </w:r>
          </w:p>
        </w:tc>
        <w:tc>
          <w:tcPr>
            <w:tcW w:type="dxa" w:w="288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Luma, Ticketbox</w:t>
            </w:r>
          </w:p>
        </w:tc>
        <w:tc>
          <w:tcPr>
            <w:tcW w:type="dxa" w:w="576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Tạo sự kiện, RSVP/bán vé, check-in, phí, payout, bản địa hóa và trải nghiệm người tham dự.</w:t>
            </w:r>
          </w:p>
        </w:tc>
      </w:tr>
      <w:tr>
        <w:trPr>
          <w:cantSplit/>
        </w:trPr>
        <w:tc>
          <w:tcPr>
            <w:tcW w:type="dxa" w:w="237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Công cụ vận hành dữ liệu</w:t>
            </w:r>
          </w:p>
        </w:tc>
        <w:tc>
          <w:tcPr>
            <w:tcW w:type="dxa" w:w="288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Google Sheets, CRM, email/automation</w:t>
            </w:r>
          </w:p>
        </w:tc>
        <w:tc>
          <w:tcPr>
            <w:tcW w:type="dxa" w:w="576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Đồng bộ, phân quyền, khả năng theo dõi và khối lượng thao tác thủ công.</w:t>
            </w:r>
          </w:p>
        </w:tc>
      </w:tr>
    </w:tbl>
    <w:p>
      <w:pPr>
        <w:spacing w:after="20"/>
      </w:pPr>
    </w:p>
    <w:tbl>
      <w:tblPr>
        <w:tblW w:type="auto" w:w="0"/>
        <w:jc w:val="center"/>
        <w:tblLook w:firstColumn="1" w:firstRow="1" w:lastColumn="0" w:lastRow="0" w:noHBand="0" w:noVBand="1" w:val="04A0"/>
      </w:tblPr>
      <w:tblGrid>
        <w:gridCol w:w="9878"/>
      </w:tblGrid>
      <w:tr>
        <w:tc>
          <w:tcPr>
            <w:tcW w:type="dxa" w:w="9878"/>
            <w:shd w:fill="F2EFFA"/>
            <w:tcMar>
              <w:top w:w="150" w:type="dxa"/>
              <w:start w:w="180" w:type="dxa"/>
              <w:bottom w:w="150" w:type="dxa"/>
              <w:end w:w="180" w:type="dxa"/>
            </w:tcMar>
          </w:tcPr>
          <w:p>
            <w:pPr>
              <w:spacing w:after="80"/>
            </w:pPr>
            <w:r/>
            <w:r>
              <w:rPr>
                <w:rFonts w:ascii="Arial" w:hAnsi="Arial"/>
                <w:b/>
                <w:color w:val="6044A6"/>
                <w:sz w:val="21"/>
              </w:rPr>
              <w:t>Giả thuyết khoảng trống — chưa phải kết luận</w:t>
            </w:r>
          </w:p>
          <w:p>
            <w:pPr>
              <w:spacing w:after="0" w:line="269" w:lineRule="auto"/>
            </w:pPr>
            <w:r>
              <w:rPr>
                <w:rFonts w:ascii="Arial" w:hAnsi="Arial"/>
                <w:sz w:val="20"/>
              </w:rPr>
              <w:t>Người tổ chức sự kiện nhỏ tại Việt Nam có thể cần một luồng gọn hơn giữa brief, trang đăng ký, dữ liệu và chăm sóc người tham dự. Chưa nên khẳng định chưa có đối thủ nào đáp ứng nhu cầu này. Cần kiểm tra sản phẩm hiện hành và phỏng vấn người dùng đang dùng các giải pháp thay thế trước khi chốt định vị.</w:t>
            </w:r>
          </w:p>
        </w:tc>
      </w:tr>
    </w:tbl>
    <w:p>
      <w:pPr>
        <w:spacing w:after="20"/>
      </w:pPr>
    </w:p>
    <w:p>
      <w:pPr>
        <w:pStyle w:val="Heading2"/>
      </w:pPr>
      <w:r>
        <w:t>11.1. Định vị đề xuất</w:t>
      </w:r>
    </w:p>
    <w:p>
      <w:r>
        <w:rPr>
          <w:i w:val="0"/>
        </w:rPr>
        <w:t>“Công cụ giúp người tổ chức sự kiện tạo, chỉnh sửa và xuất bản trang đăng ký chuyên nghiệp bằng AI; có thể mở rộng cá nhân hóa theo chiến dịch và kết nối dữ liệu phù hợp với quy trình tại Việt Nam.”</w:t>
      </w:r>
    </w:p>
    <w:p>
      <w:r>
        <w:rPr>
          <w:i w:val="0"/>
        </w:rPr>
        <w:t>Tránh cụm “hàng đầu Việt Nam”, “gấp đôi show-up” hoặc “không lo lỗi” nếu chưa có bằng chứng độc lập. Lời hứa ban đầu nên gắn với điều có thể đo: thời gian tạo trang, tỷ lệ xuất bản, lỗi form và số thao tác thủ công.</w:t>
      </w:r>
    </w:p>
    <w:p>
      <w:pPr>
        <w:pStyle w:val="Heading1"/>
      </w:pPr>
      <w:r>
        <w:t>12. Chỉ số thành công và kế hoạch kiểm chứng</w:t>
      </w:r>
    </w:p>
    <w:p>
      <w:pPr>
        <w:pStyle w:val="Heading2"/>
      </w:pPr>
      <w:r>
        <w:t>12.1. North Star Metric</w:t>
      </w:r>
    </w:p>
    <w:p>
      <w:r>
        <w:rPr>
          <w:i w:val="0"/>
        </w:rPr>
        <w:t>Đề xuất: **số trang sự kiện được xuất bản và nhận ít nhất một đăng ký hợp lệ trong mỗi tuần**. Chỉ số này phản ánh việc người dùng đưa sản phẩm vào tình huống thực tế, thay vì chỉ tạo bản nháp AI.</w:t>
      </w:r>
    </w:p>
    <w:p>
      <w:pPr>
        <w:pStyle w:val="Heading2"/>
      </w:pPr>
      <w:r>
        <w:t>12.2. Bộ chỉ số</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Nhóm</w:t>
            </w:r>
          </w:p>
        </w:tc>
        <w:tc>
          <w:tcPr>
            <w:tcW w:type="dxa" w:w="388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Chỉ số</w:t>
            </w:r>
          </w:p>
        </w:tc>
        <w:tc>
          <w:tcPr>
            <w:tcW w:type="dxa" w:w="547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Định nghĩa/ghi chú</w:t>
            </w:r>
          </w:p>
        </w:tc>
      </w:tr>
      <w:tr>
        <w:trPr>
          <w:cantSplit/>
        </w:trPr>
        <w:tc>
          <w:tcPr>
            <w:tcW w:type="dxa" w:w="165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Kích hoạt</w:t>
            </w:r>
          </w:p>
        </w:tc>
        <w:tc>
          <w:tcPr>
            <w:tcW w:type="dxa" w:w="388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Brief hoàn tất; bản nháp tạo; trang xuất bản.</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Theo dõi funnel và điểm rơi ở từng bước.</w:t>
            </w:r>
          </w:p>
        </w:tc>
      </w:tr>
      <w:tr>
        <w:trPr>
          <w:cantSplit/>
        </w:trPr>
        <w:tc>
          <w:tcPr>
            <w:tcW w:type="dxa" w:w="165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Hiệu quả tạo trang</w:t>
            </w:r>
          </w:p>
        </w:tc>
        <w:tc>
          <w:tcPr>
            <w:tcW w:type="dxa" w:w="388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Thời gian đến publish; số lần sửa; cần hỗ trợ hay không.</w:t>
            </w:r>
          </w:p>
        </w:tc>
        <w:tc>
          <w:tcPr>
            <w:tcW w:type="dxa" w:w="547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Tính từ lúc nhập brief đến publish, không chỉ thời gian AI sinh.</w:t>
            </w:r>
          </w:p>
        </w:tc>
      </w:tr>
      <w:tr>
        <w:trPr>
          <w:cantSplit/>
        </w:trPr>
        <w:tc>
          <w:tcPr>
            <w:tcW w:type="dxa" w:w="165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Chuyển đổi</w:t>
            </w:r>
          </w:p>
        </w:tc>
        <w:tc>
          <w:tcPr>
            <w:tcW w:type="dxa" w:w="388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View; form start; submit success; conversion rate.</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CR = phiên gửi form thành công / phiên đủ điều kiện bắt đầu form; định nghĩa rõ bot và phiên lặp.</w:t>
            </w:r>
          </w:p>
        </w:tc>
      </w:tr>
      <w:tr>
        <w:trPr>
          <w:cantSplit/>
        </w:trPr>
        <w:tc>
          <w:tcPr>
            <w:tcW w:type="dxa" w:w="165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Vận hành</w:t>
            </w:r>
          </w:p>
        </w:tc>
        <w:tc>
          <w:tcPr>
            <w:tcW w:type="dxa" w:w="388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Lỗi gửi form; bản ghi trùng; thời gian xử lý thủ công.</w:t>
            </w:r>
          </w:p>
        </w:tc>
        <w:tc>
          <w:tcPr>
            <w:tcW w:type="dxa" w:w="547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So sánh trước/sau trên cùng loại sự kiện khi khả thi.</w:t>
            </w:r>
          </w:p>
        </w:tc>
      </w:tr>
      <w:tr>
        <w:trPr>
          <w:cantSplit/>
        </w:trPr>
        <w:tc>
          <w:tcPr>
            <w:tcW w:type="dxa" w:w="165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Kinh doanh</w:t>
            </w:r>
          </w:p>
        </w:tc>
        <w:tc>
          <w:tcPr>
            <w:tcW w:type="dxa" w:w="388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Trial-to-paid; doanh thu/tài khoản; churn; cost-to-serve.</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Báo cáo theo phân khúc và cohort.</w:t>
            </w:r>
          </w:p>
        </w:tc>
      </w:tr>
      <w:tr>
        <w:trPr>
          <w:cantSplit/>
        </w:trPr>
        <w:tc>
          <w:tcPr>
            <w:tcW w:type="dxa" w:w="1656"/>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Chất lượng AI</w:t>
            </w:r>
          </w:p>
        </w:tc>
        <w:tc>
          <w:tcPr>
            <w:tcW w:type="dxa" w:w="388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Chấp nhận bản nháp; sửa lớn; lỗi thông tin; phản hồi người dùng.</w:t>
            </w:r>
          </w:p>
        </w:tc>
        <w:tc>
          <w:tcPr>
            <w:tcW w:type="dxa" w:w="547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Kiểm tra riêng thông tin tên, thời gian, địa điểm, giá và chính sách.</w:t>
            </w:r>
          </w:p>
        </w:tc>
      </w:tr>
      <w:tr>
        <w:trPr>
          <w:cantSplit/>
        </w:trPr>
        <w:tc>
          <w:tcPr>
            <w:tcW w:type="dxa" w:w="1656"/>
            <w:vAlign w:val="center"/>
            <w:tcMar>
              <w:top w:w="90" w:type="dxa"/>
              <w:start w:w="100" w:type="dxa"/>
              <w:bottom w:w="90" w:type="dxa"/>
              <w:end w:w="100" w:type="dxa"/>
            </w:tcMar>
          </w:tcPr>
          <w:p>
            <w:pPr>
              <w:spacing w:after="0" w:line="252" w:lineRule="auto"/>
            </w:pPr>
            <w:r/>
            <w:r>
              <w:rPr>
                <w:rFonts w:ascii="Arial" w:hAnsi="Arial" w:eastAsia="Arial"/>
                <w:b w:val="0"/>
                <w:color w:val="19232D"/>
                <w:sz w:val="16"/>
              </w:rPr>
              <w:t>An toàn</w:t>
            </w:r>
          </w:p>
        </w:tc>
        <w:tc>
          <w:tcPr>
            <w:tcW w:type="dxa" w:w="388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Spam, khiếu nại, sự cố dữ liệu, yêu cầu xóa.</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Đặt guardrail và quy trình xử lý trước khi mở rộng.</w:t>
            </w:r>
          </w:p>
        </w:tc>
      </w:tr>
    </w:tbl>
    <w:p>
      <w:pPr>
        <w:spacing w:after="20"/>
      </w:pPr>
    </w:p>
    <w:p>
      <w:pPr>
        <w:pStyle w:val="Heading2"/>
      </w:pPr>
      <w:r>
        <w:t>12.3. Lộ trình nghiên cứu</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36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Giai đoạn</w:t>
            </w:r>
          </w:p>
        </w:tc>
        <w:tc>
          <w:tcPr>
            <w:tcW w:type="dxa" w:w="504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Hoạt động</w:t>
            </w:r>
          </w:p>
        </w:tc>
        <w:tc>
          <w:tcPr>
            <w:tcW w:type="dxa" w:w="460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Đầu ra cần có</w:t>
            </w:r>
          </w:p>
        </w:tc>
      </w:tr>
      <w:tr>
        <w:trPr>
          <w:cantSplit/>
        </w:trPr>
        <w:tc>
          <w:tcPr>
            <w:tcW w:type="dxa" w:w="136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1. Khám phá</w:t>
            </w:r>
          </w:p>
        </w:tc>
        <w:tc>
          <w:tcPr>
            <w:tcW w:type="dxa" w:w="504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Phỏng vấn hành vi gần đây với các phân khúc ưu tiên; xem công cụ/quy trình thật nếu được.</w:t>
            </w:r>
          </w:p>
        </w:tc>
        <w:tc>
          <w:tcPr>
            <w:tcW w:type="dxa" w:w="460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Bản đồ công việc, mức độ đau, bằng chứng và giả thuyết sửa đổi.</w:t>
            </w:r>
          </w:p>
        </w:tc>
      </w:tr>
      <w:tr>
        <w:trPr>
          <w:cantSplit/>
        </w:trPr>
        <w:tc>
          <w:tcPr>
            <w:tcW w:type="dxa" w:w="136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2. Prototype</w:t>
            </w:r>
          </w:p>
        </w:tc>
        <w:tc>
          <w:tcPr>
            <w:tcW w:type="dxa" w:w="504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Giao nhiệm vụ tạo/sửa/xem trước/publish; quan sát trên điện thoại và laptop.</w:t>
            </w:r>
          </w:p>
        </w:tc>
        <w:tc>
          <w:tcPr>
            <w:tcW w:type="dxa" w:w="460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Tỷ lệ hoàn thành, thời gian, lỗi, câu hỏi người dùng.</w:t>
            </w:r>
          </w:p>
        </w:tc>
      </w:tr>
      <w:tr>
        <w:trPr>
          <w:cantSplit/>
        </w:trPr>
        <w:tc>
          <w:tcPr>
            <w:tcW w:type="dxa" w:w="136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3. Pilot</w:t>
            </w:r>
          </w:p>
        </w:tc>
        <w:tc>
          <w:tcPr>
            <w:tcW w:type="dxa" w:w="504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Dùng sản phẩm trên sự kiện thật; đo quy trình và lỗi form.</w:t>
            </w:r>
          </w:p>
        </w:tc>
        <w:tc>
          <w:tcPr>
            <w:tcW w:type="dxa" w:w="460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Baseline/after, feedback, nhu cầu tích hợp, sự cố.</w:t>
            </w:r>
          </w:p>
        </w:tc>
      </w:tr>
      <w:tr>
        <w:trPr>
          <w:cantSplit/>
        </w:trPr>
        <w:tc>
          <w:tcPr>
            <w:tcW w:type="dxa" w:w="136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4. Giá</w:t>
            </w:r>
          </w:p>
        </w:tc>
        <w:tc>
          <w:tcPr>
            <w:tcW w:type="dxa" w:w="504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Thử gói/giá, đo đăng ký và hành vi trả phí.</w:t>
            </w:r>
          </w:p>
        </w:tc>
        <w:tc>
          <w:tcPr>
            <w:tcW w:type="dxa" w:w="460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WTP theo phân khúc và economics sơ bộ.</w:t>
            </w:r>
          </w:p>
        </w:tc>
      </w:tr>
      <w:tr>
        <w:trPr>
          <w:cantSplit/>
        </w:trPr>
        <w:tc>
          <w:tcPr>
            <w:tcW w:type="dxa" w:w="136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5. Mở rộng</w:t>
            </w:r>
          </w:p>
        </w:tc>
        <w:tc>
          <w:tcPr>
            <w:tcW w:type="dxa" w:w="5040"/>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Thêm tích hợp hoặc cá nhân hóa có kiểm soát.</w:t>
            </w:r>
          </w:p>
        </w:tc>
        <w:tc>
          <w:tcPr>
            <w:tcW w:type="dxa" w:w="460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Tăng trưởng metric cốt lõi mà không làm tăng rủi ro không chấp nhận được.</w:t>
            </w:r>
          </w:p>
        </w:tc>
      </w:tr>
    </w:tbl>
    <w:p>
      <w:pPr>
        <w:spacing w:after="20"/>
      </w:pPr>
    </w:p>
    <w:p>
      <w:r>
        <w:rPr>
          <w:i w:val="0"/>
        </w:rPr>
        <w:t>Không kết luận landing page làm tăng chuyển đổi nếu traffic, quảng cáo, giá vé, thời điểm, thương hiệu, đối tượng và ưu đãi không được kiểm soát. Khi chưa đủ cỡ mẫu cho A/B test, báo cáo kết quả như quan sát định hướng thay vì khẳng định nhân quả.</w:t>
      </w:r>
    </w:p>
    <w:p>
      <w:pPr>
        <w:pStyle w:val="Heading1"/>
      </w:pPr>
      <w:r>
        <w:t>13. Kiến trúc vận hành, dữ liệu và rủi ro</w:t>
      </w:r>
    </w:p>
    <w:p>
      <w:pPr>
        <w:pStyle w:val="Heading2"/>
      </w:pPr>
      <w:r>
        <w:t>13.1. Chất lượng nội dung AI</w:t>
      </w:r>
    </w:p>
    <w:p>
      <w:pPr>
        <w:pStyle w:val="ListBullet"/>
      </w:pPr>
      <w:r>
        <w:t>Brief của người tổ chức là nguồn chuẩn; AI được phép viết lại/đề xuất nhưng không tự bịa diễn giả, địa điểm, lịch, giá hoặc chính sách.</w:t>
      </w:r>
    </w:p>
    <w:p>
      <w:pPr>
        <w:pStyle w:val="ListBullet"/>
      </w:pPr>
      <w:r>
        <w:t>Thông tin thiếu cần được đánh dấu “cần xác nhận” hoặc để trống; không trình bày như dữ kiện đã xác minh.</w:t>
      </w:r>
    </w:p>
    <w:p>
      <w:pPr>
        <w:pStyle w:val="ListBullet"/>
      </w:pPr>
      <w:r>
        <w:t>Mọi nội dung live cần có người duyệt; lưu lịch sử phiên bản, hoàn tác và khả năng khôi phục.</w:t>
      </w:r>
    </w:p>
    <w:p>
      <w:pPr>
        <w:pStyle w:val="ListBullet"/>
      </w:pPr>
      <w:r>
        <w:t>Nội dung cá nhân hóa cần có biến thể đã duyệt, phiên bản mặc định và log quy tắc chọn biến thể.</w:t>
      </w:r>
    </w:p>
    <w:p>
      <w:pPr>
        <w:pStyle w:val="Heading2"/>
      </w:pPr>
      <w:r>
        <w:t>13.2. Quyền riêng tư và bảo vệ dữ liệu</w:t>
      </w:r>
    </w:p>
    <w:p>
      <w:r>
        <w:rPr>
          <w:i w:val="0"/>
        </w:rPr>
        <w:t>Biểu mẫu cần thu thập tối thiểu dữ liệu phục vụ đăng ký. Trang cần thông báo mục đích, trường dữ liệu, bên nhận dữ liệu, thời hạn lưu và kênh yêu cầu hỗ trợ. Người tổ chức cần quản lý quyền truy cập, tải xuống và xóa dữ liệu phù hợp. Không mặc định dùng dữ liệu đăng ký để huấn luyện mô hình hoặc quảng cáo lại nếu chưa có cơ sở và cơ chế thông báo/đồng ý thích hợp.</w:t>
      </w:r>
    </w:p>
    <w:p>
      <w:pPr>
        <w:pStyle w:val="Heading2"/>
      </w:pPr>
      <w:r>
        <w:t>13.3. Tích hợp và thanh toán</w:t>
      </w:r>
    </w:p>
    <w:p>
      <w:r>
        <w:rPr>
          <w:i w:val="0"/>
        </w:rPr>
        <w:t>Mỗi tích hợp phải được xác nhận theo tài liệu chính thức, gồm quyền tài khoản, quyền API, giới hạn, phí, thời gian phê duyệt, xử lý lỗi, cơ chế retry và phương án thủ công. Không quảng bá “1-click” nếu vẫn yêu cầu tạo tài khoản doanh nghiệp, thiết lập khóa API hoặc chờ duyệt mẫu tin nhắn.</w:t>
      </w:r>
    </w:p>
    <w:p>
      <w:r>
        <w:rPr>
          <w:i w:val="0"/>
        </w:rPr>
        <w:t>Với thanh toán, trạng thái nên được quản lý rõ như: chưa thanh toán, đang chờ xác nhận, đã xác nhận, thất bại, hoàn tiền. Chỉ xác nhận khi nhận được tín hiệu đáng tin cậy từ nhà cung cấp/nguồn giao dịch đã tích hợp; không dùng mô hình AI để đoán từ ảnh chụp. Cần kiểm soát giao dịch lặp, mã QR dùng lại, sai số tiền, hủy và hoàn tiền.</w:t>
      </w:r>
    </w:p>
    <w:p>
      <w:pPr>
        <w:pStyle w:val="Heading2"/>
      </w:pPr>
      <w:r>
        <w:t>13.4. Bảo mật và vận hành</w:t>
      </w:r>
    </w:p>
    <w:p>
      <w:pPr>
        <w:pStyle w:val="ListBullet"/>
      </w:pPr>
      <w:r>
        <w:t>Phân quyền theo workspace, xác thực quản trị viên, bảo vệ đường dẫn quản lý và ghi nhật ký thao tác.</w:t>
      </w:r>
    </w:p>
    <w:p>
      <w:pPr>
        <w:pStyle w:val="ListBullet"/>
      </w:pPr>
      <w:r>
        <w:t>Chống spam/đăng ký tự động; sao lưu; theo dõi lỗi form và cảnh báo downtime.</w:t>
      </w:r>
    </w:p>
    <w:p>
      <w:pPr>
        <w:pStyle w:val="ListBullet"/>
      </w:pPr>
      <w:r>
        <w:t>QR check-in không nên nhúng dữ liệu cá nhân đọc trực tiếp; cần chống quét lại, thu hồi vé và xử lý mạng yếu.</w:t>
      </w:r>
    </w:p>
    <w:p>
      <w:pPr>
        <w:pStyle w:val="ListBullet"/>
      </w:pPr>
      <w:r>
        <w:t>Thiết kế hỗ trợ khi dịch vụ email, nhắn tin, thanh toán hoặc spreadsheet bên thứ ba gián đoạn.</w:t>
      </w:r>
    </w:p>
    <w:p>
      <w:pPr>
        <w:pStyle w:val="Heading1"/>
      </w:pPr>
      <w:r>
        <w:t>14. Lộ trình đề xuất và quyết định cần chốt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Giai đoạn</w:t>
            </w:r>
          </w:p>
        </w:tc>
        <w:tc>
          <w:tcPr>
            <w:tcW w:type="dxa" w:w="475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Phạm vi</w:t>
            </w:r>
          </w:p>
        </w:tc>
        <w:tc>
          <w:tcPr>
            <w:tcW w:type="dxa" w:w="4320"/>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7"/>
              </w:rPr>
              <w:t>Cổng quyết định</w:t>
            </w:r>
          </w:p>
        </w:tc>
      </w:tr>
      <w:tr>
        <w:trPr>
          <w:cantSplit/>
        </w:trPr>
        <w:tc>
          <w:tcPr>
            <w:tcW w:type="dxa" w:w="1944"/>
            <w:vAlign w:val="center"/>
            <w:tcMar>
              <w:top w:w="90" w:type="dxa"/>
              <w:start w:w="100" w:type="dxa"/>
              <w:bottom w:w="90" w:type="dxa"/>
              <w:end w:w="100" w:type="dxa"/>
            </w:tcMar>
          </w:tcPr>
          <w:p>
            <w:pPr>
              <w:spacing w:after="0" w:line="252" w:lineRule="auto"/>
            </w:pPr>
            <w:r/>
            <w:r>
              <w:rPr>
                <w:rFonts w:ascii="Arial" w:hAnsi="Arial" w:eastAsia="Arial"/>
                <w:b w:val="0"/>
                <w:color w:val="19232D"/>
                <w:sz w:val="17"/>
              </w:rPr>
              <w:t>0. Khám phá</w:t>
            </w:r>
          </w:p>
        </w:tc>
        <w:tc>
          <w:tcPr>
            <w:tcW w:type="dxa" w:w="4752"/>
            <w:vAlign w:val="center"/>
            <w:tcMar>
              <w:top w:w="90" w:type="dxa"/>
              <w:start w:w="100" w:type="dxa"/>
              <w:bottom w:w="90" w:type="dxa"/>
              <w:end w:w="100" w:type="dxa"/>
            </w:tcMar>
          </w:tcPr>
          <w:p>
            <w:pPr>
              <w:spacing w:after="0" w:line="252" w:lineRule="auto"/>
            </w:pPr>
            <w:r/>
            <w:r>
              <w:rPr>
                <w:rFonts w:ascii="Arial" w:hAnsi="Arial" w:eastAsia="Arial"/>
                <w:b w:val="0"/>
                <w:color w:val="19232D"/>
                <w:sz w:val="17"/>
              </w:rPr>
              <w:t>Phỏng vấn, benchmark, audit nguồn, prototype flow.</w:t>
            </w:r>
          </w:p>
        </w:tc>
        <w:tc>
          <w:tcPr>
            <w:tcW w:type="dxa" w:w="43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Có bằng chứng lặp lại về vấn đề ưu tiên và người mua.</w:t>
            </w:r>
          </w:p>
        </w:tc>
      </w:tr>
      <w:tr>
        <w:trPr>
          <w:cantSplit/>
        </w:trPr>
        <w:tc>
          <w:tcPr>
            <w:tcW w:type="dxa" w:w="1944"/>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1. MVP tạo trang</w:t>
            </w:r>
          </w:p>
        </w:tc>
        <w:tc>
          <w:tcPr>
            <w:tcW w:type="dxa" w:w="475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Brief có cấu trúc, AI draft, section editor, form, publish, export, analytics cơ bản.</w:t>
            </w:r>
          </w:p>
        </w:tc>
        <w:tc>
          <w:tcPr>
            <w:tcW w:type="dxa" w:w="43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Người dùng tự hoàn tất và đưa trang vào sự kiện thật.</w:t>
            </w:r>
          </w:p>
        </w:tc>
      </w:tr>
      <w:tr>
        <w:trPr>
          <w:cantSplit/>
        </w:trPr>
        <w:tc>
          <w:tcPr>
            <w:tcW w:type="dxa" w:w="1944"/>
            <w:vAlign w:val="center"/>
            <w:tcMar>
              <w:top w:w="90" w:type="dxa"/>
              <w:start w:w="100" w:type="dxa"/>
              <w:bottom w:w="90" w:type="dxa"/>
              <w:end w:w="100" w:type="dxa"/>
            </w:tcMar>
          </w:tcPr>
          <w:p>
            <w:pPr>
              <w:spacing w:after="0" w:line="252" w:lineRule="auto"/>
            </w:pPr>
            <w:r/>
            <w:r>
              <w:rPr>
                <w:rFonts w:ascii="Arial" w:hAnsi="Arial" w:eastAsia="Arial"/>
                <w:b w:val="0"/>
                <w:color w:val="19232D"/>
                <w:sz w:val="17"/>
              </w:rPr>
              <w:t>2. Cá nhân hóa/automation</w:t>
            </w:r>
          </w:p>
        </w:tc>
        <w:tc>
          <w:tcPr>
            <w:tcW w:type="dxa" w:w="4752"/>
            <w:vAlign w:val="center"/>
            <w:tcMar>
              <w:top w:w="90" w:type="dxa"/>
              <w:start w:w="100" w:type="dxa"/>
              <w:bottom w:w="90" w:type="dxa"/>
              <w:end w:w="100" w:type="dxa"/>
            </w:tcMar>
          </w:tcPr>
          <w:p>
            <w:pPr>
              <w:spacing w:after="0" w:line="252" w:lineRule="auto"/>
            </w:pPr>
            <w:r/>
            <w:r>
              <w:rPr>
                <w:rFonts w:ascii="Arial" w:hAnsi="Arial" w:eastAsia="Arial"/>
                <w:b w:val="0"/>
                <w:color w:val="19232D"/>
                <w:sz w:val="17"/>
              </w:rPr>
              <w:t>UTM variants, nhắc email, workspace/team và A/B testing.</w:t>
            </w:r>
          </w:p>
        </w:tc>
        <w:tc>
          <w:tcPr>
            <w:tcW w:type="dxa" w:w="4320"/>
            <w:vAlign w:val="center"/>
            <w:tcMar>
              <w:top w:w="90" w:type="dxa"/>
              <w:start w:w="100" w:type="dxa"/>
              <w:bottom w:w="90" w:type="dxa"/>
              <w:end w:w="100" w:type="dxa"/>
            </w:tcMar>
          </w:tcPr>
          <w:p>
            <w:pPr>
              <w:spacing w:after="0" w:line="252" w:lineRule="auto"/>
            </w:pPr>
            <w:r/>
            <w:r>
              <w:rPr>
                <w:rFonts w:ascii="Arial" w:hAnsi="Arial" w:eastAsia="Arial"/>
                <w:b w:val="0"/>
                <w:color w:val="19232D"/>
                <w:sz w:val="17"/>
              </w:rPr>
              <w:t>Có nhu cầu rõ, metric chất lượng và chi phí tích hợp chấp nhận được.</w:t>
            </w:r>
          </w:p>
        </w:tc>
      </w:tr>
      <w:tr>
        <w:trPr>
          <w:cantSplit/>
        </w:trPr>
        <w:tc>
          <w:tcPr>
            <w:tcW w:type="dxa" w:w="1944"/>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3. Event operations</w:t>
            </w:r>
          </w:p>
        </w:tc>
        <w:tc>
          <w:tcPr>
            <w:tcW w:type="dxa" w:w="475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Zalo, thanh toán, vé QR, check-in và hoàn tiền.</w:t>
            </w:r>
          </w:p>
        </w:tc>
        <w:tc>
          <w:tcPr>
            <w:tcW w:type="dxa" w:w="4320"/>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7"/>
              </w:rPr>
              <w:t>Có đối tác/API phù hợp, kiểm soát vận hành và economics khả thi.</w:t>
            </w:r>
          </w:p>
        </w:tc>
      </w:tr>
    </w:tbl>
    <w:p>
      <w:pPr>
        <w:spacing w:after="20"/>
      </w:pPr>
    </w:p>
    <w:p>
      <w:pPr>
        <w:pStyle w:val="Heading2"/>
      </w:pPr>
      <w:r>
        <w:t>14.1. Quyết định cần chốt trước khi phát triển</w:t>
      </w:r>
    </w:p>
    <w:p>
      <w:pPr>
        <w:spacing w:after="60"/>
        <w:ind w:left="403" w:hanging="403"/>
      </w:pPr>
      <w:r>
        <w:t>1. Người dùng đầu tiên là marketer SME hay chủ cơ sở/trainer? Không nên tối ưu đồng thời cho mọi phân khúc.</w:t>
      </w:r>
    </w:p>
    <w:p>
      <w:pPr>
        <w:spacing w:after="60"/>
        <w:ind w:left="403" w:hanging="403"/>
      </w:pPr>
      <w:r>
        <w:t>2. MVP giải quyết tạo trang/đăng ký hay quản lý trọn quy trình sự kiện? Chọn một hành vi cốt lõi để đo.</w:t>
      </w:r>
    </w:p>
    <w:p>
      <w:pPr>
        <w:spacing w:after="60"/>
        <w:ind w:left="403" w:hanging="403"/>
      </w:pPr>
      <w:r>
        <w:t>3. “Động” có nghĩa là biến thể theo UTM/ngôn ngữ/loại vé hay chỉ AI tạo trang nhanh? Chốt thuật ngữ và phạm vi.</w:t>
      </w:r>
    </w:p>
    <w:p>
      <w:pPr>
        <w:spacing w:after="60"/>
        <w:ind w:left="403" w:hanging="403"/>
      </w:pPr>
      <w:r>
        <w:t>4. Ai trả tiền, theo tháng hay theo sự kiện, và chi phí nào được bao gồm? Kiểm chứng qua hành vi thanh toán.</w:t>
      </w:r>
    </w:p>
    <w:p>
      <w:pPr>
        <w:spacing w:after="60"/>
        <w:ind w:left="403" w:hanging="403"/>
      </w:pPr>
      <w:r>
        <w:t>5. Những tích hợp nào đã xác nhận khả thi và những tích hợp nào còn là giả thuyết? Ghi chủ sở hữu kỹ thuật và phụ thuộc.</w:t>
      </w:r>
    </w:p>
    <w:p>
      <w:pPr>
        <w:spacing w:after="60"/>
        <w:ind w:left="403" w:hanging="403"/>
      </w:pPr>
      <w:r>
        <w:t>6. Điều kiện nào khiến nhóm dừng, thu hẹp hoặc chuyển hướng? Đặt tiêu chí trước pilot thay vì quyết định sau khi xem kết quả.</w:t>
      </w:r>
    </w:p>
    <w:p>
      <w:pPr>
        <w:pStyle w:val="Heading1"/>
      </w:pPr>
      <w:r>
        <w:t>Phụ lục A. Câu hỏi phỏng vấn người dùng</w:t>
      </w:r>
    </w:p>
    <w:p>
      <w:r>
        <w:rPr>
          <w:i w:val="0"/>
        </w:rPr>
        <w:t>Dùng câu hỏi mở, tập trung sự kiện gần nhất. Tránh hỏi theo cách gợi ý câu trả lời như “anh/chị có muốn AI tạo trang không?”.</w:t>
      </w:r>
    </w:p>
    <w:p>
      <w:pPr>
        <w:spacing w:after="60"/>
        <w:ind w:left="403" w:hanging="403"/>
      </w:pPr>
      <w:r>
        <w:t>1. Hãy kể về sự kiện gần nhất anh/chị tổ chức. Mục tiêu, quy mô và thời gian chuẩn bị là gì?</w:t>
      </w:r>
    </w:p>
    <w:p>
      <w:pPr>
        <w:spacing w:after="60"/>
        <w:ind w:left="403" w:hanging="403"/>
      </w:pPr>
      <w:r>
        <w:t>2. Từ lúc nhận brief đến lúc trang đăng ký chạy, anh/chị đã làm những bước nào? Có thể mở công cụ hoặc tài liệu đang dùng không?</w:t>
      </w:r>
    </w:p>
    <w:p>
      <w:pPr>
        <w:spacing w:after="60"/>
        <w:ind w:left="403" w:hanging="403"/>
      </w:pPr>
      <w:r>
        <w:t>3. Khâu nào mất thời gian nhất? Khâu nào thường bị sửa lại hoặc gây lỗi?</w:t>
      </w:r>
    </w:p>
    <w:p>
      <w:pPr>
        <w:spacing w:after="60"/>
        <w:ind w:left="403" w:hanging="403"/>
      </w:pPr>
      <w:r>
        <w:t>4. Lần gần nhất trang/form có vấn đề là khi nào? Điều gì xảy ra và ảnh hưởng ra sao?</w:t>
      </w:r>
    </w:p>
    <w:p>
      <w:pPr>
        <w:spacing w:after="60"/>
        <w:ind w:left="403" w:hanging="403"/>
      </w:pPr>
      <w:r>
        <w:t>5. Ai tham gia tạo, duyệt và vận hành trang? Ai có quyền quyết định mua công cụ?</w:t>
      </w:r>
    </w:p>
    <w:p>
      <w:pPr>
        <w:spacing w:after="60"/>
        <w:ind w:left="403" w:hanging="403"/>
      </w:pPr>
      <w:r>
        <w:t>6. Hiện anh/chị trả tiền cho công cụ/dịch vụ nào? Khoản nào khó phê duyệt nhất?</w:t>
      </w:r>
    </w:p>
    <w:p>
      <w:pPr>
        <w:spacing w:after="60"/>
        <w:ind w:left="403" w:hanging="403"/>
      </w:pPr>
      <w:r>
        <w:t>7. Sau khi người tham dự đăng ký, dữ liệu đi đâu và ai xử lý? Có bước nào làm thủ công?</w:t>
      </w:r>
    </w:p>
    <w:p>
      <w:pPr>
        <w:spacing w:after="60"/>
        <w:ind w:left="403" w:hanging="403"/>
      </w:pPr>
      <w:r>
        <w:t>8. Anh/chị cần cá nhân hóa nội dung theo nguồn chiến dịch/nhóm khách hàng hay chỉ cần nhiều mẫu để tự chọn? Vì sao?</w:t>
      </w:r>
    </w:p>
    <w:p>
      <w:pPr>
        <w:spacing w:after="60"/>
        <w:ind w:left="403" w:hanging="403"/>
      </w:pPr>
      <w:r>
        <w:t>9. Thông tin nào anh/chị không muốn AI tự sửa hoặc tự quyết định?</w:t>
      </w:r>
    </w:p>
    <w:p>
      <w:pPr>
        <w:spacing w:after="60"/>
        <w:ind w:left="403" w:hanging="403"/>
      </w:pPr>
      <w:r>
        <w:t>10. Nếu thử một công cụ mới, điều gì khiến anh/chị tiếp tục dùng sau sự kiện đầu tiên? Điều gì khiến anh/chị dừng?</w:t>
      </w:r>
    </w:p>
    <w:p>
      <w:pPr>
        <w:pStyle w:val="Heading1"/>
      </w:pPr>
      <w:r>
        <w:t>Phụ lục B. Bảng giả thuyết cần kiểm chứng</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44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Giả thuyết</w:t>
            </w:r>
          </w:p>
        </w:tc>
        <w:tc>
          <w:tcPr>
            <w:tcW w:type="dxa" w:w="259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Bằng chứng hiện có</w:t>
            </w:r>
          </w:p>
        </w:tc>
        <w:tc>
          <w:tcPr>
            <w:tcW w:type="dxa" w:w="3312"/>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Cách kiểm tra</w:t>
            </w:r>
          </w:p>
        </w:tc>
        <w:tc>
          <w:tcPr>
            <w:tcW w:type="dxa" w:w="3168"/>
            <w:vAlign w:val="center"/>
            <w:tcMar>
              <w:top w:w="90" w:type="dxa"/>
              <w:start w:w="100" w:type="dxa"/>
              <w:bottom w:w="90" w:type="dxa"/>
              <w:end w:w="100" w:type="dxa"/>
            </w:tcMar>
            <w:shd w:fill="17324D"/>
          </w:tcPr>
          <w:p>
            <w:pPr>
              <w:spacing w:after="0" w:line="252" w:lineRule="auto"/>
            </w:pPr>
            <w:r/>
            <w:r>
              <w:rPr>
                <w:rFonts w:ascii="Arial" w:hAnsi="Arial" w:eastAsia="Arial"/>
                <w:b/>
                <w:color w:val="FFFFFF"/>
                <w:sz w:val="16"/>
              </w:rPr>
              <w:t>Tiêu chí xem xét</w:t>
            </w:r>
          </w:p>
        </w:tc>
      </w:tr>
      <w:tr>
        <w:trPr>
          <w:cantSplit/>
        </w:trPr>
        <w:tc>
          <w:tcPr>
            <w:tcW w:type="dxa" w:w="244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Người tổ chức mất nhiều thời gian từ brief đến publish.</w:t>
            </w:r>
          </w:p>
        </w:tc>
        <w:tc>
          <w:tcPr>
            <w:tcW w:type="dxa" w:w="259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Persona và quy trình mô tả trong tài liệu gốc; chưa có time study.</w:t>
            </w:r>
          </w:p>
        </w:tc>
        <w:tc>
          <w:tcPr>
            <w:tcW w:type="dxa" w:w="33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Quan sát quy trình gần nhất và đo task time.</w:t>
            </w:r>
          </w:p>
        </w:tc>
        <w:tc>
          <w:tcPr>
            <w:tcW w:type="dxa" w:w="316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Có pain lặp lại và thời gian đủ lớn để sản phẩm tạo giá trị.</w:t>
            </w:r>
          </w:p>
        </w:tc>
      </w:tr>
      <w:tr>
        <w:trPr>
          <w:cantSplit/>
        </w:trPr>
        <w:tc>
          <w:tcPr>
            <w:tcW w:type="dxa" w:w="244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AI draft giúp người mới tạo trang dễ hơn.</w:t>
            </w:r>
          </w:p>
        </w:tc>
        <w:tc>
          <w:tcPr>
            <w:tcW w:type="dxa" w:w="259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Ý tưởng sản phẩm; chưa có prototype test.</w:t>
            </w:r>
          </w:p>
        </w:tc>
        <w:tc>
          <w:tcPr>
            <w:tcW w:type="dxa" w:w="331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Usability test với brief thật, so sánh có/không AI.</w:t>
            </w:r>
          </w:p>
        </w:tc>
        <w:tc>
          <w:tcPr>
            <w:tcW w:type="dxa" w:w="316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Hoàn thành nhiệm vụ, số lỗi, mức chỉnh sửa và thời gian.</w:t>
            </w:r>
          </w:p>
        </w:tc>
      </w:tr>
      <w:tr>
        <w:trPr>
          <w:cantSplit/>
        </w:trPr>
        <w:tc>
          <w:tcPr>
            <w:tcW w:type="dxa" w:w="244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Tích hợp dữ liệu quan trọng hơn nhiều tính năng thiết kế.</w:t>
            </w:r>
          </w:p>
        </w:tc>
        <w:tc>
          <w:tcPr>
            <w:tcW w:type="dxa" w:w="259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Persona marketer nêu lo ngại đồng bộ.</w:t>
            </w:r>
          </w:p>
        </w:tc>
        <w:tc>
          <w:tcPr>
            <w:tcW w:type="dxa" w:w="33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Phỏng vấn, thử export/integration prototype.</w:t>
            </w:r>
          </w:p>
        </w:tc>
        <w:tc>
          <w:tcPr>
            <w:tcW w:type="dxa" w:w="316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Tác động đến quyết định sử dụng/trả phí.</w:t>
            </w:r>
          </w:p>
        </w:tc>
      </w:tr>
      <w:tr>
        <w:trPr>
          <w:cantSplit/>
        </w:trPr>
        <w:tc>
          <w:tcPr>
            <w:tcW w:type="dxa" w:w="244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Người dùng cần trang động theo nguồn truy cập.</w:t>
            </w:r>
          </w:p>
        </w:tc>
        <w:tc>
          <w:tcPr>
            <w:tcW w:type="dxa" w:w="259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Tài liệu gốc chưa định nghĩa rõ.</w:t>
            </w:r>
          </w:p>
        </w:tc>
        <w:tc>
          <w:tcPr>
            <w:tcW w:type="dxa" w:w="331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Thử prototype UTM variants và hỏi về quy trình hiện tại.</w:t>
            </w:r>
          </w:p>
        </w:tc>
        <w:tc>
          <w:tcPr>
            <w:tcW w:type="dxa" w:w="316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Có use case cụ thể, người duyệt và metric đáng theo dõi.</w:t>
            </w:r>
          </w:p>
        </w:tc>
      </w:tr>
      <w:tr>
        <w:trPr>
          <w:cantSplit/>
        </w:trPr>
        <w:tc>
          <w:tcPr>
            <w:tcW w:type="dxa" w:w="244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Khách hàng chấp nhận trả theo tháng hoặc theo sự kiện.</w:t>
            </w:r>
          </w:p>
        </w:tc>
        <w:tc>
          <w:tcPr>
            <w:tcW w:type="dxa" w:w="259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Khoảng giá đề xuất trong bản cũ; chưa có giao dịch kiểm chứng.</w:t>
            </w:r>
          </w:p>
        </w:tc>
        <w:tc>
          <w:tcPr>
            <w:tcW w:type="dxa" w:w="3312"/>
            <w:vAlign w:val="center"/>
            <w:tcMar>
              <w:top w:w="90" w:type="dxa"/>
              <w:start w:w="100" w:type="dxa"/>
              <w:bottom w:w="90" w:type="dxa"/>
              <w:end w:w="100" w:type="dxa"/>
            </w:tcMar>
          </w:tcPr>
          <w:p>
            <w:pPr>
              <w:spacing w:after="0" w:line="252" w:lineRule="auto"/>
            </w:pPr>
            <w:r/>
            <w:r>
              <w:rPr>
                <w:rFonts w:ascii="Arial" w:hAnsi="Arial" w:eastAsia="Arial"/>
                <w:b w:val="0"/>
                <w:color w:val="19232D"/>
                <w:sz w:val="16"/>
              </w:rPr>
              <w:t>Price test và pilot trả phí.</w:t>
            </w:r>
          </w:p>
        </w:tc>
        <w:tc>
          <w:tcPr>
            <w:tcW w:type="dxa" w:w="3168"/>
            <w:vAlign w:val="center"/>
            <w:tcMar>
              <w:top w:w="90" w:type="dxa"/>
              <w:start w:w="100" w:type="dxa"/>
              <w:bottom w:w="90" w:type="dxa"/>
              <w:end w:w="100" w:type="dxa"/>
            </w:tcMar>
          </w:tcPr>
          <w:p>
            <w:pPr>
              <w:spacing w:after="0" w:line="252" w:lineRule="auto"/>
            </w:pPr>
            <w:r/>
            <w:r>
              <w:rPr>
                <w:rFonts w:ascii="Arial" w:hAnsi="Arial" w:eastAsia="Arial"/>
                <w:b w:val="0"/>
                <w:color w:val="19232D"/>
                <w:sz w:val="16"/>
              </w:rPr>
              <w:t>Chuyển đổi, churn, gross margin và cost-to-serve.</w:t>
            </w:r>
          </w:p>
        </w:tc>
      </w:tr>
      <w:tr>
        <w:trPr>
          <w:cantSplit/>
        </w:trPr>
        <w:tc>
          <w:tcPr>
            <w:tcW w:type="dxa" w:w="244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Vé QR/Zalo/VietQR là ưu tiên ngay từ đầu.</w:t>
            </w:r>
          </w:p>
        </w:tc>
        <w:tc>
          <w:tcPr>
            <w:tcW w:type="dxa" w:w="259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Pain point được mô tả trong persona; điều kiện kỹ thuật chưa xác minh.</w:t>
            </w:r>
          </w:p>
        </w:tc>
        <w:tc>
          <w:tcPr>
            <w:tcW w:type="dxa" w:w="3312"/>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Phỏng vấn và thử quy trình tích hợp/đối soát.</w:t>
            </w:r>
          </w:p>
        </w:tc>
        <w:tc>
          <w:tcPr>
            <w:tcW w:type="dxa" w:w="3168"/>
            <w:vAlign w:val="center"/>
            <w:tcMar>
              <w:top w:w="90" w:type="dxa"/>
              <w:start w:w="100" w:type="dxa"/>
              <w:bottom w:w="90" w:type="dxa"/>
              <w:end w:w="100" w:type="dxa"/>
            </w:tcMar>
            <w:shd w:fill="F6F8FA"/>
          </w:tcPr>
          <w:p>
            <w:pPr>
              <w:spacing w:after="0" w:line="252" w:lineRule="auto"/>
            </w:pPr>
            <w:r/>
            <w:r>
              <w:rPr>
                <w:rFonts w:ascii="Arial" w:hAnsi="Arial" w:eastAsia="Arial"/>
                <w:b w:val="0"/>
                <w:color w:val="19232D"/>
                <w:sz w:val="16"/>
              </w:rPr>
              <w:t>Nhu cầu đủ lớn và vận hành/tuân thủ khả thi.</w:t>
            </w:r>
          </w:p>
        </w:tc>
      </w:tr>
    </w:tbl>
    <w:p>
      <w:pPr>
        <w:spacing w:after="20"/>
      </w:pPr>
    </w:p>
    <w:p>
      <w:pPr>
        <w:pStyle w:val="Heading1"/>
      </w:pPr>
      <w:r>
        <w:t>Tài liệu tham khảo</w:t>
      </w:r>
    </w:p>
    <w:p>
      <w:r>
        <w:rPr>
          <w:i w:val="0"/>
        </w:rPr>
        <w:t>Các nguồn dưới đây được dùng cho phần bối cảnh sự kiện và xu hướng AI marketing. Chúng không chứng minh sản phẩm được đề xuất đã được triển khai hoặc có hiệu quả kinh doanh. Nguồn về sự kiện do ban tổ chức/đơn vị truyền thông công bố được diễn giải đúng tính chất đó.</w:t>
      </w:r>
    </w:p>
    <w:p>
      <w:pPr>
        <w:spacing w:after="40" w:line="240" w:lineRule="auto"/>
      </w:pPr>
      <w:r>
        <w:rPr>
          <w:rFonts w:ascii="Arial" w:hAnsi="Arial"/>
          <w:sz w:val="17"/>
        </w:rPr>
        <w:t xml:space="preserve">[1] MMA Global Inc. — MMA INNOVATE 2024. </w:t>
      </w:r>
      <w:hyperlink r:id="rId11">
        <w:r>
          <w:rPr>
            <w:color w:val="0563C1"/>
            <w:u w:val="single"/>
          </w:rPr>
          <w:t>Mở nguồn</w:t>
        </w:r>
      </w:hyperlink>
    </w:p>
    <w:p>
      <w:pPr>
        <w:spacing w:after="40" w:line="240" w:lineRule="auto"/>
      </w:pPr>
      <w:r>
        <w:rPr>
          <w:rFonts w:ascii="Arial" w:hAnsi="Arial"/>
          <w:sz w:val="17"/>
        </w:rPr>
        <w:t xml:space="preserve">[2] Enterprise Asia/PR Newswire — MMA ALC Summit 2024. </w:t>
      </w:r>
      <w:hyperlink r:id="rId12">
        <w:r>
          <w:rPr>
            <w:color w:val="0563C1"/>
            <w:u w:val="single"/>
          </w:rPr>
          <w:t>Mở nguồn</w:t>
        </w:r>
      </w:hyperlink>
    </w:p>
    <w:p>
      <w:pPr>
        <w:spacing w:after="40" w:line="240" w:lineRule="auto"/>
      </w:pPr>
      <w:r>
        <w:rPr>
          <w:rFonts w:ascii="Arial" w:hAnsi="Arial"/>
          <w:sz w:val="17"/>
        </w:rPr>
        <w:t xml:space="preserve">[3] Báo Quân đội nhân dân — AI4VN 2024. </w:t>
      </w:r>
      <w:hyperlink r:id="rId13">
        <w:r>
          <w:rPr>
            <w:color w:val="0563C1"/>
            <w:u w:val="single"/>
          </w:rPr>
          <w:t>Mở nguồn</w:t>
        </w:r>
      </w:hyperlink>
    </w:p>
    <w:p>
      <w:pPr>
        <w:spacing w:after="40" w:line="240" w:lineRule="auto"/>
      </w:pPr>
      <w:r>
        <w:rPr>
          <w:rFonts w:ascii="Arial" w:hAnsi="Arial"/>
          <w:sz w:val="17"/>
        </w:rPr>
        <w:t xml:space="preserve">[4] MMA Global — MMA INNOVATE Vietnam 2025. </w:t>
      </w:r>
      <w:hyperlink r:id="rId14">
        <w:r>
          <w:rPr>
            <w:color w:val="0563C1"/>
            <w:u w:val="single"/>
          </w:rPr>
          <w:t>Mở nguồn</w:t>
        </w:r>
      </w:hyperlink>
    </w:p>
    <w:p>
      <w:pPr>
        <w:spacing w:after="40" w:line="240" w:lineRule="auto"/>
      </w:pPr>
      <w:r>
        <w:rPr>
          <w:rFonts w:ascii="Arial" w:hAnsi="Arial"/>
          <w:sz w:val="17"/>
        </w:rPr>
        <w:t xml:space="preserve">[5] VnExpress — AI4VN 2025. </w:t>
      </w:r>
      <w:hyperlink r:id="rId15">
        <w:r>
          <w:rPr>
            <w:color w:val="0563C1"/>
            <w:u w:val="single"/>
          </w:rPr>
          <w:t>Mở nguồn</w:t>
        </w:r>
      </w:hyperlink>
    </w:p>
    <w:p>
      <w:pPr>
        <w:spacing w:after="40" w:line="240" w:lineRule="auto"/>
      </w:pPr>
      <w:r>
        <w:rPr>
          <w:rFonts w:ascii="Arial" w:hAnsi="Arial"/>
          <w:sz w:val="17"/>
        </w:rPr>
        <w:t xml:space="preserve">[6] MMA Global — MMA INNOVATE Vietnam 2026. </w:t>
      </w:r>
      <w:hyperlink r:id="rId16">
        <w:r>
          <w:rPr>
            <w:color w:val="0563C1"/>
            <w:u w:val="single"/>
          </w:rPr>
          <w:t>Mở nguồn</w:t>
        </w:r>
      </w:hyperlink>
    </w:p>
    <w:p>
      <w:pPr>
        <w:spacing w:after="40" w:line="240" w:lineRule="auto"/>
      </w:pPr>
      <w:r>
        <w:rPr>
          <w:rFonts w:ascii="Arial" w:hAnsi="Arial"/>
          <w:sz w:val="17"/>
        </w:rPr>
        <w:t xml:space="preserve">[7] Trường Doanh nhân HBR — AI Marketing Summit 2026. </w:t>
      </w:r>
      <w:hyperlink r:id="rId17">
        <w:r>
          <w:rPr>
            <w:color w:val="0563C1"/>
            <w:u w:val="single"/>
          </w:rPr>
          <w:t>Mở nguồn</w:t>
        </w:r>
      </w:hyperlink>
    </w:p>
    <w:p>
      <w:pPr>
        <w:spacing w:after="40" w:line="240" w:lineRule="auto"/>
      </w:pPr>
      <w:r>
        <w:rPr>
          <w:rFonts w:ascii="Arial" w:hAnsi="Arial"/>
          <w:sz w:val="17"/>
        </w:rPr>
        <w:t xml:space="preserve">[8] RMIT Việt Nam — How AI is transforming Vietnam’s marketing landscape (2025). </w:t>
      </w:r>
      <w:hyperlink r:id="rId18">
        <w:r>
          <w:rPr>
            <w:color w:val="0563C1"/>
            <w:u w:val="single"/>
          </w:rPr>
          <w:t>Mở nguồn</w:t>
        </w:r>
      </w:hyperlink>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273"/>
        <w:sz w:val="16"/>
      </w:rPr>
      <w:t xml:space="preserve">Bản nghiên cứu và đề xuất sản phẩm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6273"/>
        <w:sz w:val="16"/>
      </w:rPr>
      <w:t>NGHIÊN CỨU UX &amp; CHIẾN LƯỢC SẢN PHẨM  |  LANDING PAGE SỰ KIỆN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9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6044A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68C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i/>
      <w:iCs/>
      <w:color w:val="5362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n.prnasia.com/releases/apac/mma-innovate-2024-the-most-anticipated-martech-exhibition-and-conference-has-returned-444002.shtml" TargetMode="External"/><Relationship Id="rId12" Type="http://schemas.openxmlformats.org/officeDocument/2006/relationships/hyperlink" Target="https://www.enterpriseasia.org/mma-global-hosts-first-ever-ai-in-marketing-conference-in-apac/" TargetMode="External"/><Relationship Id="rId13" Type="http://schemas.openxmlformats.org/officeDocument/2006/relationships/hyperlink" Target="https://www.qdnd.vn/giao-duc-khoa-hoc/tin-tuc/ngay-hoi-tri-tue-nhan-tao-viet-nam-nam-2024-mo-khoa-suc-manh-tri-tue-nhan-tao-tao-sinh-789902" TargetMode="External"/><Relationship Id="rId14" Type="http://schemas.openxmlformats.org/officeDocument/2006/relationships/hyperlink" Target="https://www.mmaglobal.com/event/mma-innovate-vietnam-2025" TargetMode="External"/><Relationship Id="rId15" Type="http://schemas.openxmlformats.org/officeDocument/2006/relationships/hyperlink" Target="https://vnexpress.net/bat-dau-ngay-hoi-ai4vn-2025-4943221.html" TargetMode="External"/><Relationship Id="rId16" Type="http://schemas.openxmlformats.org/officeDocument/2006/relationships/hyperlink" Target="https://mmaglobal.com/event/mma-innovate-vietnam-2026" TargetMode="External"/><Relationship Id="rId17" Type="http://schemas.openxmlformats.org/officeDocument/2006/relationships/hyperlink" Target="https://hbr.edu.vn/mega-event-ai-marketing-summit-2026" TargetMode="External"/><Relationship Id="rId18" Type="http://schemas.openxmlformats.org/officeDocument/2006/relationships/hyperlink" Target="https://www.rmit.edu.vn/news/all-news/2025/mar/how-ai-is-transforming-vietnam-marketing-landsca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hoàn chỉnh UX Landing Page Sự kiện AI tại Việt Nam 2024–2026</dc:title>
  <dc:subject>Nghiên cứu UX và chiến lược sản phẩm</dc:subject>
  <dc:creator>Manus AI</dc:creator>
  <cp:keywords>UX, AI, landing page, sự kiện, Việt Nam, MVP</cp:keywords>
  <dc:description>generated by python-docx</dc:description>
  <cp:lastModifiedBy/>
  <cp:revision>1</cp:revision>
  <dcterms:created xsi:type="dcterms:W3CDTF">2013-12-23T23:15:00Z</dcterms:created>
  <dcterms:modified xsi:type="dcterms:W3CDTF">2013-12-23T23:15:00Z</dcterms:modified>
  <cp:category/>
</cp:coreProperties>
</file>