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E7C" w:rsidRPr="00BD651F" w:rsidRDefault="00DD6895" w:rsidP="00EF4E7C">
      <w:pPr>
        <w:pStyle w:val="AnnexHead2"/>
        <w:tabs>
          <w:tab w:val="clear" w:pos="360"/>
        </w:tabs>
        <w:rPr>
          <w:lang w:val="es-ES"/>
        </w:rPr>
      </w:pPr>
      <w:r w:rsidRPr="00BD651F">
        <w:rPr>
          <w:lang w:val="es-ES"/>
        </w:rPr>
        <w:t xml:space="preserve">Murefu Barasa </w:t>
      </w:r>
    </w:p>
    <w:p w:rsidR="00EF4E7C" w:rsidRPr="00B72798" w:rsidRDefault="00EF4E7C" w:rsidP="00EF4E7C">
      <w:pPr>
        <w:numPr>
          <w:ilvl w:val="0"/>
          <w:numId w:val="3"/>
        </w:numPr>
        <w:suppressAutoHyphens w:val="0"/>
        <w:overflowPunct w:val="0"/>
        <w:autoSpaceDE w:val="0"/>
        <w:autoSpaceDN w:val="0"/>
        <w:adjustRightInd w:val="0"/>
        <w:spacing w:after="60"/>
        <w:textAlignment w:val="baseline"/>
        <w:rPr>
          <w:b/>
          <w:szCs w:val="22"/>
        </w:rPr>
      </w:pPr>
      <w:r w:rsidRPr="00B72798">
        <w:rPr>
          <w:b/>
          <w:szCs w:val="22"/>
        </w:rPr>
        <w:t>Nationality:</w:t>
      </w:r>
      <w:r w:rsidRPr="00B72798">
        <w:rPr>
          <w:b/>
          <w:szCs w:val="22"/>
        </w:rPr>
        <w:tab/>
      </w:r>
      <w:r w:rsidRPr="00B72798">
        <w:rPr>
          <w:b/>
          <w:szCs w:val="22"/>
        </w:rPr>
        <w:tab/>
      </w:r>
      <w:r>
        <w:rPr>
          <w:b/>
          <w:szCs w:val="22"/>
        </w:rPr>
        <w:t>Kenyan</w:t>
      </w:r>
    </w:p>
    <w:p w:rsidR="00EF4E7C" w:rsidRPr="00B72798" w:rsidRDefault="00EF4E7C" w:rsidP="00EF4E7C">
      <w:pPr>
        <w:numPr>
          <w:ilvl w:val="0"/>
          <w:numId w:val="3"/>
        </w:numPr>
        <w:suppressAutoHyphens w:val="0"/>
        <w:overflowPunct w:val="0"/>
        <w:autoSpaceDE w:val="0"/>
        <w:autoSpaceDN w:val="0"/>
        <w:adjustRightInd w:val="0"/>
        <w:spacing w:after="60"/>
        <w:textAlignment w:val="baseline"/>
        <w:rPr>
          <w:b/>
          <w:szCs w:val="22"/>
        </w:rPr>
      </w:pPr>
      <w:r w:rsidRPr="00B72798">
        <w:rPr>
          <w:b/>
          <w:szCs w:val="22"/>
        </w:rPr>
        <w:t xml:space="preserve">Education: </w:t>
      </w:r>
    </w:p>
    <w:tbl>
      <w:tblPr>
        <w:tblW w:w="8364" w:type="dxa"/>
        <w:tblInd w:w="1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30" w:type="dxa"/>
          <w:right w:w="130" w:type="dxa"/>
        </w:tblCellMar>
        <w:tblLook w:val="0000" w:firstRow="0" w:lastRow="0" w:firstColumn="0" w:lastColumn="0" w:noHBand="0" w:noVBand="0"/>
      </w:tblPr>
      <w:tblGrid>
        <w:gridCol w:w="4320"/>
        <w:gridCol w:w="4044"/>
      </w:tblGrid>
      <w:tr w:rsidR="00EF4E7C" w:rsidRPr="00021F58" w:rsidTr="00262C1B">
        <w:tc>
          <w:tcPr>
            <w:tcW w:w="4320" w:type="dxa"/>
            <w:shd w:val="clear" w:color="auto" w:fill="D9D9D9"/>
          </w:tcPr>
          <w:p w:rsidR="00EF4E7C" w:rsidRPr="00021F58" w:rsidRDefault="00EF4E7C" w:rsidP="00262C1B">
            <w:pPr>
              <w:pStyle w:val="normaltableau"/>
              <w:spacing w:before="20" w:after="20"/>
              <w:jc w:val="center"/>
              <w:rPr>
                <w:rFonts w:asciiTheme="minorHAnsi" w:hAnsiTheme="minorHAnsi"/>
                <w:b/>
                <w:szCs w:val="22"/>
                <w:lang w:val="en-ZW"/>
              </w:rPr>
            </w:pPr>
            <w:r w:rsidRPr="00021F58">
              <w:rPr>
                <w:rFonts w:asciiTheme="minorHAnsi" w:hAnsiTheme="minorHAnsi"/>
                <w:b/>
                <w:szCs w:val="22"/>
                <w:lang w:val="en-ZW"/>
              </w:rPr>
              <w:t>Institution</w:t>
            </w:r>
          </w:p>
        </w:tc>
        <w:tc>
          <w:tcPr>
            <w:tcW w:w="4044" w:type="dxa"/>
            <w:shd w:val="clear" w:color="auto" w:fill="D9D9D9"/>
          </w:tcPr>
          <w:p w:rsidR="00EF4E7C" w:rsidRPr="00021F58" w:rsidRDefault="00EF4E7C" w:rsidP="00262C1B">
            <w:pPr>
              <w:pStyle w:val="normaltableau"/>
              <w:spacing w:before="20" w:after="20"/>
              <w:jc w:val="center"/>
              <w:rPr>
                <w:rFonts w:asciiTheme="minorHAnsi" w:hAnsiTheme="minorHAnsi"/>
                <w:b/>
                <w:szCs w:val="22"/>
                <w:lang w:val="en-ZW"/>
              </w:rPr>
            </w:pPr>
            <w:r w:rsidRPr="00021F58">
              <w:rPr>
                <w:rFonts w:asciiTheme="minorHAnsi" w:hAnsiTheme="minorHAnsi"/>
                <w:b/>
                <w:szCs w:val="22"/>
                <w:lang w:val="en-ZW"/>
              </w:rPr>
              <w:t>Qualifications obtained</w:t>
            </w:r>
          </w:p>
        </w:tc>
      </w:tr>
      <w:tr w:rsidR="00EF4E7C" w:rsidRPr="00B72798" w:rsidTr="00262C1B">
        <w:tc>
          <w:tcPr>
            <w:tcW w:w="4320" w:type="dxa"/>
          </w:tcPr>
          <w:p w:rsidR="00EF4E7C" w:rsidRPr="00B72798" w:rsidRDefault="00EF4E7C" w:rsidP="00262C1B">
            <w:pPr>
              <w:pStyle w:val="normaltableau"/>
              <w:spacing w:before="0" w:after="0"/>
              <w:jc w:val="left"/>
              <w:rPr>
                <w:rFonts w:ascii="Book Antiqua" w:hAnsi="Book Antiqua" w:cs="Arial"/>
                <w:szCs w:val="22"/>
                <w:lang w:val="en-ZW"/>
              </w:rPr>
            </w:pPr>
            <w:r>
              <w:rPr>
                <w:rFonts w:ascii="Book Antiqua" w:hAnsi="Book Antiqua" w:cs="Arial"/>
                <w:szCs w:val="22"/>
                <w:lang w:val="en-ZW"/>
              </w:rPr>
              <w:t>Yale University (USA), 2007 - 2009</w:t>
            </w:r>
          </w:p>
        </w:tc>
        <w:tc>
          <w:tcPr>
            <w:tcW w:w="4044" w:type="dxa"/>
          </w:tcPr>
          <w:p w:rsidR="00EF4E7C" w:rsidRPr="00B72798" w:rsidRDefault="00EF4E7C" w:rsidP="00DD6895">
            <w:pPr>
              <w:pStyle w:val="normaltableau"/>
              <w:spacing w:before="0" w:after="0"/>
              <w:jc w:val="left"/>
              <w:rPr>
                <w:rFonts w:ascii="Book Antiqua" w:hAnsi="Book Antiqua" w:cs="Arial"/>
                <w:szCs w:val="22"/>
                <w:lang w:val="en-ZW"/>
              </w:rPr>
            </w:pPr>
            <w:r>
              <w:rPr>
                <w:rFonts w:ascii="Book Antiqua" w:hAnsi="Book Antiqua" w:cs="Arial"/>
                <w:szCs w:val="22"/>
                <w:lang w:val="en-ZW"/>
              </w:rPr>
              <w:t>MSc (</w:t>
            </w:r>
            <w:r w:rsidR="00DD6895">
              <w:rPr>
                <w:rFonts w:ascii="Book Antiqua" w:hAnsi="Book Antiqua" w:cs="Arial"/>
                <w:szCs w:val="22"/>
                <w:lang w:val="en-ZW"/>
              </w:rPr>
              <w:t>Environmental Science</w:t>
            </w:r>
            <w:r>
              <w:rPr>
                <w:rFonts w:ascii="Book Antiqua" w:hAnsi="Book Antiqua" w:cs="Arial"/>
                <w:szCs w:val="22"/>
                <w:lang w:val="en-ZW"/>
              </w:rPr>
              <w:t>)</w:t>
            </w:r>
          </w:p>
        </w:tc>
      </w:tr>
      <w:tr w:rsidR="00EF4E7C" w:rsidRPr="00B72798" w:rsidTr="00262C1B">
        <w:tc>
          <w:tcPr>
            <w:tcW w:w="4320" w:type="dxa"/>
          </w:tcPr>
          <w:p w:rsidR="00EF4E7C" w:rsidRPr="00B72798" w:rsidRDefault="00EF4E7C" w:rsidP="00262C1B">
            <w:pPr>
              <w:pStyle w:val="normaltableau"/>
              <w:spacing w:before="0" w:after="0"/>
              <w:jc w:val="left"/>
              <w:rPr>
                <w:rFonts w:ascii="Book Antiqua" w:hAnsi="Book Antiqua" w:cs="Arial"/>
                <w:szCs w:val="22"/>
                <w:lang w:val="en-ZW"/>
              </w:rPr>
            </w:pPr>
            <w:r>
              <w:rPr>
                <w:rFonts w:ascii="Book Antiqua" w:hAnsi="Book Antiqua" w:cs="Arial"/>
                <w:szCs w:val="22"/>
                <w:lang w:val="en-ZW"/>
              </w:rPr>
              <w:t>Kenyatta University (Kenya), 1999 - 2003</w:t>
            </w:r>
          </w:p>
        </w:tc>
        <w:tc>
          <w:tcPr>
            <w:tcW w:w="4044" w:type="dxa"/>
          </w:tcPr>
          <w:p w:rsidR="00EF4E7C" w:rsidRPr="00B72798" w:rsidRDefault="00EF4E7C" w:rsidP="00262C1B">
            <w:pPr>
              <w:pStyle w:val="normaltableau"/>
              <w:spacing w:before="0" w:after="0"/>
              <w:jc w:val="left"/>
              <w:rPr>
                <w:rFonts w:ascii="Book Antiqua" w:hAnsi="Book Antiqua" w:cs="Arial"/>
                <w:szCs w:val="22"/>
                <w:lang w:val="en-ZW"/>
              </w:rPr>
            </w:pPr>
            <w:r>
              <w:rPr>
                <w:rFonts w:ascii="Book Antiqua" w:hAnsi="Book Antiqua" w:cs="Arial"/>
                <w:szCs w:val="22"/>
                <w:lang w:val="en-ZW"/>
              </w:rPr>
              <w:t>BSc (Environment)</w:t>
            </w:r>
          </w:p>
        </w:tc>
      </w:tr>
      <w:tr w:rsidR="004115DA" w:rsidRPr="00B72798" w:rsidTr="00262C1B">
        <w:tc>
          <w:tcPr>
            <w:tcW w:w="4320" w:type="dxa"/>
          </w:tcPr>
          <w:p w:rsidR="004115DA" w:rsidRDefault="004115DA" w:rsidP="00262C1B">
            <w:pPr>
              <w:pStyle w:val="normaltableau"/>
              <w:spacing w:before="0" w:after="0"/>
              <w:jc w:val="left"/>
              <w:rPr>
                <w:rFonts w:ascii="Book Antiqua" w:hAnsi="Book Antiqua" w:cs="Arial"/>
                <w:szCs w:val="22"/>
                <w:lang w:val="en-ZW"/>
              </w:rPr>
            </w:pPr>
            <w:r>
              <w:rPr>
                <w:rFonts w:ascii="Book Antiqua" w:hAnsi="Book Antiqua" w:cs="Arial"/>
                <w:szCs w:val="22"/>
                <w:lang w:val="en-ZW"/>
              </w:rPr>
              <w:t>University of Bradford, UK, 2010</w:t>
            </w:r>
          </w:p>
        </w:tc>
        <w:tc>
          <w:tcPr>
            <w:tcW w:w="4044" w:type="dxa"/>
          </w:tcPr>
          <w:p w:rsidR="004115DA" w:rsidRDefault="004115DA" w:rsidP="00262C1B">
            <w:pPr>
              <w:pStyle w:val="normaltableau"/>
              <w:spacing w:before="0" w:after="0"/>
              <w:jc w:val="left"/>
              <w:rPr>
                <w:rFonts w:ascii="Book Antiqua" w:hAnsi="Book Antiqua" w:cs="Arial"/>
                <w:szCs w:val="22"/>
                <w:lang w:val="en-ZW"/>
              </w:rPr>
            </w:pPr>
            <w:r>
              <w:rPr>
                <w:rFonts w:ascii="Book Antiqua" w:hAnsi="Book Antiqua" w:cs="Arial"/>
                <w:szCs w:val="22"/>
                <w:lang w:val="en-ZW"/>
              </w:rPr>
              <w:t>Certificate in Project Risk Appraisal</w:t>
            </w:r>
          </w:p>
        </w:tc>
      </w:tr>
    </w:tbl>
    <w:p w:rsidR="00EF4E7C" w:rsidRPr="00B72798" w:rsidRDefault="00EF4E7C" w:rsidP="00EF4E7C">
      <w:pPr>
        <w:spacing w:before="60" w:after="60"/>
        <w:ind w:left="360"/>
        <w:rPr>
          <w:b/>
          <w:szCs w:val="22"/>
        </w:rPr>
      </w:pPr>
    </w:p>
    <w:p w:rsidR="00EF4E7C" w:rsidRPr="00B72798" w:rsidRDefault="00EF4E7C" w:rsidP="00EF4E7C">
      <w:pPr>
        <w:numPr>
          <w:ilvl w:val="0"/>
          <w:numId w:val="3"/>
        </w:numPr>
        <w:suppressAutoHyphens w:val="0"/>
        <w:overflowPunct w:val="0"/>
        <w:autoSpaceDE w:val="0"/>
        <w:autoSpaceDN w:val="0"/>
        <w:adjustRightInd w:val="0"/>
        <w:spacing w:before="60" w:after="60"/>
        <w:textAlignment w:val="baseline"/>
        <w:rPr>
          <w:b/>
          <w:szCs w:val="22"/>
        </w:rPr>
      </w:pPr>
      <w:r w:rsidRPr="00021F58">
        <w:rPr>
          <w:rFonts w:asciiTheme="minorHAnsi" w:hAnsiTheme="minorHAnsi"/>
          <w:b/>
          <w:szCs w:val="22"/>
        </w:rPr>
        <w:t>Language skills</w:t>
      </w:r>
      <w:r w:rsidRPr="00B72798">
        <w:rPr>
          <w:b/>
          <w:szCs w:val="22"/>
        </w:rPr>
        <w:t xml:space="preserve">: </w:t>
      </w:r>
      <w:r w:rsidRPr="00B72798">
        <w:rPr>
          <w:szCs w:val="22"/>
        </w:rPr>
        <w:t>competence on a scale of 1 to 5 (1 - excellent; 5 - basic)</w:t>
      </w:r>
    </w:p>
    <w:tbl>
      <w:tblPr>
        <w:tblW w:w="8364"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091"/>
        <w:gridCol w:w="2091"/>
        <w:gridCol w:w="2091"/>
        <w:gridCol w:w="2091"/>
      </w:tblGrid>
      <w:tr w:rsidR="00EF4E7C" w:rsidRPr="00021F58" w:rsidTr="00262C1B">
        <w:trPr>
          <w:cantSplit/>
        </w:trPr>
        <w:tc>
          <w:tcPr>
            <w:tcW w:w="2091" w:type="dxa"/>
            <w:shd w:val="clear" w:color="auto" w:fill="D9D9D9"/>
          </w:tcPr>
          <w:p w:rsidR="00EF4E7C" w:rsidRPr="00021F58" w:rsidRDefault="00EF4E7C" w:rsidP="00262C1B">
            <w:pPr>
              <w:spacing w:before="20" w:after="20"/>
              <w:jc w:val="center"/>
              <w:rPr>
                <w:rFonts w:asciiTheme="minorHAnsi" w:hAnsiTheme="minorHAnsi"/>
                <w:b/>
                <w:szCs w:val="22"/>
              </w:rPr>
            </w:pPr>
            <w:r w:rsidRPr="00021F58">
              <w:rPr>
                <w:rFonts w:asciiTheme="minorHAnsi" w:hAnsiTheme="minorHAnsi"/>
                <w:b/>
                <w:szCs w:val="22"/>
              </w:rPr>
              <w:t>Language</w:t>
            </w:r>
          </w:p>
        </w:tc>
        <w:tc>
          <w:tcPr>
            <w:tcW w:w="2091" w:type="dxa"/>
            <w:shd w:val="clear" w:color="auto" w:fill="D9D9D9"/>
          </w:tcPr>
          <w:p w:rsidR="00EF4E7C" w:rsidRPr="00021F58" w:rsidRDefault="00EF4E7C" w:rsidP="00262C1B">
            <w:pPr>
              <w:spacing w:before="20" w:after="20"/>
              <w:jc w:val="center"/>
              <w:rPr>
                <w:rFonts w:asciiTheme="minorHAnsi" w:hAnsiTheme="minorHAnsi"/>
                <w:b/>
                <w:szCs w:val="22"/>
              </w:rPr>
            </w:pPr>
            <w:r w:rsidRPr="00021F58">
              <w:rPr>
                <w:rFonts w:asciiTheme="minorHAnsi" w:hAnsiTheme="minorHAnsi"/>
                <w:b/>
                <w:szCs w:val="22"/>
              </w:rPr>
              <w:t>Reading</w:t>
            </w:r>
          </w:p>
        </w:tc>
        <w:tc>
          <w:tcPr>
            <w:tcW w:w="2091" w:type="dxa"/>
            <w:shd w:val="clear" w:color="auto" w:fill="D9D9D9"/>
          </w:tcPr>
          <w:p w:rsidR="00EF4E7C" w:rsidRPr="00021F58" w:rsidRDefault="00EF4E7C" w:rsidP="00262C1B">
            <w:pPr>
              <w:spacing w:before="20" w:after="20"/>
              <w:jc w:val="center"/>
              <w:rPr>
                <w:rFonts w:asciiTheme="minorHAnsi" w:hAnsiTheme="minorHAnsi"/>
                <w:b/>
                <w:szCs w:val="22"/>
              </w:rPr>
            </w:pPr>
            <w:r w:rsidRPr="00021F58">
              <w:rPr>
                <w:rFonts w:asciiTheme="minorHAnsi" w:hAnsiTheme="minorHAnsi"/>
                <w:b/>
                <w:szCs w:val="22"/>
              </w:rPr>
              <w:t>Speaking</w:t>
            </w:r>
          </w:p>
        </w:tc>
        <w:tc>
          <w:tcPr>
            <w:tcW w:w="2091" w:type="dxa"/>
            <w:shd w:val="clear" w:color="auto" w:fill="D9D9D9"/>
          </w:tcPr>
          <w:p w:rsidR="00EF4E7C" w:rsidRPr="00021F58" w:rsidRDefault="00EF4E7C" w:rsidP="00262C1B">
            <w:pPr>
              <w:spacing w:before="20" w:after="20"/>
              <w:jc w:val="center"/>
              <w:rPr>
                <w:rFonts w:asciiTheme="minorHAnsi" w:hAnsiTheme="minorHAnsi"/>
                <w:b/>
                <w:szCs w:val="22"/>
              </w:rPr>
            </w:pPr>
            <w:r w:rsidRPr="00021F58">
              <w:rPr>
                <w:rFonts w:asciiTheme="minorHAnsi" w:hAnsiTheme="minorHAnsi"/>
                <w:b/>
                <w:szCs w:val="22"/>
              </w:rPr>
              <w:t>Writing</w:t>
            </w:r>
          </w:p>
        </w:tc>
      </w:tr>
      <w:tr w:rsidR="00EF4E7C" w:rsidRPr="00B72798" w:rsidTr="00262C1B">
        <w:trPr>
          <w:cantSplit/>
        </w:trPr>
        <w:tc>
          <w:tcPr>
            <w:tcW w:w="2091" w:type="dxa"/>
          </w:tcPr>
          <w:p w:rsidR="00EF4E7C" w:rsidRPr="00021F58" w:rsidRDefault="00EF4E7C" w:rsidP="00262C1B">
            <w:pPr>
              <w:pStyle w:val="normaltableau"/>
              <w:spacing w:before="0" w:after="0"/>
              <w:jc w:val="left"/>
              <w:rPr>
                <w:rFonts w:asciiTheme="minorHAnsi" w:hAnsiTheme="minorHAnsi" w:cs="Arial"/>
                <w:szCs w:val="22"/>
                <w:lang w:val="en-ZW"/>
              </w:rPr>
            </w:pPr>
            <w:r w:rsidRPr="00021F58">
              <w:rPr>
                <w:rFonts w:asciiTheme="minorHAnsi" w:hAnsiTheme="minorHAnsi" w:cs="Arial"/>
                <w:szCs w:val="22"/>
                <w:lang w:val="en-ZW"/>
              </w:rPr>
              <w:t>Swahili</w:t>
            </w:r>
          </w:p>
        </w:tc>
        <w:tc>
          <w:tcPr>
            <w:tcW w:w="2091" w:type="dxa"/>
          </w:tcPr>
          <w:p w:rsidR="00EF4E7C" w:rsidRPr="00B72798" w:rsidRDefault="00EF4E7C"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1</w:t>
            </w:r>
          </w:p>
        </w:tc>
        <w:tc>
          <w:tcPr>
            <w:tcW w:w="2091" w:type="dxa"/>
          </w:tcPr>
          <w:p w:rsidR="00EF4E7C" w:rsidRPr="00B72798" w:rsidRDefault="00EF4E7C"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1</w:t>
            </w:r>
          </w:p>
        </w:tc>
        <w:tc>
          <w:tcPr>
            <w:tcW w:w="2091" w:type="dxa"/>
          </w:tcPr>
          <w:p w:rsidR="00EF4E7C" w:rsidRPr="00B72798" w:rsidRDefault="00EF4E7C"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1</w:t>
            </w:r>
          </w:p>
        </w:tc>
      </w:tr>
      <w:tr w:rsidR="00EF4E7C" w:rsidRPr="00B72798" w:rsidTr="00262C1B">
        <w:trPr>
          <w:cantSplit/>
        </w:trPr>
        <w:tc>
          <w:tcPr>
            <w:tcW w:w="2091" w:type="dxa"/>
          </w:tcPr>
          <w:p w:rsidR="00EF4E7C" w:rsidRPr="00021F58" w:rsidRDefault="00EF4E7C" w:rsidP="00262C1B">
            <w:pPr>
              <w:pStyle w:val="normaltableau"/>
              <w:spacing w:before="0" w:after="0"/>
              <w:jc w:val="left"/>
              <w:rPr>
                <w:rFonts w:asciiTheme="minorHAnsi" w:hAnsiTheme="minorHAnsi" w:cs="Arial"/>
                <w:szCs w:val="22"/>
                <w:lang w:val="en-ZW"/>
              </w:rPr>
            </w:pPr>
            <w:r w:rsidRPr="00021F58">
              <w:rPr>
                <w:rFonts w:asciiTheme="minorHAnsi" w:hAnsiTheme="minorHAnsi" w:cs="Arial"/>
                <w:szCs w:val="22"/>
                <w:lang w:val="en-ZW"/>
              </w:rPr>
              <w:t>English</w:t>
            </w:r>
          </w:p>
        </w:tc>
        <w:tc>
          <w:tcPr>
            <w:tcW w:w="2091" w:type="dxa"/>
          </w:tcPr>
          <w:p w:rsidR="00EF4E7C" w:rsidRPr="00B72798" w:rsidRDefault="00EF4E7C"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1</w:t>
            </w:r>
          </w:p>
        </w:tc>
        <w:tc>
          <w:tcPr>
            <w:tcW w:w="2091" w:type="dxa"/>
          </w:tcPr>
          <w:p w:rsidR="00EF4E7C" w:rsidRPr="00B72798" w:rsidRDefault="00EF4E7C"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1</w:t>
            </w:r>
          </w:p>
        </w:tc>
        <w:tc>
          <w:tcPr>
            <w:tcW w:w="2091" w:type="dxa"/>
          </w:tcPr>
          <w:p w:rsidR="00EF4E7C" w:rsidRPr="00B72798" w:rsidRDefault="00EF4E7C"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1</w:t>
            </w:r>
          </w:p>
        </w:tc>
      </w:tr>
      <w:tr w:rsidR="004115DA" w:rsidRPr="00B72798" w:rsidTr="00262C1B">
        <w:trPr>
          <w:cantSplit/>
        </w:trPr>
        <w:tc>
          <w:tcPr>
            <w:tcW w:w="2091" w:type="dxa"/>
          </w:tcPr>
          <w:p w:rsidR="004115DA" w:rsidRPr="00021F58" w:rsidRDefault="00BD651F" w:rsidP="00262C1B">
            <w:pPr>
              <w:pStyle w:val="normaltableau"/>
              <w:spacing w:before="0" w:after="0"/>
              <w:jc w:val="left"/>
              <w:rPr>
                <w:rFonts w:asciiTheme="minorHAnsi" w:hAnsiTheme="minorHAnsi" w:cs="Arial"/>
                <w:szCs w:val="22"/>
                <w:lang w:val="en-ZW"/>
              </w:rPr>
            </w:pPr>
            <w:r>
              <w:rPr>
                <w:rFonts w:asciiTheme="minorHAnsi" w:hAnsiTheme="minorHAnsi" w:cs="Arial"/>
                <w:szCs w:val="22"/>
                <w:lang w:val="en-ZW"/>
              </w:rPr>
              <w:t>Luhya</w:t>
            </w:r>
          </w:p>
        </w:tc>
        <w:tc>
          <w:tcPr>
            <w:tcW w:w="2091" w:type="dxa"/>
          </w:tcPr>
          <w:p w:rsidR="004115DA" w:rsidRDefault="00BD651F"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2</w:t>
            </w:r>
          </w:p>
        </w:tc>
        <w:tc>
          <w:tcPr>
            <w:tcW w:w="2091" w:type="dxa"/>
          </w:tcPr>
          <w:p w:rsidR="004115DA" w:rsidRDefault="00BD651F"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2</w:t>
            </w:r>
          </w:p>
        </w:tc>
        <w:tc>
          <w:tcPr>
            <w:tcW w:w="2091" w:type="dxa"/>
          </w:tcPr>
          <w:p w:rsidR="004115DA" w:rsidRDefault="00BD651F" w:rsidP="00262C1B">
            <w:pPr>
              <w:pStyle w:val="normaltableau"/>
              <w:spacing w:before="0" w:after="0"/>
              <w:jc w:val="center"/>
              <w:rPr>
                <w:rFonts w:ascii="Book Antiqua" w:hAnsi="Book Antiqua" w:cs="Arial"/>
                <w:szCs w:val="22"/>
                <w:lang w:val="en-ZW"/>
              </w:rPr>
            </w:pPr>
            <w:r>
              <w:rPr>
                <w:rFonts w:ascii="Book Antiqua" w:hAnsi="Book Antiqua" w:cs="Arial"/>
                <w:szCs w:val="22"/>
                <w:lang w:val="en-ZW"/>
              </w:rPr>
              <w:t>2</w:t>
            </w:r>
          </w:p>
        </w:tc>
      </w:tr>
    </w:tbl>
    <w:p w:rsidR="00EF4E7C" w:rsidRPr="00B72798" w:rsidRDefault="00EF4E7C" w:rsidP="00EF4E7C">
      <w:pPr>
        <w:spacing w:before="60" w:after="60"/>
        <w:ind w:left="360"/>
        <w:rPr>
          <w:b/>
          <w:szCs w:val="22"/>
        </w:rPr>
      </w:pPr>
    </w:p>
    <w:p w:rsidR="00EF4E7C" w:rsidRPr="00021F58" w:rsidRDefault="00EF4E7C" w:rsidP="00EF4E7C">
      <w:pPr>
        <w:numPr>
          <w:ilvl w:val="0"/>
          <w:numId w:val="3"/>
        </w:numPr>
        <w:suppressAutoHyphens w:val="0"/>
        <w:overflowPunct w:val="0"/>
        <w:autoSpaceDE w:val="0"/>
        <w:autoSpaceDN w:val="0"/>
        <w:adjustRightInd w:val="0"/>
        <w:spacing w:before="60" w:after="60"/>
        <w:textAlignment w:val="baseline"/>
        <w:rPr>
          <w:rFonts w:asciiTheme="minorHAnsi" w:hAnsiTheme="minorHAnsi"/>
          <w:b/>
          <w:szCs w:val="22"/>
        </w:rPr>
      </w:pPr>
      <w:r w:rsidRPr="00021F58">
        <w:rPr>
          <w:rFonts w:asciiTheme="minorHAnsi" w:hAnsiTheme="minorHAnsi"/>
          <w:b/>
          <w:szCs w:val="22"/>
        </w:rPr>
        <w:t xml:space="preserve">Membership of professional bodies: </w:t>
      </w:r>
    </w:p>
    <w:p w:rsidR="00EF4E7C" w:rsidRDefault="00EF4E7C" w:rsidP="00EF4E7C">
      <w:pPr>
        <w:pStyle w:val="ECABullets"/>
        <w:spacing w:after="80"/>
        <w:ind w:left="1124" w:hanging="562"/>
      </w:pPr>
      <w:r>
        <w:t>Kenya Renewable Energy Association (KEREA);</w:t>
      </w:r>
    </w:p>
    <w:p w:rsidR="00EF4E7C" w:rsidRDefault="00EF4E7C" w:rsidP="00EF4E7C">
      <w:pPr>
        <w:pStyle w:val="ECABullets"/>
        <w:spacing w:after="80"/>
        <w:ind w:left="1124" w:hanging="562"/>
      </w:pPr>
      <w:r>
        <w:t>Ecological Society of East Africa (ESEA);</w:t>
      </w:r>
    </w:p>
    <w:p w:rsidR="00DD6895" w:rsidRDefault="00EF4E7C" w:rsidP="00DD6895">
      <w:pPr>
        <w:pStyle w:val="ECABullets"/>
        <w:spacing w:after="80"/>
        <w:ind w:left="1124" w:hanging="562"/>
      </w:pPr>
      <w:r>
        <w:t>Compton Fellow</w:t>
      </w:r>
    </w:p>
    <w:p w:rsidR="00EF4E7C" w:rsidRPr="00B72798" w:rsidRDefault="00EF4E7C" w:rsidP="00EF4E7C">
      <w:pPr>
        <w:pStyle w:val="ECABullets"/>
        <w:spacing w:after="80"/>
        <w:ind w:left="1124" w:hanging="562"/>
      </w:pPr>
      <w:r>
        <w:t>Education for Sustainable Energy Development (ESED) Scholar</w:t>
      </w:r>
    </w:p>
    <w:p w:rsidR="00EF4E7C" w:rsidRPr="00B72798" w:rsidRDefault="00EF4E7C" w:rsidP="00EF4E7C">
      <w:pPr>
        <w:numPr>
          <w:ilvl w:val="0"/>
          <w:numId w:val="3"/>
        </w:numPr>
        <w:suppressAutoHyphens w:val="0"/>
        <w:overflowPunct w:val="0"/>
        <w:autoSpaceDE w:val="0"/>
        <w:autoSpaceDN w:val="0"/>
        <w:adjustRightInd w:val="0"/>
        <w:spacing w:after="60"/>
        <w:jc w:val="both"/>
        <w:textAlignment w:val="baseline"/>
        <w:rPr>
          <w:b/>
          <w:szCs w:val="22"/>
        </w:rPr>
      </w:pPr>
      <w:r w:rsidRPr="00021F58">
        <w:rPr>
          <w:rFonts w:asciiTheme="minorHAnsi" w:hAnsiTheme="minorHAnsi"/>
          <w:b/>
          <w:szCs w:val="22"/>
        </w:rPr>
        <w:t>Other skills</w:t>
      </w:r>
      <w:r w:rsidRPr="00B72798">
        <w:rPr>
          <w:b/>
          <w:szCs w:val="22"/>
        </w:rPr>
        <w:t xml:space="preserve">: </w:t>
      </w:r>
      <w:r w:rsidRPr="00FF16F4">
        <w:rPr>
          <w:rFonts w:eastAsia="Calibri"/>
          <w:spacing w:val="8"/>
          <w:szCs w:val="18"/>
        </w:rPr>
        <w:t>HOMER energy systems modelling software</w:t>
      </w:r>
      <w:r w:rsidR="00BD651F">
        <w:rPr>
          <w:rFonts w:eastAsia="Calibri"/>
          <w:spacing w:val="8"/>
          <w:szCs w:val="18"/>
        </w:rPr>
        <w:t>,</w:t>
      </w:r>
      <w:r w:rsidR="00BD651F" w:rsidRPr="00BD651F">
        <w:rPr>
          <w:rFonts w:eastAsia="Calibri"/>
          <w:spacing w:val="8"/>
          <w:szCs w:val="18"/>
        </w:rPr>
        <w:t xml:space="preserve"> </w:t>
      </w:r>
      <w:r w:rsidR="00BD651F" w:rsidRPr="00FF16F4">
        <w:rPr>
          <w:rFonts w:eastAsia="Calibri"/>
          <w:spacing w:val="8"/>
          <w:szCs w:val="18"/>
        </w:rPr>
        <w:t>MS Applications, GIS (intermediate user),</w:t>
      </w:r>
    </w:p>
    <w:p w:rsidR="00EF4E7C" w:rsidRPr="00021F58" w:rsidRDefault="00EF4E7C" w:rsidP="00EF4E7C">
      <w:pPr>
        <w:numPr>
          <w:ilvl w:val="0"/>
          <w:numId w:val="3"/>
        </w:numPr>
        <w:suppressAutoHyphens w:val="0"/>
        <w:overflowPunct w:val="0"/>
        <w:autoSpaceDE w:val="0"/>
        <w:autoSpaceDN w:val="0"/>
        <w:adjustRightInd w:val="0"/>
        <w:spacing w:after="60"/>
        <w:textAlignment w:val="baseline"/>
        <w:rPr>
          <w:rFonts w:asciiTheme="minorHAnsi" w:hAnsiTheme="minorHAnsi"/>
          <w:b/>
          <w:szCs w:val="22"/>
        </w:rPr>
      </w:pPr>
      <w:r w:rsidRPr="00021F58">
        <w:rPr>
          <w:rFonts w:asciiTheme="minorHAnsi" w:hAnsiTheme="minorHAnsi"/>
          <w:b/>
          <w:szCs w:val="22"/>
        </w:rPr>
        <w:t>Key qualifications and experience (relevant to the project):</w:t>
      </w:r>
    </w:p>
    <w:p w:rsidR="004115DA" w:rsidRDefault="004115DA" w:rsidP="00EF4E7C">
      <w:pPr>
        <w:pStyle w:val="ECABullets"/>
        <w:spacing w:after="80"/>
        <w:ind w:left="1124" w:hanging="562"/>
      </w:pPr>
      <w:r>
        <w:t>Energy and energy sector program design</w:t>
      </w:r>
    </w:p>
    <w:p w:rsidR="004115DA" w:rsidRDefault="004115DA" w:rsidP="004115DA">
      <w:pPr>
        <w:pStyle w:val="ECABullets"/>
        <w:spacing w:after="80"/>
        <w:ind w:left="1124" w:hanging="562"/>
      </w:pPr>
      <w:r>
        <w:t>Renewable energy resource assessments</w:t>
      </w:r>
    </w:p>
    <w:p w:rsidR="004115DA" w:rsidRDefault="004115DA" w:rsidP="004115DA">
      <w:pPr>
        <w:pStyle w:val="ECABullets"/>
        <w:spacing w:after="80"/>
        <w:ind w:left="1124" w:hanging="562"/>
      </w:pPr>
      <w:r>
        <w:t>Energy demand side studies</w:t>
      </w:r>
    </w:p>
    <w:p w:rsidR="004115DA" w:rsidRDefault="004115DA" w:rsidP="004115DA">
      <w:pPr>
        <w:pStyle w:val="ECABullets"/>
        <w:spacing w:after="80"/>
        <w:ind w:left="1124" w:hanging="562"/>
      </w:pPr>
      <w:r>
        <w:t>Commercialization of renewable energy systems and business models</w:t>
      </w:r>
    </w:p>
    <w:p w:rsidR="004115DA" w:rsidRPr="00B72798" w:rsidRDefault="004115DA" w:rsidP="004115DA">
      <w:pPr>
        <w:pStyle w:val="ECABullets"/>
        <w:spacing w:after="80"/>
        <w:ind w:left="1124" w:hanging="562"/>
      </w:pPr>
      <w:r>
        <w:t>Structuring and design of distributed energy systems</w:t>
      </w:r>
    </w:p>
    <w:p w:rsidR="00EF4E7C" w:rsidRDefault="00EF4E7C" w:rsidP="00EF4E7C">
      <w:pPr>
        <w:pStyle w:val="ECABullets"/>
        <w:spacing w:after="80"/>
        <w:ind w:left="1124" w:hanging="562"/>
      </w:pPr>
      <w:r>
        <w:t>Energy policy and planning</w:t>
      </w:r>
    </w:p>
    <w:p w:rsidR="00EF4E7C" w:rsidRPr="00B7623E" w:rsidRDefault="00EF4E7C" w:rsidP="00B7623E">
      <w:pPr>
        <w:numPr>
          <w:ilvl w:val="0"/>
          <w:numId w:val="3"/>
        </w:numPr>
        <w:suppressAutoHyphens w:val="0"/>
        <w:overflowPunct w:val="0"/>
        <w:autoSpaceDE w:val="0"/>
        <w:autoSpaceDN w:val="0"/>
        <w:adjustRightInd w:val="0"/>
        <w:spacing w:after="60"/>
        <w:textAlignment w:val="baseline"/>
        <w:rPr>
          <w:szCs w:val="22"/>
        </w:rPr>
      </w:pPr>
      <w:r w:rsidRPr="00021F58">
        <w:rPr>
          <w:rFonts w:asciiTheme="minorHAnsi" w:hAnsiTheme="minorHAnsi"/>
          <w:b/>
          <w:szCs w:val="22"/>
          <w:lang w:val="en-ZW"/>
        </w:rPr>
        <w:t>Specific country experience</w:t>
      </w:r>
      <w:r w:rsidRPr="00B72798">
        <w:rPr>
          <w:b/>
          <w:szCs w:val="22"/>
          <w:lang w:val="en-ZW"/>
        </w:rPr>
        <w:t>:</w:t>
      </w:r>
      <w:r w:rsidR="00B7623E">
        <w:rPr>
          <w:b/>
          <w:szCs w:val="22"/>
          <w:lang w:val="en-ZW"/>
        </w:rPr>
        <w:t xml:space="preserve"> </w:t>
      </w:r>
      <w:r w:rsidR="00B7623E" w:rsidRPr="00B7623E">
        <w:rPr>
          <w:szCs w:val="22"/>
          <w:lang w:val="en-ZW"/>
        </w:rPr>
        <w:t xml:space="preserve">Kenya, Uganda, Tanzania, Zambia, Mozambique, Rwanda, Tunisia, Brazil and USA. </w:t>
      </w:r>
    </w:p>
    <w:p w:rsidR="00EF4E7C" w:rsidRPr="00021F58" w:rsidRDefault="00EF4E7C" w:rsidP="00EF4E7C">
      <w:pPr>
        <w:numPr>
          <w:ilvl w:val="0"/>
          <w:numId w:val="3"/>
        </w:numPr>
        <w:suppressAutoHyphens w:val="0"/>
        <w:overflowPunct w:val="0"/>
        <w:autoSpaceDE w:val="0"/>
        <w:autoSpaceDN w:val="0"/>
        <w:adjustRightInd w:val="0"/>
        <w:spacing w:after="60"/>
        <w:textAlignment w:val="baseline"/>
        <w:rPr>
          <w:rFonts w:asciiTheme="minorHAnsi" w:hAnsiTheme="minorHAnsi"/>
          <w:b/>
          <w:szCs w:val="22"/>
          <w:lang w:val="en-ZW"/>
        </w:rPr>
      </w:pPr>
      <w:r w:rsidRPr="00021F58">
        <w:rPr>
          <w:rFonts w:asciiTheme="minorHAnsi" w:hAnsiTheme="minorHAnsi"/>
          <w:b/>
          <w:szCs w:val="22"/>
          <w:lang w:val="en-ZW"/>
        </w:rPr>
        <w:t>Professional experience record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54"/>
      </w:tblGrid>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Date:</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from 08/2013 to Present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Location: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Kenya</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Company:</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EED Advisory Limited</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Position: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Principal Associate</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Description:</w:t>
            </w:r>
          </w:p>
        </w:tc>
        <w:tc>
          <w:tcPr>
            <w:tcW w:w="6854" w:type="dxa"/>
            <w:shd w:val="clear" w:color="auto" w:fill="auto"/>
          </w:tcPr>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 xml:space="preserve">Lead consultant supporting DANIDA and the Kenya Association of Manufacturers (KAM) design a 5 year, DKK </w:t>
            </w:r>
            <w:r w:rsidRPr="00683B09">
              <w:rPr>
                <w:rFonts w:ascii="Palatino Linotype" w:hAnsi="Palatino Linotype"/>
                <w:sz w:val="22"/>
                <w:szCs w:val="22"/>
                <w:lang w:val="en-GB"/>
              </w:rPr>
              <w:lastRenderedPageBreak/>
              <w:t xml:space="preserve">32 (US$ 4.8) million support facility for promoting private sector participation in renewable energy and energy efficiency. </w:t>
            </w:r>
          </w:p>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 xml:space="preserve">Lead local consultant in design a £30 million support facility for private sector led green mini-grids in Kenya supported by </w:t>
            </w:r>
            <w:proofErr w:type="spellStart"/>
            <w:r w:rsidRPr="00683B09">
              <w:rPr>
                <w:rFonts w:ascii="Palatino Linotype" w:hAnsi="Palatino Linotype"/>
                <w:sz w:val="22"/>
                <w:szCs w:val="22"/>
                <w:lang w:val="en-GB"/>
              </w:rPr>
              <w:t>DfID</w:t>
            </w:r>
            <w:proofErr w:type="spellEnd"/>
            <w:r w:rsidRPr="00683B09">
              <w:rPr>
                <w:rFonts w:ascii="Palatino Linotype" w:hAnsi="Palatino Linotype"/>
                <w:sz w:val="22"/>
                <w:szCs w:val="22"/>
                <w:lang w:val="en-GB"/>
              </w:rPr>
              <w:t xml:space="preserve"> and managed by </w:t>
            </w:r>
            <w:proofErr w:type="spellStart"/>
            <w:r w:rsidRPr="00683B09">
              <w:rPr>
                <w:rFonts w:ascii="Palatino Linotype" w:hAnsi="Palatino Linotype"/>
                <w:sz w:val="22"/>
                <w:szCs w:val="22"/>
                <w:lang w:val="en-GB"/>
              </w:rPr>
              <w:t>AfD</w:t>
            </w:r>
            <w:proofErr w:type="spellEnd"/>
            <w:r w:rsidRPr="00683B09">
              <w:rPr>
                <w:rFonts w:ascii="Palatino Linotype" w:hAnsi="Palatino Linotype"/>
                <w:sz w:val="22"/>
                <w:szCs w:val="22"/>
                <w:lang w:val="en-GB"/>
              </w:rPr>
              <w:t>. The facility will address key barriers in private sector participation in electricity generation and distribution.</w:t>
            </w:r>
          </w:p>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Providing advice to Chase Bank on their “going green” strategy which included energy audits of all their 38 branches and recommending methods of achieving a carbon neutral status.</w:t>
            </w:r>
          </w:p>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Lead consultant in design a US$ 5 million Transaction Advisory Services Facility under the SREP program in Tanzania on behalf of the IFC. TASF will support enterprise development in the mini-grids sector.</w:t>
            </w:r>
          </w:p>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Lead consultant for a World Bank in market scoping survey targeting mini-grid developers. The survey sought to gather their opinion on two pilot business models being considered by the Ministry of Energy in Kenya (mini-IPP and a full concession model).</w:t>
            </w:r>
          </w:p>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Lead country consultant in a 17-country World Bank scoping study capturing quantitative and qualitative information that assesses policy and institutional frameworks in the renewable energy sector. Part of the assignment included stakeholder mapping, gathering market intelligence on renewable energy projects under development and aggregating information on laws and regulations governing the sector.</w:t>
            </w:r>
          </w:p>
          <w:p w:rsidR="00683B09" w:rsidRPr="00683B09" w:rsidRDefault="00683B09" w:rsidP="00683B09">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 xml:space="preserve">Technical reviewer of a €14 million NAMA proposal to accelerate geothermal development in Kenya supported by GIZ, designed by the Energy Research Centre of the Netherlands on behalf of the Ministry of Energy and Petroleum (Kenya). </w:t>
            </w:r>
          </w:p>
          <w:p w:rsidR="00EF4E7C" w:rsidRDefault="00683B09" w:rsidP="00BD651F">
            <w:pPr>
              <w:pStyle w:val="TableListBullets"/>
              <w:numPr>
                <w:ilvl w:val="0"/>
                <w:numId w:val="10"/>
              </w:numPr>
              <w:jc w:val="both"/>
              <w:rPr>
                <w:rFonts w:ascii="Palatino Linotype" w:hAnsi="Palatino Linotype"/>
                <w:sz w:val="22"/>
                <w:szCs w:val="22"/>
                <w:lang w:val="en-GB"/>
              </w:rPr>
            </w:pPr>
            <w:r w:rsidRPr="00683B09">
              <w:rPr>
                <w:rFonts w:ascii="Palatino Linotype" w:hAnsi="Palatino Linotype"/>
                <w:sz w:val="22"/>
                <w:szCs w:val="22"/>
                <w:lang w:val="en-GB"/>
              </w:rPr>
              <w:t xml:space="preserve">Lead consultant in drafting and formulating a € 2 million concept note for results based financing for improved cook stoves on behalf of the SNV project team. Part of the assignment involved review of the energy sector in general and the cook stoves sub-sector specifically, developing project performance indicators and structuring the idea in line with the </w:t>
            </w:r>
            <w:proofErr w:type="spellStart"/>
            <w:r w:rsidRPr="00683B09">
              <w:rPr>
                <w:rFonts w:ascii="Palatino Linotype" w:hAnsi="Palatino Linotype"/>
                <w:sz w:val="22"/>
                <w:szCs w:val="22"/>
                <w:lang w:val="en-GB"/>
              </w:rPr>
              <w:t>EnDev</w:t>
            </w:r>
            <w:proofErr w:type="spellEnd"/>
            <w:r w:rsidRPr="00683B09">
              <w:rPr>
                <w:rFonts w:ascii="Palatino Linotype" w:hAnsi="Palatino Linotype"/>
                <w:sz w:val="22"/>
                <w:szCs w:val="22"/>
                <w:lang w:val="en-GB"/>
              </w:rPr>
              <w:t xml:space="preserve"> guidelines. </w:t>
            </w:r>
          </w:p>
          <w:p w:rsidR="00BD651F" w:rsidRPr="00BD651F" w:rsidRDefault="00BD651F" w:rsidP="00BD651F">
            <w:pPr>
              <w:pStyle w:val="TableListBullets"/>
              <w:numPr>
                <w:ilvl w:val="0"/>
                <w:numId w:val="0"/>
              </w:numPr>
              <w:ind w:left="720"/>
              <w:jc w:val="both"/>
              <w:rPr>
                <w:rFonts w:ascii="Palatino Linotype" w:hAnsi="Palatino Linotype"/>
                <w:sz w:val="22"/>
                <w:szCs w:val="22"/>
                <w:lang w:val="en-GB"/>
              </w:rPr>
            </w:pPr>
          </w:p>
        </w:tc>
      </w:tr>
    </w:tbl>
    <w:p w:rsidR="00EF4E7C" w:rsidRDefault="00EF4E7C" w:rsidP="00EF4E7C">
      <w:pPr>
        <w:suppressAutoHyphens w:val="0"/>
        <w:spacing w:after="60"/>
        <w:jc w:val="both"/>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54"/>
      </w:tblGrid>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lastRenderedPageBreak/>
              <w:t>Date:</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from 04/2010 to 08/2013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Location: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Kenya</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Company:</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Camco Clean Energy</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Position: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Principal Consultant and Operations Manager</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Description:</w:t>
            </w:r>
          </w:p>
        </w:tc>
        <w:tc>
          <w:tcPr>
            <w:tcW w:w="6854" w:type="dxa"/>
            <w:shd w:val="clear" w:color="auto" w:fill="auto"/>
          </w:tcPr>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Lead consultant in coordinating nine (9) government agencies and regulators in the renewable energy space in Kenya to create a publically available one-stop online information portal for licencing and permitting procedures for renewables. The aim of the project was to improve the ease of doing business within the renewable energy sub-sector by increasing transparency and predictability of the permitting process.</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 xml:space="preserve">Lead consultant in designing a US$ 1.4 million regional renewable energy programme covering Kenya, Uganda and Tanzania. The aim of the programme is to address market barriers in the uptake of renewable energy services in the region with a focus on small-hydro, biomass and geothermal. </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Representing an MDB client in structuring, negotiating and drafting a $50million and a $60 million renewable energy investment plan for Tanzania and Kenya respectively under SREP, which is part of the Climate Investment Fund (CIF).</w:t>
            </w:r>
          </w:p>
          <w:p w:rsidR="00EF4E7C" w:rsidRPr="003E50E8" w:rsidRDefault="00076414" w:rsidP="00076414">
            <w:pPr>
              <w:pStyle w:val="TableListBullets"/>
              <w:ind w:left="216" w:hanging="216"/>
              <w:jc w:val="both"/>
              <w:rPr>
                <w:rFonts w:ascii="Book Antiqua" w:hAnsi="Book Antiqua"/>
                <w:sz w:val="22"/>
                <w:szCs w:val="22"/>
                <w:lang w:val="en-GB" w:eastAsia="en-US"/>
              </w:rPr>
            </w:pPr>
            <w:r w:rsidRPr="00076414">
              <w:rPr>
                <w:rFonts w:ascii="Palatino Linotype" w:hAnsi="Palatino Linotype"/>
                <w:sz w:val="22"/>
                <w:szCs w:val="22"/>
                <w:lang w:val="en-GB"/>
              </w:rPr>
              <w:t>Managing a project to develop a woodfuel monitoring and tracking system with pilots in Uganda and Brazil.</w:t>
            </w:r>
          </w:p>
        </w:tc>
      </w:tr>
    </w:tbl>
    <w:p w:rsidR="00EF4E7C" w:rsidRDefault="00EF4E7C" w:rsidP="00EF4E7C">
      <w:pPr>
        <w:suppressAutoHyphens w:val="0"/>
        <w:spacing w:after="60"/>
        <w:jc w:val="both"/>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54"/>
      </w:tblGrid>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Date:</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from 08/2009 to 03/2010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Location: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Tunisia</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Company:</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African Development Bank</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Position: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Energy and Climate Change Specialist</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Description:</w:t>
            </w:r>
          </w:p>
        </w:tc>
        <w:tc>
          <w:tcPr>
            <w:tcW w:w="6854" w:type="dxa"/>
            <w:shd w:val="clear" w:color="auto" w:fill="auto"/>
          </w:tcPr>
          <w:p w:rsidR="00EF4E7C" w:rsidRPr="003E50E8" w:rsidRDefault="00EF4E7C" w:rsidP="00EF4E7C">
            <w:pPr>
              <w:pStyle w:val="TableListBullets"/>
              <w:ind w:left="216" w:hanging="216"/>
              <w:rPr>
                <w:rFonts w:ascii="Book Antiqua" w:hAnsi="Book Antiqua"/>
                <w:sz w:val="22"/>
                <w:szCs w:val="22"/>
                <w:lang w:val="en-GB" w:eastAsia="en-US"/>
              </w:rPr>
            </w:pPr>
            <w:r w:rsidRPr="003E50E8">
              <w:rPr>
                <w:rFonts w:ascii="Book Antiqua" w:hAnsi="Book Antiqua"/>
                <w:sz w:val="22"/>
                <w:szCs w:val="22"/>
                <w:lang w:val="en-GB" w:eastAsia="en-US"/>
              </w:rPr>
              <w:t xml:space="preserve">Working under the Development Research Department (EDRE) to ensure that climate change issues are integrated into the overall knowledge generation processes of the Bank. </w:t>
            </w:r>
          </w:p>
          <w:p w:rsidR="00EF4E7C" w:rsidRPr="003E50E8" w:rsidRDefault="00EF4E7C" w:rsidP="00EF4E7C">
            <w:pPr>
              <w:pStyle w:val="TableListBullets"/>
              <w:ind w:left="216" w:hanging="216"/>
              <w:rPr>
                <w:rFonts w:ascii="Book Antiqua" w:hAnsi="Book Antiqua"/>
                <w:sz w:val="22"/>
                <w:szCs w:val="22"/>
                <w:lang w:val="en-GB" w:eastAsia="en-US"/>
              </w:rPr>
            </w:pPr>
            <w:r w:rsidRPr="003E50E8">
              <w:rPr>
                <w:rFonts w:ascii="Book Antiqua" w:hAnsi="Book Antiqua"/>
                <w:sz w:val="22"/>
                <w:szCs w:val="22"/>
                <w:lang w:val="en-GB" w:eastAsia="en-US"/>
              </w:rPr>
              <w:t>Provision of renewable energy and climate change intelligence for senior management</w:t>
            </w:r>
          </w:p>
          <w:p w:rsidR="00EF4E7C" w:rsidRPr="00D32721" w:rsidRDefault="00EF4E7C" w:rsidP="00EF4E7C">
            <w:pPr>
              <w:pStyle w:val="TableListBullets"/>
              <w:ind w:left="216" w:hanging="216"/>
              <w:rPr>
                <w:szCs w:val="22"/>
              </w:rPr>
            </w:pPr>
            <w:r w:rsidRPr="003E50E8">
              <w:rPr>
                <w:rFonts w:ascii="Book Antiqua" w:hAnsi="Book Antiqua"/>
                <w:sz w:val="22"/>
                <w:szCs w:val="22"/>
                <w:lang w:val="en-GB" w:eastAsia="en-US"/>
              </w:rPr>
              <w:t>Representing the bank at various climate change fora</w:t>
            </w:r>
          </w:p>
        </w:tc>
      </w:tr>
    </w:tbl>
    <w:p w:rsidR="00EF4E7C" w:rsidRDefault="00EF4E7C" w:rsidP="00EF4E7C">
      <w:pPr>
        <w:suppressAutoHyphens w:val="0"/>
        <w:spacing w:after="60"/>
        <w:jc w:val="both"/>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54"/>
      </w:tblGrid>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Date:</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from 09/2008 to 03/2009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Location: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USA &amp; Kenya</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Company:</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United Nations Development Program</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Position: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Consultant</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Description:</w:t>
            </w:r>
          </w:p>
        </w:tc>
        <w:tc>
          <w:tcPr>
            <w:tcW w:w="6854" w:type="dxa"/>
            <w:shd w:val="clear" w:color="auto" w:fill="auto"/>
          </w:tcPr>
          <w:p w:rsidR="00EF4E7C" w:rsidRPr="00D32721" w:rsidRDefault="00EF4E7C" w:rsidP="00262C1B">
            <w:pPr>
              <w:pStyle w:val="TableListBullets"/>
              <w:numPr>
                <w:ilvl w:val="0"/>
                <w:numId w:val="0"/>
              </w:numPr>
              <w:jc w:val="both"/>
              <w:rPr>
                <w:szCs w:val="22"/>
              </w:rPr>
            </w:pPr>
            <w:r w:rsidRPr="003E50E8">
              <w:rPr>
                <w:rFonts w:ascii="Book Antiqua" w:hAnsi="Book Antiqua"/>
                <w:sz w:val="22"/>
                <w:szCs w:val="22"/>
                <w:lang w:val="en-GB" w:eastAsia="en-US"/>
              </w:rPr>
              <w:t xml:space="preserve">Led project design (PDF-A) of a medium-scale United Nations Development Programme- Global Environment Facility (UNDP-GEF) project worth US$ 1 million on behalf on the Government of Kenya Ministry of Forestry and Wildlife in collaboration with </w:t>
            </w:r>
            <w:r w:rsidRPr="003E50E8">
              <w:rPr>
                <w:rFonts w:ascii="Book Antiqua" w:hAnsi="Book Antiqua"/>
                <w:sz w:val="22"/>
                <w:szCs w:val="22"/>
                <w:lang w:val="en-GB" w:eastAsia="en-US"/>
              </w:rPr>
              <w:lastRenderedPageBreak/>
              <w:t>Energy for Sustainable Development, Nairobi Office. The goal of the project is to improve sustainable land use management in arid and semi-arid regions of Kenya.</w:t>
            </w:r>
          </w:p>
        </w:tc>
      </w:tr>
    </w:tbl>
    <w:p w:rsidR="00EF4E7C" w:rsidRDefault="00EF4E7C" w:rsidP="00EF4E7C">
      <w:pPr>
        <w:suppressAutoHyphens w:val="0"/>
        <w:spacing w:after="60"/>
        <w:jc w:val="both"/>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54"/>
      </w:tblGrid>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Date:</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from 09/2007 to 03/2009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Location: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USA</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Company:</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Yale University</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Position: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Teaching and research assistant</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Description:</w:t>
            </w:r>
          </w:p>
        </w:tc>
        <w:tc>
          <w:tcPr>
            <w:tcW w:w="6854" w:type="dxa"/>
            <w:shd w:val="clear" w:color="auto" w:fill="auto"/>
          </w:tcPr>
          <w:p w:rsidR="00EF4E7C" w:rsidRPr="003E50E8" w:rsidRDefault="00EF4E7C" w:rsidP="00EF4E7C">
            <w:pPr>
              <w:pStyle w:val="TableListBullets"/>
              <w:ind w:left="216" w:hanging="216"/>
              <w:rPr>
                <w:szCs w:val="22"/>
              </w:rPr>
            </w:pPr>
            <w:r>
              <w:rPr>
                <w:rFonts w:ascii="Book Antiqua" w:hAnsi="Book Antiqua"/>
                <w:sz w:val="22"/>
                <w:szCs w:val="22"/>
                <w:lang w:val="en-GB" w:eastAsia="en-US"/>
              </w:rPr>
              <w:t>Teaching assistant for a course on energy issues in developing countries</w:t>
            </w:r>
          </w:p>
          <w:p w:rsidR="00EF4E7C" w:rsidRPr="00D32721" w:rsidRDefault="00EF4E7C" w:rsidP="00EF4E7C">
            <w:pPr>
              <w:pStyle w:val="TableListBullets"/>
              <w:ind w:left="216" w:hanging="216"/>
              <w:rPr>
                <w:szCs w:val="22"/>
              </w:rPr>
            </w:pPr>
            <w:r>
              <w:rPr>
                <w:rFonts w:ascii="Book Antiqua" w:hAnsi="Book Antiqua"/>
                <w:sz w:val="22"/>
                <w:szCs w:val="22"/>
                <w:lang w:val="en-GB" w:eastAsia="en-US"/>
              </w:rPr>
              <w:t>Research on energy access in Africa, renewable energy uptake in Africa and the biofuel food-fuel potential conflict in Sub Saharan Africa</w:t>
            </w:r>
          </w:p>
        </w:tc>
      </w:tr>
    </w:tbl>
    <w:p w:rsidR="00EF4E7C" w:rsidRDefault="00EF4E7C" w:rsidP="00EF4E7C">
      <w:pPr>
        <w:suppressAutoHyphens w:val="0"/>
        <w:spacing w:after="60"/>
        <w:jc w:val="both"/>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854"/>
      </w:tblGrid>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Date:</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from 10/2003 to 07/2007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Location: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 xml:space="preserve">Kenya </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Company:</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Camco Clean Energy</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Position:</w:t>
            </w:r>
          </w:p>
        </w:tc>
        <w:tc>
          <w:tcPr>
            <w:tcW w:w="6854" w:type="dxa"/>
            <w:shd w:val="clear" w:color="auto" w:fill="auto"/>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Analyst</w:t>
            </w:r>
          </w:p>
        </w:tc>
      </w:tr>
      <w:tr w:rsidR="00EF4E7C" w:rsidRPr="00D32721" w:rsidTr="00262C1B">
        <w:tc>
          <w:tcPr>
            <w:tcW w:w="1560" w:type="dxa"/>
            <w:shd w:val="clear" w:color="auto" w:fill="D9D9D9"/>
          </w:tcPr>
          <w:p w:rsidR="00EF4E7C" w:rsidRPr="00021F58" w:rsidRDefault="00EF4E7C" w:rsidP="00262C1B">
            <w:pPr>
              <w:suppressAutoHyphens w:val="0"/>
              <w:spacing w:after="60"/>
              <w:jc w:val="both"/>
              <w:rPr>
                <w:rFonts w:asciiTheme="minorHAnsi" w:hAnsiTheme="minorHAnsi"/>
                <w:szCs w:val="22"/>
              </w:rPr>
            </w:pPr>
            <w:r w:rsidRPr="00021F58">
              <w:rPr>
                <w:rFonts w:asciiTheme="minorHAnsi" w:hAnsiTheme="minorHAnsi"/>
                <w:szCs w:val="22"/>
              </w:rPr>
              <w:t>Description:</w:t>
            </w:r>
          </w:p>
        </w:tc>
        <w:tc>
          <w:tcPr>
            <w:tcW w:w="6854" w:type="dxa"/>
            <w:shd w:val="clear" w:color="auto" w:fill="auto"/>
          </w:tcPr>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 xml:space="preserve">Worked with partners in South Africa, Mozambique, Zambia and Swaziland to compile a regional state of play report that was used as a guide to national policies and approaches with the aim of mainstreaming renewable energy technologies (RETs) in poverty alleviation strategies. This involved a renewable energy demand study in </w:t>
            </w:r>
            <w:proofErr w:type="spellStart"/>
            <w:r w:rsidRPr="00076414">
              <w:rPr>
                <w:rFonts w:ascii="Palatino Linotype" w:hAnsi="Palatino Linotype"/>
                <w:sz w:val="22"/>
                <w:szCs w:val="22"/>
                <w:lang w:val="en-GB"/>
              </w:rPr>
              <w:t>Katuba</w:t>
            </w:r>
            <w:proofErr w:type="spellEnd"/>
            <w:r w:rsidRPr="00076414">
              <w:rPr>
                <w:rFonts w:ascii="Palatino Linotype" w:hAnsi="Palatino Linotype"/>
                <w:sz w:val="22"/>
                <w:szCs w:val="22"/>
                <w:lang w:val="en-GB"/>
              </w:rPr>
              <w:t>, Zambia.</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 xml:space="preserve">Designed and implemented a field study to assess the types of solar PV productive uses in Kenya and the industry’s facilitative factors. </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Offered assistance in developing an outline that provided guidance for policy makers, project developers as well as to consultants on how to develop national biomass energy strategies in the Kenyan context.</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Assisted in designing a pre-feasibility study to guide an upgrading process of a community run off-grid diesel power unit, to a wind-diesel hybrid system. Assessing the current and potential household, industrial, institutional energy requirements and expected environmental impacts.</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Designed and implemented a feasibility study for a private sector client interested in bio diesel production for export from energy crops grown by small holders in Inhambane province of Mozambique.</w:t>
            </w:r>
          </w:p>
          <w:p w:rsidR="00076414" w:rsidRPr="00076414" w:rsidRDefault="00076414" w:rsidP="00076414">
            <w:pPr>
              <w:pStyle w:val="TableListBullets"/>
              <w:ind w:left="216" w:hanging="216"/>
              <w:jc w:val="both"/>
              <w:rPr>
                <w:rFonts w:ascii="Palatino Linotype" w:hAnsi="Palatino Linotype"/>
                <w:sz w:val="22"/>
                <w:szCs w:val="22"/>
                <w:lang w:val="en-GB"/>
              </w:rPr>
            </w:pPr>
            <w:r w:rsidRPr="00076414">
              <w:rPr>
                <w:rFonts w:ascii="Palatino Linotype" w:hAnsi="Palatino Linotype"/>
                <w:sz w:val="22"/>
                <w:szCs w:val="22"/>
                <w:lang w:val="en-GB"/>
              </w:rPr>
              <w:t xml:space="preserve">Assisted in developing an Energy Atlas for Kenya showing current information and potential sources and supplies of energy, </w:t>
            </w:r>
            <w:r w:rsidRPr="00076414">
              <w:rPr>
                <w:rFonts w:ascii="Palatino Linotype" w:hAnsi="Palatino Linotype"/>
                <w:sz w:val="22"/>
                <w:szCs w:val="22"/>
                <w:lang w:val="en-GB"/>
              </w:rPr>
              <w:lastRenderedPageBreak/>
              <w:t xml:space="preserve">highlighting the potential of renewables and identifying the barriers to increased access and provide recommendations. </w:t>
            </w:r>
          </w:p>
          <w:p w:rsidR="00EF4E7C" w:rsidRPr="00D32721" w:rsidRDefault="00EF4E7C" w:rsidP="00076414">
            <w:pPr>
              <w:pStyle w:val="TableListBullets"/>
              <w:numPr>
                <w:ilvl w:val="0"/>
                <w:numId w:val="0"/>
              </w:numPr>
              <w:ind w:left="216"/>
              <w:rPr>
                <w:szCs w:val="22"/>
              </w:rPr>
            </w:pPr>
          </w:p>
        </w:tc>
      </w:tr>
    </w:tbl>
    <w:p w:rsidR="00EF4E7C" w:rsidRPr="00B72798" w:rsidRDefault="00EF4E7C" w:rsidP="00EF4E7C">
      <w:pPr>
        <w:suppressAutoHyphens w:val="0"/>
        <w:spacing w:after="60"/>
        <w:jc w:val="both"/>
        <w:rPr>
          <w:szCs w:val="22"/>
        </w:rPr>
      </w:pPr>
    </w:p>
    <w:p w:rsidR="00BD651F" w:rsidRPr="00BD651F" w:rsidRDefault="00EF4E7C" w:rsidP="00BD651F">
      <w:pPr>
        <w:numPr>
          <w:ilvl w:val="0"/>
          <w:numId w:val="3"/>
        </w:numPr>
        <w:suppressAutoHyphens w:val="0"/>
        <w:overflowPunct w:val="0"/>
        <w:autoSpaceDE w:val="0"/>
        <w:autoSpaceDN w:val="0"/>
        <w:adjustRightInd w:val="0"/>
        <w:spacing w:after="60"/>
        <w:textAlignment w:val="baseline"/>
        <w:rPr>
          <w:rFonts w:asciiTheme="minorHAnsi" w:hAnsiTheme="minorHAnsi"/>
          <w:b/>
          <w:szCs w:val="22"/>
          <w:lang w:val="en-ZW"/>
        </w:rPr>
      </w:pPr>
      <w:r w:rsidRPr="00021F58">
        <w:rPr>
          <w:rFonts w:asciiTheme="minorHAnsi" w:hAnsiTheme="minorHAnsi"/>
          <w:b/>
          <w:szCs w:val="22"/>
          <w:lang w:val="en-ZW"/>
        </w:rPr>
        <w:t>Others (e.g. publications):</w:t>
      </w:r>
    </w:p>
    <w:p w:rsidR="00BD651F" w:rsidRDefault="00BD651F" w:rsidP="00EF4E7C">
      <w:pPr>
        <w:jc w:val="both"/>
        <w:rPr>
          <w:szCs w:val="22"/>
        </w:rPr>
      </w:pPr>
      <w:r w:rsidRPr="00F97AAA">
        <w:rPr>
          <w:szCs w:val="22"/>
        </w:rPr>
        <w:t xml:space="preserve">Barasa M., Kamara A., </w:t>
      </w:r>
      <w:proofErr w:type="spellStart"/>
      <w:r w:rsidRPr="00F97AAA">
        <w:rPr>
          <w:szCs w:val="22"/>
        </w:rPr>
        <w:t>Anyanwu</w:t>
      </w:r>
      <w:proofErr w:type="spellEnd"/>
      <w:r w:rsidRPr="00F97AAA">
        <w:rPr>
          <w:szCs w:val="22"/>
        </w:rPr>
        <w:t xml:space="preserve"> J. and Kang G.S. (2010) Improving infrastructure and energy access in Africa, Agribusiness for Africa’s Prosperity, United Nations Industrial Development Organization. </w:t>
      </w:r>
    </w:p>
    <w:p w:rsidR="00F97AAA" w:rsidRPr="003E50E8" w:rsidRDefault="00F97AAA" w:rsidP="00F97AAA">
      <w:pPr>
        <w:jc w:val="both"/>
        <w:rPr>
          <w:szCs w:val="22"/>
        </w:rPr>
      </w:pPr>
      <w:r w:rsidRPr="003E50E8">
        <w:rPr>
          <w:szCs w:val="22"/>
        </w:rPr>
        <w:t>UNDP (2005), Kenya Energy Atlas, Global Village Energy Partnership, Nairobi (Contributing Author)</w:t>
      </w:r>
    </w:p>
    <w:p w:rsidR="00EF4E7C" w:rsidRPr="003E50E8" w:rsidRDefault="00EF4E7C" w:rsidP="00EF4E7C">
      <w:pPr>
        <w:jc w:val="both"/>
        <w:rPr>
          <w:szCs w:val="22"/>
        </w:rPr>
      </w:pPr>
      <w:bookmarkStart w:id="0" w:name="_GoBack"/>
      <w:bookmarkEnd w:id="0"/>
      <w:proofErr w:type="spellStart"/>
      <w:r w:rsidRPr="003E50E8">
        <w:rPr>
          <w:szCs w:val="22"/>
        </w:rPr>
        <w:t>Camco</w:t>
      </w:r>
      <w:proofErr w:type="spellEnd"/>
      <w:r w:rsidRPr="003E50E8">
        <w:rPr>
          <w:szCs w:val="22"/>
        </w:rPr>
        <w:t xml:space="preserve"> (2013) Analysing Briquette Markets in Tanzania, Kenya and Uganda, Energy and Environment Partnership, DBSA, </w:t>
      </w:r>
      <w:proofErr w:type="spellStart"/>
      <w:r w:rsidRPr="003E50E8">
        <w:rPr>
          <w:szCs w:val="22"/>
        </w:rPr>
        <w:t>Midrand</w:t>
      </w:r>
      <w:proofErr w:type="spellEnd"/>
      <w:r w:rsidRPr="003E50E8">
        <w:rPr>
          <w:szCs w:val="22"/>
        </w:rPr>
        <w:t xml:space="preserve">, Gauteng -Johannesburg. </w:t>
      </w:r>
    </w:p>
    <w:p w:rsidR="00EF4E7C" w:rsidRPr="003E50E8" w:rsidRDefault="00EF4E7C" w:rsidP="00EF4E7C">
      <w:pPr>
        <w:jc w:val="both"/>
        <w:rPr>
          <w:szCs w:val="22"/>
        </w:rPr>
      </w:pPr>
      <w:r w:rsidRPr="003E50E8">
        <w:rPr>
          <w:szCs w:val="22"/>
        </w:rPr>
        <w:t>Barasa M, (2010) Social and Biophysical Assessment of Biofuel Production on the Kenyan Coast, Proceedings of the 3rd Scientific Conference of the Ecological Society for Eastern Africa, Regal Press, (197-212)</w:t>
      </w:r>
    </w:p>
    <w:p w:rsidR="00EF4E7C" w:rsidRPr="003E50E8" w:rsidRDefault="00EF4E7C" w:rsidP="00EF4E7C">
      <w:pPr>
        <w:jc w:val="both"/>
        <w:rPr>
          <w:szCs w:val="22"/>
        </w:rPr>
      </w:pPr>
      <w:proofErr w:type="spellStart"/>
      <w:r w:rsidRPr="003E50E8">
        <w:rPr>
          <w:szCs w:val="22"/>
        </w:rPr>
        <w:t>Mutimba</w:t>
      </w:r>
      <w:proofErr w:type="spellEnd"/>
      <w:r w:rsidRPr="003E50E8">
        <w:rPr>
          <w:szCs w:val="22"/>
        </w:rPr>
        <w:t>, S. and Barasa, M. (2005). National Charcoal Survey: Exploring the potential for a sustainable charcoal industry in Kenya. Nairobi, Energy for Sustainable Development – Africa</w:t>
      </w:r>
    </w:p>
    <w:p w:rsidR="00FC2DC5" w:rsidRDefault="00FC2DC5"/>
    <w:sectPr w:rsidR="00FC2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Symbol"/>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Futura XBlkCn BT">
    <w:altName w:val="Arial Narrow"/>
    <w:charset w:val="00"/>
    <w:family w:val="swiss"/>
    <w:pitch w:val="variable"/>
    <w:sig w:usb0="00000001" w:usb1="00000000" w:usb2="00000000" w:usb3="00000000" w:csb0="0000001B" w:csb1="00000000"/>
  </w:font>
  <w:font w:name="Futura Md BT">
    <w:altName w:val="Lucida Sans Unicode"/>
    <w:charset w:val="00"/>
    <w:family w:val="swiss"/>
    <w:pitch w:val="variable"/>
    <w:sig w:usb0="00000087" w:usb1="00000000" w:usb2="00000000" w:usb3="00000000" w:csb0="0000001B" w:csb1="00000000"/>
  </w:font>
  <w:font w:name="Optima">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CE9"/>
    <w:multiLevelType w:val="multilevel"/>
    <w:tmpl w:val="FA74C262"/>
    <w:lvl w:ilvl="0">
      <w:start w:val="1"/>
      <w:numFmt w:val="decimal"/>
      <w:pStyle w:val="AnnexHead1"/>
      <w:lvlText w:val="A%1"/>
      <w:lvlJc w:val="left"/>
      <w:pPr>
        <w:tabs>
          <w:tab w:val="num" w:pos="3403"/>
        </w:tabs>
        <w:ind w:left="3403" w:hanging="851"/>
      </w:pPr>
      <w:rPr>
        <w:rFonts w:hint="default"/>
      </w:rPr>
    </w:lvl>
    <w:lvl w:ilvl="1">
      <w:start w:val="1"/>
      <w:numFmt w:val="decimal"/>
      <w:pStyle w:val="AnnexHead2"/>
      <w:lvlText w:val="A%1.%2"/>
      <w:lvlJc w:val="left"/>
      <w:pPr>
        <w:tabs>
          <w:tab w:val="num" w:pos="3119"/>
        </w:tabs>
        <w:ind w:left="3119" w:hanging="1134"/>
      </w:pPr>
      <w:rPr>
        <w:rFonts w:cs="Times New Roman"/>
        <w:bCs w:val="0"/>
        <w:i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AnnexHead3"/>
      <w:lvlText w:val="A%1.%2.%3"/>
      <w:lvlJc w:val="left"/>
      <w:pPr>
        <w:tabs>
          <w:tab w:val="num" w:pos="1440"/>
        </w:tabs>
        <w:ind w:left="1134" w:hanging="113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
    <w:nsid w:val="0C7B6C78"/>
    <w:multiLevelType w:val="hybridMultilevel"/>
    <w:tmpl w:val="0406B5EE"/>
    <w:lvl w:ilvl="0" w:tplc="AF2E0DA8">
      <w:start w:val="1"/>
      <w:numFmt w:val="bullet"/>
      <w:lvlText w:val=""/>
      <w:lvlJc w:val="left"/>
      <w:pPr>
        <w:ind w:left="340"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3122101"/>
    <w:multiLevelType w:val="hybridMultilevel"/>
    <w:tmpl w:val="B38A541C"/>
    <w:lvl w:ilvl="0" w:tplc="AF2E0DA8">
      <w:start w:val="1"/>
      <w:numFmt w:val="bullet"/>
      <w:lvlText w:val=""/>
      <w:lvlJc w:val="left"/>
      <w:pPr>
        <w:ind w:left="340"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893B5C"/>
    <w:multiLevelType w:val="multilevel"/>
    <w:tmpl w:val="FC722E20"/>
    <w:styleLink w:val="TableListBulletsGFA"/>
    <w:lvl w:ilvl="0">
      <w:start w:val="1"/>
      <w:numFmt w:val="bullet"/>
      <w:pStyle w:val="TableListBullets"/>
      <w:lvlText w:val=""/>
      <w:lvlJc w:val="left"/>
      <w:pPr>
        <w:ind w:left="113" w:hanging="113"/>
      </w:pPr>
      <w:rPr>
        <w:rFonts w:ascii="Symbol" w:hAnsi="Symbol" w:hint="default"/>
        <w:sz w:val="18"/>
      </w:rPr>
    </w:lvl>
    <w:lvl w:ilvl="1">
      <w:start w:val="1"/>
      <w:numFmt w:val="bullet"/>
      <w:lvlText w:val=""/>
      <w:lvlJc w:val="left"/>
      <w:pPr>
        <w:ind w:left="226" w:hanging="113"/>
      </w:pPr>
      <w:rPr>
        <w:rFonts w:ascii="Wingdings" w:hAnsi="Wingdings" w:hint="default"/>
      </w:rPr>
    </w:lvl>
    <w:lvl w:ilvl="2">
      <w:start w:val="1"/>
      <w:numFmt w:val="bullet"/>
      <w:lvlText w:val=""/>
      <w:lvlJc w:val="left"/>
      <w:pPr>
        <w:ind w:left="339" w:hanging="113"/>
      </w:pPr>
      <w:rPr>
        <w:rFonts w:ascii="Wingdings" w:hAnsi="Wingdings" w:hint="default"/>
      </w:rPr>
    </w:lvl>
    <w:lvl w:ilvl="3">
      <w:start w:val="1"/>
      <w:numFmt w:val="bullet"/>
      <w:lvlText w:val=""/>
      <w:lvlJc w:val="left"/>
      <w:pPr>
        <w:ind w:left="452" w:hanging="113"/>
      </w:pPr>
      <w:rPr>
        <w:rFonts w:ascii="Wingdings" w:hAnsi="Wingdings" w:hint="default"/>
      </w:rPr>
    </w:lvl>
    <w:lvl w:ilvl="4">
      <w:start w:val="1"/>
      <w:numFmt w:val="bullet"/>
      <w:lvlText w:val=""/>
      <w:lvlJc w:val="left"/>
      <w:pPr>
        <w:ind w:left="565" w:hanging="113"/>
      </w:pPr>
      <w:rPr>
        <w:rFonts w:ascii="Wingdings" w:hAnsi="Wingdings" w:hint="default"/>
      </w:rPr>
    </w:lvl>
    <w:lvl w:ilvl="5">
      <w:start w:val="1"/>
      <w:numFmt w:val="bullet"/>
      <w:lvlText w:val=""/>
      <w:lvlJc w:val="left"/>
      <w:pPr>
        <w:ind w:left="678" w:hanging="113"/>
      </w:pPr>
      <w:rPr>
        <w:rFonts w:ascii="Wingdings" w:hAnsi="Wingdings" w:hint="default"/>
      </w:rPr>
    </w:lvl>
    <w:lvl w:ilvl="6">
      <w:start w:val="1"/>
      <w:numFmt w:val="bullet"/>
      <w:lvlText w:val=""/>
      <w:lvlJc w:val="left"/>
      <w:pPr>
        <w:ind w:left="791" w:hanging="113"/>
      </w:pPr>
      <w:rPr>
        <w:rFonts w:ascii="Wingdings" w:hAnsi="Wingdings" w:hint="default"/>
      </w:rPr>
    </w:lvl>
    <w:lvl w:ilvl="7">
      <w:start w:val="1"/>
      <w:numFmt w:val="bullet"/>
      <w:lvlText w:val=""/>
      <w:lvlJc w:val="left"/>
      <w:pPr>
        <w:ind w:left="904" w:hanging="113"/>
      </w:pPr>
      <w:rPr>
        <w:rFonts w:ascii="Wingdings" w:hAnsi="Wingdings" w:hint="default"/>
      </w:rPr>
    </w:lvl>
    <w:lvl w:ilvl="8">
      <w:start w:val="1"/>
      <w:numFmt w:val="bullet"/>
      <w:lvlText w:val=""/>
      <w:lvlJc w:val="left"/>
      <w:pPr>
        <w:ind w:left="1017" w:hanging="113"/>
      </w:pPr>
      <w:rPr>
        <w:rFonts w:ascii="Wingdings" w:hAnsi="Wingdings" w:hint="default"/>
      </w:rPr>
    </w:lvl>
  </w:abstractNum>
  <w:abstractNum w:abstractNumId="4">
    <w:nsid w:val="305B4E1B"/>
    <w:multiLevelType w:val="hybridMultilevel"/>
    <w:tmpl w:val="5A48F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2C50E2"/>
    <w:multiLevelType w:val="multilevel"/>
    <w:tmpl w:val="FC722E20"/>
    <w:numStyleLink w:val="TableListBulletsGFA"/>
  </w:abstractNum>
  <w:abstractNum w:abstractNumId="6">
    <w:nsid w:val="45435E03"/>
    <w:multiLevelType w:val="hybridMultilevel"/>
    <w:tmpl w:val="F552FFBC"/>
    <w:lvl w:ilvl="0" w:tplc="00BA1860">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691639B1"/>
    <w:multiLevelType w:val="hybridMultilevel"/>
    <w:tmpl w:val="7B7819F2"/>
    <w:lvl w:ilvl="0" w:tplc="9DF2BC4E">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91379B"/>
    <w:multiLevelType w:val="multilevel"/>
    <w:tmpl w:val="E25EC634"/>
    <w:lvl w:ilvl="0">
      <w:start w:val="1"/>
      <w:numFmt w:val="bullet"/>
      <w:pStyle w:val="ECABullets"/>
      <w:lvlText w:val=""/>
      <w:lvlJc w:val="left"/>
      <w:pPr>
        <w:tabs>
          <w:tab w:val="num" w:pos="1134"/>
        </w:tabs>
        <w:ind w:left="1134" w:hanging="567"/>
      </w:pPr>
      <w:rPr>
        <w:rFonts w:ascii="Monotype Sorts" w:hAnsi="Monotype Sorts" w:hint="default"/>
        <w:sz w:val="22"/>
      </w:rPr>
    </w:lvl>
    <w:lvl w:ilvl="1">
      <w:start w:val="1"/>
      <w:numFmt w:val="bullet"/>
      <w:pStyle w:val="ECASub-Bullets"/>
      <w:lvlText w:val=""/>
      <w:lvlJc w:val="left"/>
      <w:pPr>
        <w:tabs>
          <w:tab w:val="num" w:pos="1701"/>
        </w:tabs>
        <w:ind w:left="1701" w:hanging="567"/>
      </w:pPr>
      <w:rPr>
        <w:rFonts w:ascii="Monotype Sorts" w:hAnsi="Monotype Sorts" w:hint="default"/>
        <w:sz w:val="16"/>
      </w:rPr>
    </w:lvl>
    <w:lvl w:ilvl="2">
      <w:start w:val="1"/>
      <w:numFmt w:val="bullet"/>
      <w:lvlRestart w:val="0"/>
      <w:pStyle w:val="ECASub-Sub-Bullets"/>
      <w:lvlText w:val=""/>
      <w:lvlJc w:val="left"/>
      <w:pPr>
        <w:tabs>
          <w:tab w:val="num" w:pos="2268"/>
        </w:tabs>
        <w:ind w:left="2268" w:hanging="567"/>
      </w:pPr>
      <w:rPr>
        <w:rFonts w:ascii="Wingdings" w:hAnsi="Wingdings" w:hint="default"/>
        <w:sz w:val="16"/>
      </w:rPr>
    </w:lvl>
    <w:lvl w:ilvl="3">
      <w:start w:val="1"/>
      <w:numFmt w:val="none"/>
      <w:lvlText w:val=""/>
      <w:lvlJc w:val="left"/>
      <w:pPr>
        <w:tabs>
          <w:tab w:val="num" w:pos="0"/>
        </w:tabs>
        <w:ind w:left="2214" w:hanging="360"/>
      </w:pPr>
      <w:rPr>
        <w:rFonts w:ascii="Symbol" w:hAnsi="Symbol" w:hint="default"/>
      </w:rPr>
    </w:lvl>
    <w:lvl w:ilvl="4">
      <w:start w:val="1"/>
      <w:numFmt w:val="none"/>
      <w:lvlText w:val="o"/>
      <w:lvlJc w:val="left"/>
      <w:pPr>
        <w:tabs>
          <w:tab w:val="num" w:pos="0"/>
        </w:tabs>
        <w:ind w:left="2574" w:hanging="360"/>
      </w:pPr>
      <w:rPr>
        <w:rFonts w:ascii="Courier New" w:hAnsi="Courier New" w:hint="default"/>
      </w:rPr>
    </w:lvl>
    <w:lvl w:ilvl="5">
      <w:start w:val="1"/>
      <w:numFmt w:val="none"/>
      <w:lvlText w:val=""/>
      <w:lvlJc w:val="left"/>
      <w:pPr>
        <w:tabs>
          <w:tab w:val="num" w:pos="0"/>
        </w:tabs>
        <w:ind w:left="2934" w:hanging="360"/>
      </w:pPr>
      <w:rPr>
        <w:rFonts w:ascii="Wingdings" w:hAnsi="Wingdings" w:hint="default"/>
      </w:rPr>
    </w:lvl>
    <w:lvl w:ilvl="6">
      <w:start w:val="1"/>
      <w:numFmt w:val="none"/>
      <w:lvlText w:val=""/>
      <w:lvlJc w:val="left"/>
      <w:pPr>
        <w:tabs>
          <w:tab w:val="num" w:pos="0"/>
        </w:tabs>
        <w:ind w:left="3294" w:hanging="360"/>
      </w:pPr>
      <w:rPr>
        <w:rFonts w:ascii="Symbol" w:hAnsi="Symbol" w:hint="default"/>
      </w:rPr>
    </w:lvl>
    <w:lvl w:ilvl="7">
      <w:start w:val="1"/>
      <w:numFmt w:val="none"/>
      <w:lvlText w:val="o"/>
      <w:lvlJc w:val="left"/>
      <w:pPr>
        <w:tabs>
          <w:tab w:val="num" w:pos="0"/>
        </w:tabs>
        <w:ind w:left="3654" w:hanging="360"/>
      </w:pPr>
      <w:rPr>
        <w:rFonts w:ascii="Courier New" w:hAnsi="Courier New" w:hint="default"/>
      </w:rPr>
    </w:lvl>
    <w:lvl w:ilvl="8">
      <w:start w:val="1"/>
      <w:numFmt w:val="none"/>
      <w:lvlText w:val=""/>
      <w:lvlJc w:val="left"/>
      <w:pPr>
        <w:tabs>
          <w:tab w:val="num" w:pos="0"/>
        </w:tabs>
        <w:ind w:left="4014"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5"/>
  </w:num>
  <w:num w:numId="6">
    <w:abstractNumId w:val="1"/>
  </w:num>
  <w:num w:numId="7">
    <w:abstractNumId w:val="7"/>
  </w:num>
  <w:num w:numId="8">
    <w:abstractNumId w:val="5"/>
  </w:num>
  <w:num w:numId="9">
    <w:abstractNumId w:val="5"/>
  </w:num>
  <w:num w:numId="10">
    <w:abstractNumId w:val="4"/>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E7C"/>
    <w:rsid w:val="00000D03"/>
    <w:rsid w:val="00002E02"/>
    <w:rsid w:val="00003360"/>
    <w:rsid w:val="00004146"/>
    <w:rsid w:val="00010EBE"/>
    <w:rsid w:val="000112E0"/>
    <w:rsid w:val="00013177"/>
    <w:rsid w:val="00013D67"/>
    <w:rsid w:val="000140CC"/>
    <w:rsid w:val="00015291"/>
    <w:rsid w:val="00015B64"/>
    <w:rsid w:val="0001642F"/>
    <w:rsid w:val="00017281"/>
    <w:rsid w:val="000203A2"/>
    <w:rsid w:val="00021F58"/>
    <w:rsid w:val="00022135"/>
    <w:rsid w:val="00023A94"/>
    <w:rsid w:val="000246C0"/>
    <w:rsid w:val="00024AB1"/>
    <w:rsid w:val="000257E1"/>
    <w:rsid w:val="00027499"/>
    <w:rsid w:val="00034006"/>
    <w:rsid w:val="000358FB"/>
    <w:rsid w:val="00035B53"/>
    <w:rsid w:val="00036ADC"/>
    <w:rsid w:val="00037530"/>
    <w:rsid w:val="000375A8"/>
    <w:rsid w:val="0004430F"/>
    <w:rsid w:val="00044AD0"/>
    <w:rsid w:val="00044AE0"/>
    <w:rsid w:val="00046933"/>
    <w:rsid w:val="00047043"/>
    <w:rsid w:val="00047945"/>
    <w:rsid w:val="000506C9"/>
    <w:rsid w:val="00050AEA"/>
    <w:rsid w:val="00050BC5"/>
    <w:rsid w:val="000523C4"/>
    <w:rsid w:val="0005297F"/>
    <w:rsid w:val="00052D27"/>
    <w:rsid w:val="00053088"/>
    <w:rsid w:val="00063B4B"/>
    <w:rsid w:val="00064A42"/>
    <w:rsid w:val="00064C84"/>
    <w:rsid w:val="00067A59"/>
    <w:rsid w:val="000707AD"/>
    <w:rsid w:val="00073CB1"/>
    <w:rsid w:val="00074399"/>
    <w:rsid w:val="00074F1A"/>
    <w:rsid w:val="000763D4"/>
    <w:rsid w:val="00076414"/>
    <w:rsid w:val="00077791"/>
    <w:rsid w:val="00080799"/>
    <w:rsid w:val="00081B22"/>
    <w:rsid w:val="0008358F"/>
    <w:rsid w:val="000836FA"/>
    <w:rsid w:val="00084049"/>
    <w:rsid w:val="000913D4"/>
    <w:rsid w:val="00093833"/>
    <w:rsid w:val="000A0B74"/>
    <w:rsid w:val="000A3C2F"/>
    <w:rsid w:val="000A4CC6"/>
    <w:rsid w:val="000B030F"/>
    <w:rsid w:val="000B15C4"/>
    <w:rsid w:val="000B17F5"/>
    <w:rsid w:val="000B272D"/>
    <w:rsid w:val="000B40A7"/>
    <w:rsid w:val="000B4183"/>
    <w:rsid w:val="000C0059"/>
    <w:rsid w:val="000C0FD5"/>
    <w:rsid w:val="000C148B"/>
    <w:rsid w:val="000C1887"/>
    <w:rsid w:val="000C3B03"/>
    <w:rsid w:val="000C4FED"/>
    <w:rsid w:val="000C57BC"/>
    <w:rsid w:val="000C7470"/>
    <w:rsid w:val="000D1552"/>
    <w:rsid w:val="000D306F"/>
    <w:rsid w:val="000D4573"/>
    <w:rsid w:val="000D5EC3"/>
    <w:rsid w:val="000D738E"/>
    <w:rsid w:val="000E38F8"/>
    <w:rsid w:val="000E4A53"/>
    <w:rsid w:val="000E6089"/>
    <w:rsid w:val="000F0B46"/>
    <w:rsid w:val="000F1387"/>
    <w:rsid w:val="000F28A1"/>
    <w:rsid w:val="000F3080"/>
    <w:rsid w:val="000F362E"/>
    <w:rsid w:val="000F41A3"/>
    <w:rsid w:val="000F4CA6"/>
    <w:rsid w:val="000F6795"/>
    <w:rsid w:val="000F7F88"/>
    <w:rsid w:val="00100856"/>
    <w:rsid w:val="00100F10"/>
    <w:rsid w:val="001017A9"/>
    <w:rsid w:val="00102CCA"/>
    <w:rsid w:val="0010305F"/>
    <w:rsid w:val="001038A7"/>
    <w:rsid w:val="001049A5"/>
    <w:rsid w:val="00106A58"/>
    <w:rsid w:val="00106C5F"/>
    <w:rsid w:val="001078C9"/>
    <w:rsid w:val="00107F39"/>
    <w:rsid w:val="001105EC"/>
    <w:rsid w:val="0011144C"/>
    <w:rsid w:val="00113508"/>
    <w:rsid w:val="00114621"/>
    <w:rsid w:val="00115C6B"/>
    <w:rsid w:val="00116EF1"/>
    <w:rsid w:val="0012332C"/>
    <w:rsid w:val="001255C1"/>
    <w:rsid w:val="00125623"/>
    <w:rsid w:val="00130B30"/>
    <w:rsid w:val="00130D95"/>
    <w:rsid w:val="001327D5"/>
    <w:rsid w:val="0013452C"/>
    <w:rsid w:val="00134AD8"/>
    <w:rsid w:val="00134E85"/>
    <w:rsid w:val="00137CF1"/>
    <w:rsid w:val="00141C04"/>
    <w:rsid w:val="00146C43"/>
    <w:rsid w:val="001518DC"/>
    <w:rsid w:val="00152C99"/>
    <w:rsid w:val="00152EC7"/>
    <w:rsid w:val="0015342F"/>
    <w:rsid w:val="00153A52"/>
    <w:rsid w:val="00154457"/>
    <w:rsid w:val="00156057"/>
    <w:rsid w:val="00157080"/>
    <w:rsid w:val="001607EF"/>
    <w:rsid w:val="0016131C"/>
    <w:rsid w:val="001631FC"/>
    <w:rsid w:val="00164DB4"/>
    <w:rsid w:val="0017026A"/>
    <w:rsid w:val="001708BD"/>
    <w:rsid w:val="001744FA"/>
    <w:rsid w:val="001748B2"/>
    <w:rsid w:val="001777D6"/>
    <w:rsid w:val="001779E8"/>
    <w:rsid w:val="001811FE"/>
    <w:rsid w:val="0018343C"/>
    <w:rsid w:val="00183EB8"/>
    <w:rsid w:val="00186EBE"/>
    <w:rsid w:val="001870C9"/>
    <w:rsid w:val="00187BC5"/>
    <w:rsid w:val="001907A9"/>
    <w:rsid w:val="00190F58"/>
    <w:rsid w:val="00191857"/>
    <w:rsid w:val="0019431E"/>
    <w:rsid w:val="00194461"/>
    <w:rsid w:val="00194ADE"/>
    <w:rsid w:val="00196F8A"/>
    <w:rsid w:val="00196FEF"/>
    <w:rsid w:val="00197F48"/>
    <w:rsid w:val="001A0DE7"/>
    <w:rsid w:val="001A1563"/>
    <w:rsid w:val="001A1FB1"/>
    <w:rsid w:val="001A3E46"/>
    <w:rsid w:val="001A5164"/>
    <w:rsid w:val="001A6E41"/>
    <w:rsid w:val="001A7873"/>
    <w:rsid w:val="001B1572"/>
    <w:rsid w:val="001B2E67"/>
    <w:rsid w:val="001B4359"/>
    <w:rsid w:val="001B44D1"/>
    <w:rsid w:val="001B5C9A"/>
    <w:rsid w:val="001B6DA2"/>
    <w:rsid w:val="001C4BAE"/>
    <w:rsid w:val="001C50A9"/>
    <w:rsid w:val="001C5186"/>
    <w:rsid w:val="001D1DA6"/>
    <w:rsid w:val="001D3758"/>
    <w:rsid w:val="001D4E3D"/>
    <w:rsid w:val="001D5B9E"/>
    <w:rsid w:val="001D5F81"/>
    <w:rsid w:val="001D684E"/>
    <w:rsid w:val="001D6AE0"/>
    <w:rsid w:val="001D7278"/>
    <w:rsid w:val="001D753C"/>
    <w:rsid w:val="001D7627"/>
    <w:rsid w:val="001E1527"/>
    <w:rsid w:val="001E1C0F"/>
    <w:rsid w:val="001E250F"/>
    <w:rsid w:val="001E5A60"/>
    <w:rsid w:val="001E67B2"/>
    <w:rsid w:val="001E7941"/>
    <w:rsid w:val="001F0A81"/>
    <w:rsid w:val="001F1CAA"/>
    <w:rsid w:val="001F2771"/>
    <w:rsid w:val="001F2A2E"/>
    <w:rsid w:val="002007B1"/>
    <w:rsid w:val="00200E80"/>
    <w:rsid w:val="002029C3"/>
    <w:rsid w:val="00202FA9"/>
    <w:rsid w:val="00203019"/>
    <w:rsid w:val="002032FD"/>
    <w:rsid w:val="0020412F"/>
    <w:rsid w:val="002057B7"/>
    <w:rsid w:val="00205C39"/>
    <w:rsid w:val="00206989"/>
    <w:rsid w:val="00210F1F"/>
    <w:rsid w:val="002124C3"/>
    <w:rsid w:val="00212515"/>
    <w:rsid w:val="00212741"/>
    <w:rsid w:val="00214103"/>
    <w:rsid w:val="0021566C"/>
    <w:rsid w:val="00215FC3"/>
    <w:rsid w:val="00216D4F"/>
    <w:rsid w:val="00217178"/>
    <w:rsid w:val="00224851"/>
    <w:rsid w:val="002321AF"/>
    <w:rsid w:val="002337DD"/>
    <w:rsid w:val="00233CA9"/>
    <w:rsid w:val="00237A3D"/>
    <w:rsid w:val="00240237"/>
    <w:rsid w:val="00241550"/>
    <w:rsid w:val="00242C1F"/>
    <w:rsid w:val="00244A3A"/>
    <w:rsid w:val="002463DF"/>
    <w:rsid w:val="0024683A"/>
    <w:rsid w:val="0025152A"/>
    <w:rsid w:val="00251AB6"/>
    <w:rsid w:val="002526FB"/>
    <w:rsid w:val="00253812"/>
    <w:rsid w:val="002548D0"/>
    <w:rsid w:val="00254F01"/>
    <w:rsid w:val="00257AF9"/>
    <w:rsid w:val="00262B22"/>
    <w:rsid w:val="00263A1F"/>
    <w:rsid w:val="00265046"/>
    <w:rsid w:val="002660A7"/>
    <w:rsid w:val="00266827"/>
    <w:rsid w:val="00266C72"/>
    <w:rsid w:val="00267344"/>
    <w:rsid w:val="002717D1"/>
    <w:rsid w:val="002738F8"/>
    <w:rsid w:val="002747E3"/>
    <w:rsid w:val="0027776B"/>
    <w:rsid w:val="00281150"/>
    <w:rsid w:val="00281D64"/>
    <w:rsid w:val="00282085"/>
    <w:rsid w:val="00282A3C"/>
    <w:rsid w:val="00284F53"/>
    <w:rsid w:val="00286EEA"/>
    <w:rsid w:val="00291B7C"/>
    <w:rsid w:val="002926B5"/>
    <w:rsid w:val="00292A49"/>
    <w:rsid w:val="0029321D"/>
    <w:rsid w:val="0029459B"/>
    <w:rsid w:val="002955BB"/>
    <w:rsid w:val="00295E26"/>
    <w:rsid w:val="00297AF5"/>
    <w:rsid w:val="002A1CCC"/>
    <w:rsid w:val="002A248F"/>
    <w:rsid w:val="002A3EAF"/>
    <w:rsid w:val="002A45C9"/>
    <w:rsid w:val="002A6C5C"/>
    <w:rsid w:val="002A7189"/>
    <w:rsid w:val="002B4285"/>
    <w:rsid w:val="002B722F"/>
    <w:rsid w:val="002C1892"/>
    <w:rsid w:val="002C1CCF"/>
    <w:rsid w:val="002C244A"/>
    <w:rsid w:val="002C631D"/>
    <w:rsid w:val="002D0E9E"/>
    <w:rsid w:val="002D1AAE"/>
    <w:rsid w:val="002D1B07"/>
    <w:rsid w:val="002D1F9F"/>
    <w:rsid w:val="002D2C09"/>
    <w:rsid w:val="002E0EDE"/>
    <w:rsid w:val="002E12AA"/>
    <w:rsid w:val="002E19BA"/>
    <w:rsid w:val="002E21C6"/>
    <w:rsid w:val="002E60E0"/>
    <w:rsid w:val="002E6C21"/>
    <w:rsid w:val="002F0124"/>
    <w:rsid w:val="002F2735"/>
    <w:rsid w:val="002F2B00"/>
    <w:rsid w:val="002F6F57"/>
    <w:rsid w:val="002F7A5B"/>
    <w:rsid w:val="002F7D8D"/>
    <w:rsid w:val="002F7F73"/>
    <w:rsid w:val="0030317B"/>
    <w:rsid w:val="00306622"/>
    <w:rsid w:val="003077FC"/>
    <w:rsid w:val="00307CB5"/>
    <w:rsid w:val="003115B2"/>
    <w:rsid w:val="0031250B"/>
    <w:rsid w:val="0031471A"/>
    <w:rsid w:val="00314A42"/>
    <w:rsid w:val="0031610D"/>
    <w:rsid w:val="00316C4D"/>
    <w:rsid w:val="0032214B"/>
    <w:rsid w:val="00322DE2"/>
    <w:rsid w:val="0032474D"/>
    <w:rsid w:val="00324830"/>
    <w:rsid w:val="00326D7C"/>
    <w:rsid w:val="00326E37"/>
    <w:rsid w:val="00331527"/>
    <w:rsid w:val="00332019"/>
    <w:rsid w:val="003326FC"/>
    <w:rsid w:val="00332D6B"/>
    <w:rsid w:val="00333831"/>
    <w:rsid w:val="0033643D"/>
    <w:rsid w:val="0033684E"/>
    <w:rsid w:val="00337BD4"/>
    <w:rsid w:val="00340DC0"/>
    <w:rsid w:val="003412C5"/>
    <w:rsid w:val="00341D3E"/>
    <w:rsid w:val="003431AE"/>
    <w:rsid w:val="00345C4F"/>
    <w:rsid w:val="0034650A"/>
    <w:rsid w:val="00346FF0"/>
    <w:rsid w:val="00347DCE"/>
    <w:rsid w:val="003500B1"/>
    <w:rsid w:val="00350AC9"/>
    <w:rsid w:val="00352871"/>
    <w:rsid w:val="003542AC"/>
    <w:rsid w:val="00354ADF"/>
    <w:rsid w:val="0035629F"/>
    <w:rsid w:val="00356681"/>
    <w:rsid w:val="00357120"/>
    <w:rsid w:val="00361491"/>
    <w:rsid w:val="00363D9C"/>
    <w:rsid w:val="00364E82"/>
    <w:rsid w:val="003723C8"/>
    <w:rsid w:val="00374607"/>
    <w:rsid w:val="003759FF"/>
    <w:rsid w:val="00377B6D"/>
    <w:rsid w:val="00380024"/>
    <w:rsid w:val="003802EB"/>
    <w:rsid w:val="00384678"/>
    <w:rsid w:val="00384E30"/>
    <w:rsid w:val="0038798E"/>
    <w:rsid w:val="0039110F"/>
    <w:rsid w:val="00392963"/>
    <w:rsid w:val="003939AA"/>
    <w:rsid w:val="00393B03"/>
    <w:rsid w:val="00397110"/>
    <w:rsid w:val="003972F2"/>
    <w:rsid w:val="003A21B1"/>
    <w:rsid w:val="003A38CA"/>
    <w:rsid w:val="003B22D8"/>
    <w:rsid w:val="003B3CDD"/>
    <w:rsid w:val="003B6704"/>
    <w:rsid w:val="003C298D"/>
    <w:rsid w:val="003C29BA"/>
    <w:rsid w:val="003C42A9"/>
    <w:rsid w:val="003C753B"/>
    <w:rsid w:val="003D0E1D"/>
    <w:rsid w:val="003D1343"/>
    <w:rsid w:val="003D2DD8"/>
    <w:rsid w:val="003D366E"/>
    <w:rsid w:val="003D36B9"/>
    <w:rsid w:val="003E11C3"/>
    <w:rsid w:val="003E20E0"/>
    <w:rsid w:val="003E2BA4"/>
    <w:rsid w:val="003E3038"/>
    <w:rsid w:val="003E51AE"/>
    <w:rsid w:val="003F0512"/>
    <w:rsid w:val="003F33FB"/>
    <w:rsid w:val="003F45E1"/>
    <w:rsid w:val="003F647D"/>
    <w:rsid w:val="003F7991"/>
    <w:rsid w:val="0040047D"/>
    <w:rsid w:val="00400DA7"/>
    <w:rsid w:val="004010D9"/>
    <w:rsid w:val="0040388B"/>
    <w:rsid w:val="00407B6B"/>
    <w:rsid w:val="00410638"/>
    <w:rsid w:val="00410864"/>
    <w:rsid w:val="00410B1A"/>
    <w:rsid w:val="00410CCB"/>
    <w:rsid w:val="00411398"/>
    <w:rsid w:val="004115DA"/>
    <w:rsid w:val="0041179A"/>
    <w:rsid w:val="00411AF7"/>
    <w:rsid w:val="004127B4"/>
    <w:rsid w:val="00415EC8"/>
    <w:rsid w:val="00416AE1"/>
    <w:rsid w:val="004176F8"/>
    <w:rsid w:val="004202EE"/>
    <w:rsid w:val="004203F0"/>
    <w:rsid w:val="00421C60"/>
    <w:rsid w:val="00424784"/>
    <w:rsid w:val="00425068"/>
    <w:rsid w:val="00425891"/>
    <w:rsid w:val="00426008"/>
    <w:rsid w:val="004278CC"/>
    <w:rsid w:val="00432B6E"/>
    <w:rsid w:val="004331F8"/>
    <w:rsid w:val="00433DA9"/>
    <w:rsid w:val="004340F5"/>
    <w:rsid w:val="00440573"/>
    <w:rsid w:val="00442F36"/>
    <w:rsid w:val="004436D6"/>
    <w:rsid w:val="004439D6"/>
    <w:rsid w:val="00444AB1"/>
    <w:rsid w:val="004455D4"/>
    <w:rsid w:val="00447C1A"/>
    <w:rsid w:val="004509B6"/>
    <w:rsid w:val="00451AFD"/>
    <w:rsid w:val="00454B67"/>
    <w:rsid w:val="00454C9F"/>
    <w:rsid w:val="00455043"/>
    <w:rsid w:val="004621F9"/>
    <w:rsid w:val="00462445"/>
    <w:rsid w:val="0046264C"/>
    <w:rsid w:val="0046266A"/>
    <w:rsid w:val="00462A7E"/>
    <w:rsid w:val="00462B9F"/>
    <w:rsid w:val="00463749"/>
    <w:rsid w:val="0046478D"/>
    <w:rsid w:val="00465476"/>
    <w:rsid w:val="00466B2E"/>
    <w:rsid w:val="00471F40"/>
    <w:rsid w:val="0047216B"/>
    <w:rsid w:val="004735FF"/>
    <w:rsid w:val="004742FE"/>
    <w:rsid w:val="00474D16"/>
    <w:rsid w:val="004760B2"/>
    <w:rsid w:val="00476663"/>
    <w:rsid w:val="00480FB2"/>
    <w:rsid w:val="00482D23"/>
    <w:rsid w:val="00482FDD"/>
    <w:rsid w:val="004909D2"/>
    <w:rsid w:val="00491F96"/>
    <w:rsid w:val="00492092"/>
    <w:rsid w:val="00492BC4"/>
    <w:rsid w:val="00492E6B"/>
    <w:rsid w:val="00493426"/>
    <w:rsid w:val="00493534"/>
    <w:rsid w:val="00493941"/>
    <w:rsid w:val="004941E2"/>
    <w:rsid w:val="00496CC2"/>
    <w:rsid w:val="004A1B46"/>
    <w:rsid w:val="004A515D"/>
    <w:rsid w:val="004A5F92"/>
    <w:rsid w:val="004A7228"/>
    <w:rsid w:val="004B0100"/>
    <w:rsid w:val="004B131B"/>
    <w:rsid w:val="004B132A"/>
    <w:rsid w:val="004B2ADE"/>
    <w:rsid w:val="004B58DE"/>
    <w:rsid w:val="004C1C48"/>
    <w:rsid w:val="004C2A43"/>
    <w:rsid w:val="004C34AC"/>
    <w:rsid w:val="004C3BFA"/>
    <w:rsid w:val="004C549F"/>
    <w:rsid w:val="004C57B1"/>
    <w:rsid w:val="004C604C"/>
    <w:rsid w:val="004C7511"/>
    <w:rsid w:val="004D0F6B"/>
    <w:rsid w:val="004D1E73"/>
    <w:rsid w:val="004D4C76"/>
    <w:rsid w:val="004D6041"/>
    <w:rsid w:val="004D7184"/>
    <w:rsid w:val="004D77AA"/>
    <w:rsid w:val="004E1549"/>
    <w:rsid w:val="004E402E"/>
    <w:rsid w:val="004F1070"/>
    <w:rsid w:val="004F18EE"/>
    <w:rsid w:val="004F2FB4"/>
    <w:rsid w:val="004F5995"/>
    <w:rsid w:val="0050027B"/>
    <w:rsid w:val="00503B4E"/>
    <w:rsid w:val="00504AC2"/>
    <w:rsid w:val="005138FC"/>
    <w:rsid w:val="005149E5"/>
    <w:rsid w:val="00514C85"/>
    <w:rsid w:val="005155A1"/>
    <w:rsid w:val="005171D2"/>
    <w:rsid w:val="00517B50"/>
    <w:rsid w:val="00520E28"/>
    <w:rsid w:val="00523F68"/>
    <w:rsid w:val="0052542D"/>
    <w:rsid w:val="005254E0"/>
    <w:rsid w:val="00526F26"/>
    <w:rsid w:val="0053172A"/>
    <w:rsid w:val="00535762"/>
    <w:rsid w:val="00537401"/>
    <w:rsid w:val="0054624C"/>
    <w:rsid w:val="00547036"/>
    <w:rsid w:val="0055211A"/>
    <w:rsid w:val="005537DC"/>
    <w:rsid w:val="00555148"/>
    <w:rsid w:val="00555BC4"/>
    <w:rsid w:val="005560E9"/>
    <w:rsid w:val="00557CE4"/>
    <w:rsid w:val="00564A30"/>
    <w:rsid w:val="00564A67"/>
    <w:rsid w:val="00565573"/>
    <w:rsid w:val="00573CBE"/>
    <w:rsid w:val="00574879"/>
    <w:rsid w:val="00574C86"/>
    <w:rsid w:val="005753DE"/>
    <w:rsid w:val="005753ED"/>
    <w:rsid w:val="0057617F"/>
    <w:rsid w:val="00576A0A"/>
    <w:rsid w:val="005778A3"/>
    <w:rsid w:val="0058011C"/>
    <w:rsid w:val="005807FC"/>
    <w:rsid w:val="00581052"/>
    <w:rsid w:val="00581608"/>
    <w:rsid w:val="005820C2"/>
    <w:rsid w:val="00582F26"/>
    <w:rsid w:val="00584331"/>
    <w:rsid w:val="005847FB"/>
    <w:rsid w:val="0058683F"/>
    <w:rsid w:val="00590115"/>
    <w:rsid w:val="0059057F"/>
    <w:rsid w:val="00590CF0"/>
    <w:rsid w:val="00590F32"/>
    <w:rsid w:val="005922B8"/>
    <w:rsid w:val="005922CC"/>
    <w:rsid w:val="00595333"/>
    <w:rsid w:val="00596CCB"/>
    <w:rsid w:val="005973EF"/>
    <w:rsid w:val="00597AE4"/>
    <w:rsid w:val="005A01AC"/>
    <w:rsid w:val="005A238D"/>
    <w:rsid w:val="005A36F4"/>
    <w:rsid w:val="005A3C7C"/>
    <w:rsid w:val="005A443C"/>
    <w:rsid w:val="005A4801"/>
    <w:rsid w:val="005A50E0"/>
    <w:rsid w:val="005A55D2"/>
    <w:rsid w:val="005A6DF7"/>
    <w:rsid w:val="005A6EE4"/>
    <w:rsid w:val="005B1F32"/>
    <w:rsid w:val="005B2D33"/>
    <w:rsid w:val="005B62DF"/>
    <w:rsid w:val="005B6373"/>
    <w:rsid w:val="005B6EAD"/>
    <w:rsid w:val="005B6EE8"/>
    <w:rsid w:val="005C26E6"/>
    <w:rsid w:val="005C2A93"/>
    <w:rsid w:val="005C2D85"/>
    <w:rsid w:val="005C2E5C"/>
    <w:rsid w:val="005C2E9D"/>
    <w:rsid w:val="005D2679"/>
    <w:rsid w:val="005D3773"/>
    <w:rsid w:val="005D42B8"/>
    <w:rsid w:val="005D4CA3"/>
    <w:rsid w:val="005D6BD6"/>
    <w:rsid w:val="005D6EC8"/>
    <w:rsid w:val="005D6FDE"/>
    <w:rsid w:val="005D7202"/>
    <w:rsid w:val="005D73D0"/>
    <w:rsid w:val="005E0092"/>
    <w:rsid w:val="005E0F44"/>
    <w:rsid w:val="005E1DEF"/>
    <w:rsid w:val="005E4846"/>
    <w:rsid w:val="005E6AF0"/>
    <w:rsid w:val="005E6DA9"/>
    <w:rsid w:val="005E7324"/>
    <w:rsid w:val="005F07A9"/>
    <w:rsid w:val="005F2D80"/>
    <w:rsid w:val="005F3F4F"/>
    <w:rsid w:val="00600BEB"/>
    <w:rsid w:val="00600D6A"/>
    <w:rsid w:val="00602986"/>
    <w:rsid w:val="00602FD1"/>
    <w:rsid w:val="006037CF"/>
    <w:rsid w:val="00603E06"/>
    <w:rsid w:val="006058D3"/>
    <w:rsid w:val="00605B89"/>
    <w:rsid w:val="006105CC"/>
    <w:rsid w:val="006107E3"/>
    <w:rsid w:val="00611FF0"/>
    <w:rsid w:val="0061457C"/>
    <w:rsid w:val="0061557C"/>
    <w:rsid w:val="006157AD"/>
    <w:rsid w:val="00615FF7"/>
    <w:rsid w:val="006174DE"/>
    <w:rsid w:val="006203A0"/>
    <w:rsid w:val="0062199B"/>
    <w:rsid w:val="00622C5F"/>
    <w:rsid w:val="00623EDC"/>
    <w:rsid w:val="00624DA2"/>
    <w:rsid w:val="00624FF3"/>
    <w:rsid w:val="006309F9"/>
    <w:rsid w:val="006338EA"/>
    <w:rsid w:val="00636954"/>
    <w:rsid w:val="00636F5B"/>
    <w:rsid w:val="006375D2"/>
    <w:rsid w:val="006417F5"/>
    <w:rsid w:val="00642B6C"/>
    <w:rsid w:val="0064415F"/>
    <w:rsid w:val="00647A9B"/>
    <w:rsid w:val="00651F29"/>
    <w:rsid w:val="006522AD"/>
    <w:rsid w:val="006545A9"/>
    <w:rsid w:val="006546A0"/>
    <w:rsid w:val="006548E2"/>
    <w:rsid w:val="00654DEB"/>
    <w:rsid w:val="00655858"/>
    <w:rsid w:val="00655E98"/>
    <w:rsid w:val="00657CD4"/>
    <w:rsid w:val="00666686"/>
    <w:rsid w:val="00670C37"/>
    <w:rsid w:val="00671485"/>
    <w:rsid w:val="00672085"/>
    <w:rsid w:val="00676655"/>
    <w:rsid w:val="0067775A"/>
    <w:rsid w:val="00677B0B"/>
    <w:rsid w:val="00677DE5"/>
    <w:rsid w:val="00681679"/>
    <w:rsid w:val="00683B09"/>
    <w:rsid w:val="00685300"/>
    <w:rsid w:val="00685C7F"/>
    <w:rsid w:val="00687587"/>
    <w:rsid w:val="00690770"/>
    <w:rsid w:val="00690B22"/>
    <w:rsid w:val="00692AF2"/>
    <w:rsid w:val="00693F83"/>
    <w:rsid w:val="00694C73"/>
    <w:rsid w:val="00694FCE"/>
    <w:rsid w:val="00696D0D"/>
    <w:rsid w:val="00696EE6"/>
    <w:rsid w:val="00697589"/>
    <w:rsid w:val="006A1200"/>
    <w:rsid w:val="006A55A5"/>
    <w:rsid w:val="006A62B6"/>
    <w:rsid w:val="006A6A4D"/>
    <w:rsid w:val="006A6B3F"/>
    <w:rsid w:val="006B2022"/>
    <w:rsid w:val="006B2551"/>
    <w:rsid w:val="006B2D37"/>
    <w:rsid w:val="006B5A16"/>
    <w:rsid w:val="006B5C62"/>
    <w:rsid w:val="006C0F06"/>
    <w:rsid w:val="006C20A8"/>
    <w:rsid w:val="006C2EE5"/>
    <w:rsid w:val="006C4358"/>
    <w:rsid w:val="006C43D7"/>
    <w:rsid w:val="006C4D37"/>
    <w:rsid w:val="006C5023"/>
    <w:rsid w:val="006C5D18"/>
    <w:rsid w:val="006C76D5"/>
    <w:rsid w:val="006D1033"/>
    <w:rsid w:val="006D256F"/>
    <w:rsid w:val="006D3446"/>
    <w:rsid w:val="006D4544"/>
    <w:rsid w:val="006D54FB"/>
    <w:rsid w:val="006D5C44"/>
    <w:rsid w:val="006D66AA"/>
    <w:rsid w:val="006D6918"/>
    <w:rsid w:val="006D7220"/>
    <w:rsid w:val="006D7B55"/>
    <w:rsid w:val="006E14DA"/>
    <w:rsid w:val="006E33C9"/>
    <w:rsid w:val="006E393A"/>
    <w:rsid w:val="006E3B8D"/>
    <w:rsid w:val="006E592C"/>
    <w:rsid w:val="006E5A7C"/>
    <w:rsid w:val="006F2044"/>
    <w:rsid w:val="006F223D"/>
    <w:rsid w:val="006F4157"/>
    <w:rsid w:val="00702537"/>
    <w:rsid w:val="00702BF5"/>
    <w:rsid w:val="00702E2C"/>
    <w:rsid w:val="00703020"/>
    <w:rsid w:val="007038AC"/>
    <w:rsid w:val="00704F71"/>
    <w:rsid w:val="007051DC"/>
    <w:rsid w:val="00707A9B"/>
    <w:rsid w:val="00707AB7"/>
    <w:rsid w:val="00707D56"/>
    <w:rsid w:val="0071024A"/>
    <w:rsid w:val="007105EF"/>
    <w:rsid w:val="007106D3"/>
    <w:rsid w:val="00715BA5"/>
    <w:rsid w:val="007167E9"/>
    <w:rsid w:val="007175D7"/>
    <w:rsid w:val="007202D9"/>
    <w:rsid w:val="00722FF0"/>
    <w:rsid w:val="00724B6D"/>
    <w:rsid w:val="00730663"/>
    <w:rsid w:val="0073102E"/>
    <w:rsid w:val="00731BC6"/>
    <w:rsid w:val="00731D82"/>
    <w:rsid w:val="007332A2"/>
    <w:rsid w:val="0073344D"/>
    <w:rsid w:val="007402EF"/>
    <w:rsid w:val="00740A1E"/>
    <w:rsid w:val="00740DD2"/>
    <w:rsid w:val="00740ED5"/>
    <w:rsid w:val="00741804"/>
    <w:rsid w:val="00741B1A"/>
    <w:rsid w:val="00743626"/>
    <w:rsid w:val="007438B1"/>
    <w:rsid w:val="00746075"/>
    <w:rsid w:val="0074650D"/>
    <w:rsid w:val="00746E68"/>
    <w:rsid w:val="0075245D"/>
    <w:rsid w:val="00752472"/>
    <w:rsid w:val="007528C2"/>
    <w:rsid w:val="00752B5E"/>
    <w:rsid w:val="00753AFC"/>
    <w:rsid w:val="00755306"/>
    <w:rsid w:val="007614BD"/>
    <w:rsid w:val="00761EEE"/>
    <w:rsid w:val="00764D14"/>
    <w:rsid w:val="0076626E"/>
    <w:rsid w:val="00766616"/>
    <w:rsid w:val="007721A1"/>
    <w:rsid w:val="0077238E"/>
    <w:rsid w:val="0077392D"/>
    <w:rsid w:val="00775713"/>
    <w:rsid w:val="00777930"/>
    <w:rsid w:val="00781F30"/>
    <w:rsid w:val="0078460A"/>
    <w:rsid w:val="007847EB"/>
    <w:rsid w:val="00786108"/>
    <w:rsid w:val="0078671A"/>
    <w:rsid w:val="00786A0D"/>
    <w:rsid w:val="00791A21"/>
    <w:rsid w:val="007922E7"/>
    <w:rsid w:val="00793CC6"/>
    <w:rsid w:val="00793D62"/>
    <w:rsid w:val="00794CC5"/>
    <w:rsid w:val="007979C7"/>
    <w:rsid w:val="007A2D26"/>
    <w:rsid w:val="007A4285"/>
    <w:rsid w:val="007A530F"/>
    <w:rsid w:val="007A6083"/>
    <w:rsid w:val="007A664D"/>
    <w:rsid w:val="007A6C5B"/>
    <w:rsid w:val="007A73FA"/>
    <w:rsid w:val="007B33A3"/>
    <w:rsid w:val="007B3903"/>
    <w:rsid w:val="007B4FB5"/>
    <w:rsid w:val="007B6AEE"/>
    <w:rsid w:val="007C032D"/>
    <w:rsid w:val="007C0630"/>
    <w:rsid w:val="007C07A3"/>
    <w:rsid w:val="007C1BC0"/>
    <w:rsid w:val="007C1E99"/>
    <w:rsid w:val="007C51D5"/>
    <w:rsid w:val="007C54A6"/>
    <w:rsid w:val="007C7B18"/>
    <w:rsid w:val="007D1563"/>
    <w:rsid w:val="007D4565"/>
    <w:rsid w:val="007D68AD"/>
    <w:rsid w:val="007D7CC0"/>
    <w:rsid w:val="007E015F"/>
    <w:rsid w:val="007E11E7"/>
    <w:rsid w:val="007E187E"/>
    <w:rsid w:val="007E29DE"/>
    <w:rsid w:val="007E2D87"/>
    <w:rsid w:val="007E3754"/>
    <w:rsid w:val="007E403B"/>
    <w:rsid w:val="007E4586"/>
    <w:rsid w:val="007E6324"/>
    <w:rsid w:val="007E6D6D"/>
    <w:rsid w:val="007F0401"/>
    <w:rsid w:val="007F0E4D"/>
    <w:rsid w:val="007F19F1"/>
    <w:rsid w:val="007F26C8"/>
    <w:rsid w:val="007F3C89"/>
    <w:rsid w:val="007F5619"/>
    <w:rsid w:val="007F5FCC"/>
    <w:rsid w:val="00800774"/>
    <w:rsid w:val="0080137D"/>
    <w:rsid w:val="00801C5A"/>
    <w:rsid w:val="0080326B"/>
    <w:rsid w:val="00804F27"/>
    <w:rsid w:val="0080621E"/>
    <w:rsid w:val="008064EB"/>
    <w:rsid w:val="00807244"/>
    <w:rsid w:val="00807BAF"/>
    <w:rsid w:val="008108CA"/>
    <w:rsid w:val="0081247E"/>
    <w:rsid w:val="0081327C"/>
    <w:rsid w:val="008142BA"/>
    <w:rsid w:val="0081456B"/>
    <w:rsid w:val="00815F82"/>
    <w:rsid w:val="00816557"/>
    <w:rsid w:val="00816D6A"/>
    <w:rsid w:val="008170BD"/>
    <w:rsid w:val="00817431"/>
    <w:rsid w:val="00822737"/>
    <w:rsid w:val="00825DC0"/>
    <w:rsid w:val="008261D8"/>
    <w:rsid w:val="00830CE3"/>
    <w:rsid w:val="0083131E"/>
    <w:rsid w:val="00831C05"/>
    <w:rsid w:val="00832934"/>
    <w:rsid w:val="00833507"/>
    <w:rsid w:val="00833BFA"/>
    <w:rsid w:val="00834707"/>
    <w:rsid w:val="00835967"/>
    <w:rsid w:val="00836B2E"/>
    <w:rsid w:val="00836DB4"/>
    <w:rsid w:val="00840FB2"/>
    <w:rsid w:val="00842DCA"/>
    <w:rsid w:val="0084316A"/>
    <w:rsid w:val="008435A7"/>
    <w:rsid w:val="00845D92"/>
    <w:rsid w:val="0085189C"/>
    <w:rsid w:val="00851C2E"/>
    <w:rsid w:val="00852F95"/>
    <w:rsid w:val="00853E21"/>
    <w:rsid w:val="00854802"/>
    <w:rsid w:val="00855299"/>
    <w:rsid w:val="008576F4"/>
    <w:rsid w:val="008578B1"/>
    <w:rsid w:val="0086020F"/>
    <w:rsid w:val="00860862"/>
    <w:rsid w:val="00860CBB"/>
    <w:rsid w:val="00861946"/>
    <w:rsid w:val="00861955"/>
    <w:rsid w:val="00862C26"/>
    <w:rsid w:val="00865361"/>
    <w:rsid w:val="008714A5"/>
    <w:rsid w:val="00872B3C"/>
    <w:rsid w:val="008740C9"/>
    <w:rsid w:val="00875339"/>
    <w:rsid w:val="00875D10"/>
    <w:rsid w:val="00880380"/>
    <w:rsid w:val="00880C29"/>
    <w:rsid w:val="00882ADB"/>
    <w:rsid w:val="008843DE"/>
    <w:rsid w:val="0088535E"/>
    <w:rsid w:val="0088676F"/>
    <w:rsid w:val="00887B8F"/>
    <w:rsid w:val="00892C9D"/>
    <w:rsid w:val="00892D40"/>
    <w:rsid w:val="0089499E"/>
    <w:rsid w:val="00894AB4"/>
    <w:rsid w:val="00896331"/>
    <w:rsid w:val="00896A66"/>
    <w:rsid w:val="008A06F7"/>
    <w:rsid w:val="008A1BAF"/>
    <w:rsid w:val="008A1F0D"/>
    <w:rsid w:val="008A3F65"/>
    <w:rsid w:val="008A41E7"/>
    <w:rsid w:val="008A5987"/>
    <w:rsid w:val="008A5A16"/>
    <w:rsid w:val="008A6078"/>
    <w:rsid w:val="008A7028"/>
    <w:rsid w:val="008B0BD7"/>
    <w:rsid w:val="008B1CAA"/>
    <w:rsid w:val="008B1CFD"/>
    <w:rsid w:val="008B2325"/>
    <w:rsid w:val="008B26F2"/>
    <w:rsid w:val="008B32E3"/>
    <w:rsid w:val="008B45BB"/>
    <w:rsid w:val="008C0716"/>
    <w:rsid w:val="008C1474"/>
    <w:rsid w:val="008C367E"/>
    <w:rsid w:val="008C7D87"/>
    <w:rsid w:val="008D0BE2"/>
    <w:rsid w:val="008D1500"/>
    <w:rsid w:val="008D4604"/>
    <w:rsid w:val="008D7250"/>
    <w:rsid w:val="008E4AEF"/>
    <w:rsid w:val="008E4CE2"/>
    <w:rsid w:val="008E5CBF"/>
    <w:rsid w:val="008E627B"/>
    <w:rsid w:val="008E62F4"/>
    <w:rsid w:val="008E6C9A"/>
    <w:rsid w:val="008F165E"/>
    <w:rsid w:val="008F69E0"/>
    <w:rsid w:val="008F743D"/>
    <w:rsid w:val="008F76A6"/>
    <w:rsid w:val="009015C0"/>
    <w:rsid w:val="009017DE"/>
    <w:rsid w:val="00903AAA"/>
    <w:rsid w:val="009047B1"/>
    <w:rsid w:val="00906DAE"/>
    <w:rsid w:val="00910106"/>
    <w:rsid w:val="009108B8"/>
    <w:rsid w:val="00911208"/>
    <w:rsid w:val="00913AFF"/>
    <w:rsid w:val="00915D62"/>
    <w:rsid w:val="00915F1E"/>
    <w:rsid w:val="00917035"/>
    <w:rsid w:val="0092616E"/>
    <w:rsid w:val="00926F53"/>
    <w:rsid w:val="0093028B"/>
    <w:rsid w:val="009314D0"/>
    <w:rsid w:val="00932584"/>
    <w:rsid w:val="00932622"/>
    <w:rsid w:val="009328CA"/>
    <w:rsid w:val="009328F5"/>
    <w:rsid w:val="00932E8F"/>
    <w:rsid w:val="00933594"/>
    <w:rsid w:val="00934648"/>
    <w:rsid w:val="009371BC"/>
    <w:rsid w:val="00937886"/>
    <w:rsid w:val="00940162"/>
    <w:rsid w:val="009406E1"/>
    <w:rsid w:val="00941498"/>
    <w:rsid w:val="009428D2"/>
    <w:rsid w:val="00942EAF"/>
    <w:rsid w:val="00943A9C"/>
    <w:rsid w:val="00944A75"/>
    <w:rsid w:val="00944CF5"/>
    <w:rsid w:val="00945FDD"/>
    <w:rsid w:val="0094624B"/>
    <w:rsid w:val="00946ED8"/>
    <w:rsid w:val="009477E0"/>
    <w:rsid w:val="00950168"/>
    <w:rsid w:val="009510BE"/>
    <w:rsid w:val="00952E5E"/>
    <w:rsid w:val="00953041"/>
    <w:rsid w:val="0095460D"/>
    <w:rsid w:val="0095590A"/>
    <w:rsid w:val="00956434"/>
    <w:rsid w:val="00957DB5"/>
    <w:rsid w:val="00964D12"/>
    <w:rsid w:val="00964E0C"/>
    <w:rsid w:val="009657CE"/>
    <w:rsid w:val="00966CAF"/>
    <w:rsid w:val="00966E35"/>
    <w:rsid w:val="00970323"/>
    <w:rsid w:val="00970D8C"/>
    <w:rsid w:val="009748C2"/>
    <w:rsid w:val="0097577A"/>
    <w:rsid w:val="00976D2F"/>
    <w:rsid w:val="00977671"/>
    <w:rsid w:val="0098005D"/>
    <w:rsid w:val="009803A1"/>
    <w:rsid w:val="00983BE6"/>
    <w:rsid w:val="00983CD8"/>
    <w:rsid w:val="00986A46"/>
    <w:rsid w:val="00990057"/>
    <w:rsid w:val="00992355"/>
    <w:rsid w:val="009928E2"/>
    <w:rsid w:val="00994526"/>
    <w:rsid w:val="00997F33"/>
    <w:rsid w:val="00997F39"/>
    <w:rsid w:val="009A040E"/>
    <w:rsid w:val="009A0F20"/>
    <w:rsid w:val="009A1F63"/>
    <w:rsid w:val="009A3403"/>
    <w:rsid w:val="009A44E1"/>
    <w:rsid w:val="009A564A"/>
    <w:rsid w:val="009A6EB2"/>
    <w:rsid w:val="009A7AED"/>
    <w:rsid w:val="009B16A6"/>
    <w:rsid w:val="009B2236"/>
    <w:rsid w:val="009B3B16"/>
    <w:rsid w:val="009B45A9"/>
    <w:rsid w:val="009B6B38"/>
    <w:rsid w:val="009C0224"/>
    <w:rsid w:val="009C053E"/>
    <w:rsid w:val="009C0961"/>
    <w:rsid w:val="009C2A5E"/>
    <w:rsid w:val="009C3CFD"/>
    <w:rsid w:val="009C48E3"/>
    <w:rsid w:val="009C5683"/>
    <w:rsid w:val="009C576D"/>
    <w:rsid w:val="009C6032"/>
    <w:rsid w:val="009D1EB9"/>
    <w:rsid w:val="009D35C3"/>
    <w:rsid w:val="009D4112"/>
    <w:rsid w:val="009D5C05"/>
    <w:rsid w:val="009D5F41"/>
    <w:rsid w:val="009D6902"/>
    <w:rsid w:val="009D6B11"/>
    <w:rsid w:val="009D7503"/>
    <w:rsid w:val="009D75A2"/>
    <w:rsid w:val="009E0625"/>
    <w:rsid w:val="009E158E"/>
    <w:rsid w:val="009E2B92"/>
    <w:rsid w:val="009E2FCB"/>
    <w:rsid w:val="009F2A23"/>
    <w:rsid w:val="009F2E0B"/>
    <w:rsid w:val="009F3A4F"/>
    <w:rsid w:val="009F58C5"/>
    <w:rsid w:val="009F5EEB"/>
    <w:rsid w:val="009F65EE"/>
    <w:rsid w:val="00A01127"/>
    <w:rsid w:val="00A01502"/>
    <w:rsid w:val="00A018EB"/>
    <w:rsid w:val="00A01B62"/>
    <w:rsid w:val="00A04A12"/>
    <w:rsid w:val="00A05BE6"/>
    <w:rsid w:val="00A06675"/>
    <w:rsid w:val="00A06923"/>
    <w:rsid w:val="00A07FDC"/>
    <w:rsid w:val="00A121DC"/>
    <w:rsid w:val="00A1292A"/>
    <w:rsid w:val="00A12947"/>
    <w:rsid w:val="00A14C4B"/>
    <w:rsid w:val="00A14F65"/>
    <w:rsid w:val="00A15BB4"/>
    <w:rsid w:val="00A16C74"/>
    <w:rsid w:val="00A16EBA"/>
    <w:rsid w:val="00A170DE"/>
    <w:rsid w:val="00A2004E"/>
    <w:rsid w:val="00A2090D"/>
    <w:rsid w:val="00A223B5"/>
    <w:rsid w:val="00A23BB1"/>
    <w:rsid w:val="00A23E04"/>
    <w:rsid w:val="00A2623A"/>
    <w:rsid w:val="00A315C2"/>
    <w:rsid w:val="00A332CE"/>
    <w:rsid w:val="00A3356C"/>
    <w:rsid w:val="00A34DE7"/>
    <w:rsid w:val="00A36B96"/>
    <w:rsid w:val="00A377E2"/>
    <w:rsid w:val="00A41DFF"/>
    <w:rsid w:val="00A446B3"/>
    <w:rsid w:val="00A47CD9"/>
    <w:rsid w:val="00A502A8"/>
    <w:rsid w:val="00A50997"/>
    <w:rsid w:val="00A51061"/>
    <w:rsid w:val="00A51F62"/>
    <w:rsid w:val="00A5475B"/>
    <w:rsid w:val="00A5478E"/>
    <w:rsid w:val="00A5483B"/>
    <w:rsid w:val="00A56055"/>
    <w:rsid w:val="00A600A2"/>
    <w:rsid w:val="00A603E2"/>
    <w:rsid w:val="00A605EE"/>
    <w:rsid w:val="00A606DC"/>
    <w:rsid w:val="00A621B6"/>
    <w:rsid w:val="00A63274"/>
    <w:rsid w:val="00A634E5"/>
    <w:rsid w:val="00A64131"/>
    <w:rsid w:val="00A671FC"/>
    <w:rsid w:val="00A673EF"/>
    <w:rsid w:val="00A67C9C"/>
    <w:rsid w:val="00A7098A"/>
    <w:rsid w:val="00A710D0"/>
    <w:rsid w:val="00A72295"/>
    <w:rsid w:val="00A74755"/>
    <w:rsid w:val="00A74AAE"/>
    <w:rsid w:val="00A75521"/>
    <w:rsid w:val="00A75C53"/>
    <w:rsid w:val="00A764D5"/>
    <w:rsid w:val="00A816CC"/>
    <w:rsid w:val="00A82319"/>
    <w:rsid w:val="00A8591B"/>
    <w:rsid w:val="00A92BED"/>
    <w:rsid w:val="00A92EB3"/>
    <w:rsid w:val="00A9369D"/>
    <w:rsid w:val="00A944CB"/>
    <w:rsid w:val="00AA1594"/>
    <w:rsid w:val="00AA2163"/>
    <w:rsid w:val="00AA2C84"/>
    <w:rsid w:val="00AA3685"/>
    <w:rsid w:val="00AA3DEC"/>
    <w:rsid w:val="00AA65D5"/>
    <w:rsid w:val="00AA6B69"/>
    <w:rsid w:val="00AA7070"/>
    <w:rsid w:val="00AB022A"/>
    <w:rsid w:val="00AB06EF"/>
    <w:rsid w:val="00AB0CE2"/>
    <w:rsid w:val="00AB152F"/>
    <w:rsid w:val="00AB421C"/>
    <w:rsid w:val="00AB4A57"/>
    <w:rsid w:val="00AB5965"/>
    <w:rsid w:val="00AB5D7E"/>
    <w:rsid w:val="00AB6241"/>
    <w:rsid w:val="00AB7D4C"/>
    <w:rsid w:val="00AB7F4E"/>
    <w:rsid w:val="00AC034B"/>
    <w:rsid w:val="00AC08F7"/>
    <w:rsid w:val="00AC20DF"/>
    <w:rsid w:val="00AC3A01"/>
    <w:rsid w:val="00AC45D3"/>
    <w:rsid w:val="00AC4C78"/>
    <w:rsid w:val="00AC6CA7"/>
    <w:rsid w:val="00AD0B15"/>
    <w:rsid w:val="00AD17C3"/>
    <w:rsid w:val="00AD1FCF"/>
    <w:rsid w:val="00AD7AEA"/>
    <w:rsid w:val="00AE0B36"/>
    <w:rsid w:val="00AE0D03"/>
    <w:rsid w:val="00AE1DAE"/>
    <w:rsid w:val="00AE35F8"/>
    <w:rsid w:val="00AE3BA5"/>
    <w:rsid w:val="00AE4009"/>
    <w:rsid w:val="00AE54D0"/>
    <w:rsid w:val="00AE6DB6"/>
    <w:rsid w:val="00AF0BB7"/>
    <w:rsid w:val="00AF306A"/>
    <w:rsid w:val="00AF4AD7"/>
    <w:rsid w:val="00AF6A2F"/>
    <w:rsid w:val="00AF72CD"/>
    <w:rsid w:val="00B00F0B"/>
    <w:rsid w:val="00B04D17"/>
    <w:rsid w:val="00B05F68"/>
    <w:rsid w:val="00B06276"/>
    <w:rsid w:val="00B067DA"/>
    <w:rsid w:val="00B06EAA"/>
    <w:rsid w:val="00B07EBE"/>
    <w:rsid w:val="00B10109"/>
    <w:rsid w:val="00B11940"/>
    <w:rsid w:val="00B11E63"/>
    <w:rsid w:val="00B11EBC"/>
    <w:rsid w:val="00B16959"/>
    <w:rsid w:val="00B17D80"/>
    <w:rsid w:val="00B20A64"/>
    <w:rsid w:val="00B237F6"/>
    <w:rsid w:val="00B23A4C"/>
    <w:rsid w:val="00B23C9B"/>
    <w:rsid w:val="00B244D2"/>
    <w:rsid w:val="00B2511F"/>
    <w:rsid w:val="00B2537B"/>
    <w:rsid w:val="00B25DB0"/>
    <w:rsid w:val="00B267EE"/>
    <w:rsid w:val="00B30DEB"/>
    <w:rsid w:val="00B31786"/>
    <w:rsid w:val="00B322D5"/>
    <w:rsid w:val="00B34496"/>
    <w:rsid w:val="00B35120"/>
    <w:rsid w:val="00B3538C"/>
    <w:rsid w:val="00B37935"/>
    <w:rsid w:val="00B40A22"/>
    <w:rsid w:val="00B41929"/>
    <w:rsid w:val="00B42668"/>
    <w:rsid w:val="00B42865"/>
    <w:rsid w:val="00B43B07"/>
    <w:rsid w:val="00B4527D"/>
    <w:rsid w:val="00B45428"/>
    <w:rsid w:val="00B45C51"/>
    <w:rsid w:val="00B478B2"/>
    <w:rsid w:val="00B5022B"/>
    <w:rsid w:val="00B505DD"/>
    <w:rsid w:val="00B51587"/>
    <w:rsid w:val="00B521A8"/>
    <w:rsid w:val="00B54A28"/>
    <w:rsid w:val="00B557D2"/>
    <w:rsid w:val="00B60D65"/>
    <w:rsid w:val="00B6130B"/>
    <w:rsid w:val="00B6160C"/>
    <w:rsid w:val="00B620B6"/>
    <w:rsid w:val="00B623FB"/>
    <w:rsid w:val="00B62819"/>
    <w:rsid w:val="00B6303D"/>
    <w:rsid w:val="00B63D15"/>
    <w:rsid w:val="00B65806"/>
    <w:rsid w:val="00B671DC"/>
    <w:rsid w:val="00B70520"/>
    <w:rsid w:val="00B725D6"/>
    <w:rsid w:val="00B727A0"/>
    <w:rsid w:val="00B72C35"/>
    <w:rsid w:val="00B74F31"/>
    <w:rsid w:val="00B759EF"/>
    <w:rsid w:val="00B7623E"/>
    <w:rsid w:val="00B76A6A"/>
    <w:rsid w:val="00B8011F"/>
    <w:rsid w:val="00B80764"/>
    <w:rsid w:val="00B80D28"/>
    <w:rsid w:val="00B826E6"/>
    <w:rsid w:val="00B835A5"/>
    <w:rsid w:val="00B83C2B"/>
    <w:rsid w:val="00B84423"/>
    <w:rsid w:val="00B84DA2"/>
    <w:rsid w:val="00B8548F"/>
    <w:rsid w:val="00B85541"/>
    <w:rsid w:val="00B93EF8"/>
    <w:rsid w:val="00B9482C"/>
    <w:rsid w:val="00B95819"/>
    <w:rsid w:val="00B975B2"/>
    <w:rsid w:val="00BA0090"/>
    <w:rsid w:val="00BA25DF"/>
    <w:rsid w:val="00BA48F4"/>
    <w:rsid w:val="00BA5831"/>
    <w:rsid w:val="00BA639C"/>
    <w:rsid w:val="00BB1960"/>
    <w:rsid w:val="00BB6E07"/>
    <w:rsid w:val="00BB7EDA"/>
    <w:rsid w:val="00BC13E1"/>
    <w:rsid w:val="00BC39FA"/>
    <w:rsid w:val="00BC4E3F"/>
    <w:rsid w:val="00BC7D03"/>
    <w:rsid w:val="00BD04CB"/>
    <w:rsid w:val="00BD100E"/>
    <w:rsid w:val="00BD2B09"/>
    <w:rsid w:val="00BD2EC0"/>
    <w:rsid w:val="00BD366A"/>
    <w:rsid w:val="00BD4064"/>
    <w:rsid w:val="00BD651F"/>
    <w:rsid w:val="00BD6923"/>
    <w:rsid w:val="00BD70F9"/>
    <w:rsid w:val="00BE2A64"/>
    <w:rsid w:val="00BE412F"/>
    <w:rsid w:val="00BE5003"/>
    <w:rsid w:val="00BE55C5"/>
    <w:rsid w:val="00BE6246"/>
    <w:rsid w:val="00BE646A"/>
    <w:rsid w:val="00BE6B39"/>
    <w:rsid w:val="00BF1136"/>
    <w:rsid w:val="00BF1A3A"/>
    <w:rsid w:val="00BF79BA"/>
    <w:rsid w:val="00C01D39"/>
    <w:rsid w:val="00C028E5"/>
    <w:rsid w:val="00C046EC"/>
    <w:rsid w:val="00C06122"/>
    <w:rsid w:val="00C0668F"/>
    <w:rsid w:val="00C15A10"/>
    <w:rsid w:val="00C16159"/>
    <w:rsid w:val="00C16C0F"/>
    <w:rsid w:val="00C20EA2"/>
    <w:rsid w:val="00C22493"/>
    <w:rsid w:val="00C250BC"/>
    <w:rsid w:val="00C26204"/>
    <w:rsid w:val="00C2685C"/>
    <w:rsid w:val="00C2692A"/>
    <w:rsid w:val="00C26F36"/>
    <w:rsid w:val="00C273A1"/>
    <w:rsid w:val="00C27DFC"/>
    <w:rsid w:val="00C305EB"/>
    <w:rsid w:val="00C35260"/>
    <w:rsid w:val="00C37CC2"/>
    <w:rsid w:val="00C37CD6"/>
    <w:rsid w:val="00C41A70"/>
    <w:rsid w:val="00C42A1F"/>
    <w:rsid w:val="00C42CF2"/>
    <w:rsid w:val="00C43028"/>
    <w:rsid w:val="00C46010"/>
    <w:rsid w:val="00C46683"/>
    <w:rsid w:val="00C46736"/>
    <w:rsid w:val="00C47056"/>
    <w:rsid w:val="00C47A33"/>
    <w:rsid w:val="00C508CC"/>
    <w:rsid w:val="00C51671"/>
    <w:rsid w:val="00C525E4"/>
    <w:rsid w:val="00C56542"/>
    <w:rsid w:val="00C57771"/>
    <w:rsid w:val="00C627E9"/>
    <w:rsid w:val="00C63DCC"/>
    <w:rsid w:val="00C650BF"/>
    <w:rsid w:val="00C653A7"/>
    <w:rsid w:val="00C66906"/>
    <w:rsid w:val="00C67D37"/>
    <w:rsid w:val="00C70E61"/>
    <w:rsid w:val="00C712C5"/>
    <w:rsid w:val="00C71484"/>
    <w:rsid w:val="00C7224B"/>
    <w:rsid w:val="00C74652"/>
    <w:rsid w:val="00C74CD7"/>
    <w:rsid w:val="00C761A9"/>
    <w:rsid w:val="00C764C5"/>
    <w:rsid w:val="00C80478"/>
    <w:rsid w:val="00C82F13"/>
    <w:rsid w:val="00C83029"/>
    <w:rsid w:val="00C86189"/>
    <w:rsid w:val="00C8686D"/>
    <w:rsid w:val="00C87917"/>
    <w:rsid w:val="00C87976"/>
    <w:rsid w:val="00C91097"/>
    <w:rsid w:val="00C92765"/>
    <w:rsid w:val="00C94096"/>
    <w:rsid w:val="00C9462D"/>
    <w:rsid w:val="00C948D6"/>
    <w:rsid w:val="00C94C6E"/>
    <w:rsid w:val="00C95602"/>
    <w:rsid w:val="00C96844"/>
    <w:rsid w:val="00CA02AC"/>
    <w:rsid w:val="00CA17C2"/>
    <w:rsid w:val="00CA1EE5"/>
    <w:rsid w:val="00CA335F"/>
    <w:rsid w:val="00CA4957"/>
    <w:rsid w:val="00CA5324"/>
    <w:rsid w:val="00CB0979"/>
    <w:rsid w:val="00CB2AA1"/>
    <w:rsid w:val="00CB6197"/>
    <w:rsid w:val="00CB71EB"/>
    <w:rsid w:val="00CC0541"/>
    <w:rsid w:val="00CC1318"/>
    <w:rsid w:val="00CC2997"/>
    <w:rsid w:val="00CC2BA5"/>
    <w:rsid w:val="00CC2DF6"/>
    <w:rsid w:val="00CC7941"/>
    <w:rsid w:val="00CD0175"/>
    <w:rsid w:val="00CD199E"/>
    <w:rsid w:val="00CD2911"/>
    <w:rsid w:val="00CD44FB"/>
    <w:rsid w:val="00CD6898"/>
    <w:rsid w:val="00CD780E"/>
    <w:rsid w:val="00CE03AD"/>
    <w:rsid w:val="00CE101D"/>
    <w:rsid w:val="00CE20D7"/>
    <w:rsid w:val="00CE317B"/>
    <w:rsid w:val="00CE34FE"/>
    <w:rsid w:val="00CE41B0"/>
    <w:rsid w:val="00CE5684"/>
    <w:rsid w:val="00CE576F"/>
    <w:rsid w:val="00CE5DF9"/>
    <w:rsid w:val="00CE5FB6"/>
    <w:rsid w:val="00CE6691"/>
    <w:rsid w:val="00CE6BBC"/>
    <w:rsid w:val="00CF0689"/>
    <w:rsid w:val="00CF3481"/>
    <w:rsid w:val="00CF370E"/>
    <w:rsid w:val="00CF4C6D"/>
    <w:rsid w:val="00CF7D6D"/>
    <w:rsid w:val="00D020F9"/>
    <w:rsid w:val="00D06E6B"/>
    <w:rsid w:val="00D105F2"/>
    <w:rsid w:val="00D1457E"/>
    <w:rsid w:val="00D14BFC"/>
    <w:rsid w:val="00D1661F"/>
    <w:rsid w:val="00D16F76"/>
    <w:rsid w:val="00D170D3"/>
    <w:rsid w:val="00D201B5"/>
    <w:rsid w:val="00D21654"/>
    <w:rsid w:val="00D217D6"/>
    <w:rsid w:val="00D22745"/>
    <w:rsid w:val="00D233ED"/>
    <w:rsid w:val="00D23672"/>
    <w:rsid w:val="00D2485A"/>
    <w:rsid w:val="00D24B2D"/>
    <w:rsid w:val="00D33048"/>
    <w:rsid w:val="00D33D28"/>
    <w:rsid w:val="00D36B1D"/>
    <w:rsid w:val="00D3711C"/>
    <w:rsid w:val="00D37170"/>
    <w:rsid w:val="00D40982"/>
    <w:rsid w:val="00D436F7"/>
    <w:rsid w:val="00D45FA5"/>
    <w:rsid w:val="00D467D1"/>
    <w:rsid w:val="00D5216E"/>
    <w:rsid w:val="00D543FF"/>
    <w:rsid w:val="00D5452B"/>
    <w:rsid w:val="00D5675F"/>
    <w:rsid w:val="00D56DCA"/>
    <w:rsid w:val="00D575E9"/>
    <w:rsid w:val="00D57B75"/>
    <w:rsid w:val="00D57F8D"/>
    <w:rsid w:val="00D60071"/>
    <w:rsid w:val="00D621B8"/>
    <w:rsid w:val="00D6228A"/>
    <w:rsid w:val="00D6341A"/>
    <w:rsid w:val="00D64D97"/>
    <w:rsid w:val="00D70CAB"/>
    <w:rsid w:val="00D72412"/>
    <w:rsid w:val="00D7397A"/>
    <w:rsid w:val="00D744F7"/>
    <w:rsid w:val="00D810C2"/>
    <w:rsid w:val="00D83523"/>
    <w:rsid w:val="00D859B4"/>
    <w:rsid w:val="00D93C9C"/>
    <w:rsid w:val="00D95C31"/>
    <w:rsid w:val="00D961CA"/>
    <w:rsid w:val="00D961E1"/>
    <w:rsid w:val="00D96588"/>
    <w:rsid w:val="00D96EFB"/>
    <w:rsid w:val="00DA0207"/>
    <w:rsid w:val="00DA0671"/>
    <w:rsid w:val="00DA1A54"/>
    <w:rsid w:val="00DA3D24"/>
    <w:rsid w:val="00DA3FD5"/>
    <w:rsid w:val="00DA4E9C"/>
    <w:rsid w:val="00DA5BA2"/>
    <w:rsid w:val="00DA64C2"/>
    <w:rsid w:val="00DA755F"/>
    <w:rsid w:val="00DB1DEF"/>
    <w:rsid w:val="00DB302B"/>
    <w:rsid w:val="00DB418D"/>
    <w:rsid w:val="00DB52D5"/>
    <w:rsid w:val="00DB6851"/>
    <w:rsid w:val="00DC04A7"/>
    <w:rsid w:val="00DC263A"/>
    <w:rsid w:val="00DC3F67"/>
    <w:rsid w:val="00DC4EC2"/>
    <w:rsid w:val="00DC72E7"/>
    <w:rsid w:val="00DC78CE"/>
    <w:rsid w:val="00DD5348"/>
    <w:rsid w:val="00DD5659"/>
    <w:rsid w:val="00DD61A2"/>
    <w:rsid w:val="00DD6895"/>
    <w:rsid w:val="00DD6A37"/>
    <w:rsid w:val="00DD75A3"/>
    <w:rsid w:val="00DE00E0"/>
    <w:rsid w:val="00DE0CB1"/>
    <w:rsid w:val="00DE2660"/>
    <w:rsid w:val="00DE34EA"/>
    <w:rsid w:val="00DE66B0"/>
    <w:rsid w:val="00DE6777"/>
    <w:rsid w:val="00DE724B"/>
    <w:rsid w:val="00DE75C6"/>
    <w:rsid w:val="00DF08EE"/>
    <w:rsid w:val="00DF2375"/>
    <w:rsid w:val="00DF23FC"/>
    <w:rsid w:val="00DF27E0"/>
    <w:rsid w:val="00DF293C"/>
    <w:rsid w:val="00DF376C"/>
    <w:rsid w:val="00DF655E"/>
    <w:rsid w:val="00DF68F0"/>
    <w:rsid w:val="00DF6D85"/>
    <w:rsid w:val="00E01225"/>
    <w:rsid w:val="00E01D6F"/>
    <w:rsid w:val="00E02713"/>
    <w:rsid w:val="00E03391"/>
    <w:rsid w:val="00E12294"/>
    <w:rsid w:val="00E15D0B"/>
    <w:rsid w:val="00E16296"/>
    <w:rsid w:val="00E16AF3"/>
    <w:rsid w:val="00E21605"/>
    <w:rsid w:val="00E22E62"/>
    <w:rsid w:val="00E23480"/>
    <w:rsid w:val="00E260C1"/>
    <w:rsid w:val="00E26751"/>
    <w:rsid w:val="00E27A92"/>
    <w:rsid w:val="00E3253E"/>
    <w:rsid w:val="00E37996"/>
    <w:rsid w:val="00E37E31"/>
    <w:rsid w:val="00E415CC"/>
    <w:rsid w:val="00E43206"/>
    <w:rsid w:val="00E447BF"/>
    <w:rsid w:val="00E46498"/>
    <w:rsid w:val="00E47280"/>
    <w:rsid w:val="00E50C8B"/>
    <w:rsid w:val="00E513C0"/>
    <w:rsid w:val="00E516AB"/>
    <w:rsid w:val="00E518D8"/>
    <w:rsid w:val="00E521EF"/>
    <w:rsid w:val="00E5494B"/>
    <w:rsid w:val="00E54A6F"/>
    <w:rsid w:val="00E54B0E"/>
    <w:rsid w:val="00E554C5"/>
    <w:rsid w:val="00E561A2"/>
    <w:rsid w:val="00E614EF"/>
    <w:rsid w:val="00E61DC8"/>
    <w:rsid w:val="00E62033"/>
    <w:rsid w:val="00E622CD"/>
    <w:rsid w:val="00E63B24"/>
    <w:rsid w:val="00E64087"/>
    <w:rsid w:val="00E65AE5"/>
    <w:rsid w:val="00E66B6B"/>
    <w:rsid w:val="00E67565"/>
    <w:rsid w:val="00E701B3"/>
    <w:rsid w:val="00E7055C"/>
    <w:rsid w:val="00E710D5"/>
    <w:rsid w:val="00E71AED"/>
    <w:rsid w:val="00E71E67"/>
    <w:rsid w:val="00E76284"/>
    <w:rsid w:val="00E772D1"/>
    <w:rsid w:val="00E80319"/>
    <w:rsid w:val="00E81059"/>
    <w:rsid w:val="00E817B5"/>
    <w:rsid w:val="00E83683"/>
    <w:rsid w:val="00E867C5"/>
    <w:rsid w:val="00E872A1"/>
    <w:rsid w:val="00E87321"/>
    <w:rsid w:val="00E92DE3"/>
    <w:rsid w:val="00E95194"/>
    <w:rsid w:val="00E952C3"/>
    <w:rsid w:val="00E95445"/>
    <w:rsid w:val="00E962C3"/>
    <w:rsid w:val="00EA18C6"/>
    <w:rsid w:val="00EA19EA"/>
    <w:rsid w:val="00EA242D"/>
    <w:rsid w:val="00EA3A07"/>
    <w:rsid w:val="00EB082D"/>
    <w:rsid w:val="00EB3CDD"/>
    <w:rsid w:val="00EB4C48"/>
    <w:rsid w:val="00EB4D66"/>
    <w:rsid w:val="00EB6947"/>
    <w:rsid w:val="00EC185B"/>
    <w:rsid w:val="00EC3BD1"/>
    <w:rsid w:val="00EC54E7"/>
    <w:rsid w:val="00EC5FAA"/>
    <w:rsid w:val="00EC6B1E"/>
    <w:rsid w:val="00EC7DCC"/>
    <w:rsid w:val="00ED01E8"/>
    <w:rsid w:val="00ED0FB8"/>
    <w:rsid w:val="00ED1707"/>
    <w:rsid w:val="00ED20F1"/>
    <w:rsid w:val="00ED283E"/>
    <w:rsid w:val="00ED4C90"/>
    <w:rsid w:val="00ED5F78"/>
    <w:rsid w:val="00ED6290"/>
    <w:rsid w:val="00ED7305"/>
    <w:rsid w:val="00EE1ED1"/>
    <w:rsid w:val="00EE2259"/>
    <w:rsid w:val="00EE44DC"/>
    <w:rsid w:val="00EE4C1A"/>
    <w:rsid w:val="00EE68ED"/>
    <w:rsid w:val="00EE6CF6"/>
    <w:rsid w:val="00EF0867"/>
    <w:rsid w:val="00EF48FB"/>
    <w:rsid w:val="00EF4E7C"/>
    <w:rsid w:val="00EF4F80"/>
    <w:rsid w:val="00EF6397"/>
    <w:rsid w:val="00EF7869"/>
    <w:rsid w:val="00F005A7"/>
    <w:rsid w:val="00F04452"/>
    <w:rsid w:val="00F051B3"/>
    <w:rsid w:val="00F07B92"/>
    <w:rsid w:val="00F07FDA"/>
    <w:rsid w:val="00F10C4B"/>
    <w:rsid w:val="00F12523"/>
    <w:rsid w:val="00F13058"/>
    <w:rsid w:val="00F14A7E"/>
    <w:rsid w:val="00F14FBE"/>
    <w:rsid w:val="00F15E1B"/>
    <w:rsid w:val="00F20625"/>
    <w:rsid w:val="00F20DD0"/>
    <w:rsid w:val="00F21B00"/>
    <w:rsid w:val="00F21D6F"/>
    <w:rsid w:val="00F2270A"/>
    <w:rsid w:val="00F22981"/>
    <w:rsid w:val="00F22D42"/>
    <w:rsid w:val="00F24A21"/>
    <w:rsid w:val="00F25337"/>
    <w:rsid w:val="00F25F04"/>
    <w:rsid w:val="00F268B3"/>
    <w:rsid w:val="00F274BD"/>
    <w:rsid w:val="00F30845"/>
    <w:rsid w:val="00F32302"/>
    <w:rsid w:val="00F3467F"/>
    <w:rsid w:val="00F349E3"/>
    <w:rsid w:val="00F34D4E"/>
    <w:rsid w:val="00F35CB8"/>
    <w:rsid w:val="00F363C1"/>
    <w:rsid w:val="00F40210"/>
    <w:rsid w:val="00F463B7"/>
    <w:rsid w:val="00F47C58"/>
    <w:rsid w:val="00F51C0B"/>
    <w:rsid w:val="00F53EDF"/>
    <w:rsid w:val="00F551DE"/>
    <w:rsid w:val="00F552AC"/>
    <w:rsid w:val="00F63163"/>
    <w:rsid w:val="00F6578A"/>
    <w:rsid w:val="00F72EBC"/>
    <w:rsid w:val="00F734DB"/>
    <w:rsid w:val="00F73603"/>
    <w:rsid w:val="00F83508"/>
    <w:rsid w:val="00F83685"/>
    <w:rsid w:val="00F83DED"/>
    <w:rsid w:val="00F84106"/>
    <w:rsid w:val="00F8445B"/>
    <w:rsid w:val="00F84C38"/>
    <w:rsid w:val="00F85697"/>
    <w:rsid w:val="00F9012C"/>
    <w:rsid w:val="00F9111A"/>
    <w:rsid w:val="00F9182B"/>
    <w:rsid w:val="00F91FE5"/>
    <w:rsid w:val="00F939E5"/>
    <w:rsid w:val="00F96003"/>
    <w:rsid w:val="00F963AD"/>
    <w:rsid w:val="00F97AAA"/>
    <w:rsid w:val="00FA1ACC"/>
    <w:rsid w:val="00FA1E3E"/>
    <w:rsid w:val="00FA2234"/>
    <w:rsid w:val="00FA45A9"/>
    <w:rsid w:val="00FA4FC2"/>
    <w:rsid w:val="00FA5B5A"/>
    <w:rsid w:val="00FA60FE"/>
    <w:rsid w:val="00FB0518"/>
    <w:rsid w:val="00FB14DF"/>
    <w:rsid w:val="00FB1E12"/>
    <w:rsid w:val="00FB40F4"/>
    <w:rsid w:val="00FB47E5"/>
    <w:rsid w:val="00FB489C"/>
    <w:rsid w:val="00FB7DA4"/>
    <w:rsid w:val="00FC13BE"/>
    <w:rsid w:val="00FC141E"/>
    <w:rsid w:val="00FC2DC5"/>
    <w:rsid w:val="00FC770B"/>
    <w:rsid w:val="00FD3295"/>
    <w:rsid w:val="00FD37E0"/>
    <w:rsid w:val="00FD7926"/>
    <w:rsid w:val="00FD7D42"/>
    <w:rsid w:val="00FE1498"/>
    <w:rsid w:val="00FE3864"/>
    <w:rsid w:val="00FE50E6"/>
    <w:rsid w:val="00FF00FC"/>
    <w:rsid w:val="00FF0895"/>
    <w:rsid w:val="00FF0C0E"/>
    <w:rsid w:val="00FF2226"/>
    <w:rsid w:val="00FF6329"/>
    <w:rsid w:val="00FF6DB8"/>
    <w:rsid w:val="00FF7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B34BAC-0A4F-4959-A7A1-0CF3C725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F4E7C"/>
    <w:pPr>
      <w:suppressAutoHyphens/>
      <w:spacing w:after="240" w:line="240" w:lineRule="auto"/>
    </w:pPr>
    <w:rPr>
      <w:rFonts w:ascii="Book Antiqua" w:eastAsia="Times New Roman" w:hAnsi="Book Antiqua" w:cs="Times New Roman"/>
      <w:szCs w:val="20"/>
      <w:lang w:val="en-GB"/>
    </w:rPr>
  </w:style>
  <w:style w:type="paragraph" w:styleId="Heading1">
    <w:name w:val="heading 1"/>
    <w:basedOn w:val="Normal"/>
    <w:next w:val="Normal"/>
    <w:link w:val="Heading1Char"/>
    <w:uiPriority w:val="9"/>
    <w:qFormat/>
    <w:rsid w:val="00EF4E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Head1">
    <w:name w:val="Annex Head 1"/>
    <w:basedOn w:val="Heading1"/>
    <w:next w:val="BodyText"/>
    <w:qFormat/>
    <w:rsid w:val="00EF4E7C"/>
    <w:pPr>
      <w:keepLines w:val="0"/>
      <w:numPr>
        <w:numId w:val="2"/>
      </w:numPr>
      <w:tabs>
        <w:tab w:val="clear" w:pos="3403"/>
        <w:tab w:val="num" w:pos="360"/>
        <w:tab w:val="num" w:pos="851"/>
      </w:tabs>
      <w:spacing w:before="0" w:after="360"/>
      <w:ind w:left="851" w:firstLine="0"/>
    </w:pPr>
    <w:rPr>
      <w:rFonts w:ascii="Futura XBlkCn BT" w:eastAsia="Times New Roman" w:hAnsi="Futura XBlkCn BT" w:cs="Times New Roman"/>
      <w:b/>
      <w:color w:val="808080"/>
      <w:sz w:val="36"/>
      <w:szCs w:val="20"/>
    </w:rPr>
  </w:style>
  <w:style w:type="paragraph" w:customStyle="1" w:styleId="AnnexHead2">
    <w:name w:val="Annex Head 2"/>
    <w:basedOn w:val="AnnexHead1"/>
    <w:next w:val="BodyText"/>
    <w:qFormat/>
    <w:rsid w:val="00EF4E7C"/>
    <w:pPr>
      <w:numPr>
        <w:ilvl w:val="1"/>
      </w:numPr>
      <w:tabs>
        <w:tab w:val="clear" w:pos="3119"/>
        <w:tab w:val="num" w:pos="360"/>
        <w:tab w:val="num" w:pos="851"/>
        <w:tab w:val="num" w:pos="1134"/>
      </w:tabs>
      <w:ind w:left="1134"/>
      <w:outlineLvl w:val="1"/>
    </w:pPr>
    <w:rPr>
      <w:rFonts w:ascii="Futura Md BT" w:hAnsi="Futura Md BT"/>
      <w:color w:val="auto"/>
      <w:sz w:val="28"/>
    </w:rPr>
  </w:style>
  <w:style w:type="paragraph" w:customStyle="1" w:styleId="AnnexHead3">
    <w:name w:val="Annex Head 3"/>
    <w:basedOn w:val="AnnexHead2"/>
    <w:next w:val="BodyText"/>
    <w:qFormat/>
    <w:rsid w:val="00EF4E7C"/>
    <w:pPr>
      <w:numPr>
        <w:ilvl w:val="2"/>
      </w:numPr>
      <w:tabs>
        <w:tab w:val="num" w:pos="360"/>
        <w:tab w:val="num" w:pos="851"/>
      </w:tabs>
      <w:spacing w:after="120"/>
      <w:outlineLvl w:val="2"/>
    </w:pPr>
    <w:rPr>
      <w:sz w:val="24"/>
    </w:rPr>
  </w:style>
  <w:style w:type="paragraph" w:customStyle="1" w:styleId="ECABullets">
    <w:name w:val="ECA Bullets"/>
    <w:basedOn w:val="BodyText"/>
    <w:link w:val="ECABulletsChar"/>
    <w:qFormat/>
    <w:rsid w:val="00EF4E7C"/>
    <w:pPr>
      <w:numPr>
        <w:numId w:val="1"/>
      </w:numPr>
      <w:spacing w:after="240"/>
    </w:pPr>
  </w:style>
  <w:style w:type="paragraph" w:customStyle="1" w:styleId="ECASub-Bullets">
    <w:name w:val="ECA Sub-Bullets"/>
    <w:basedOn w:val="Normal"/>
    <w:qFormat/>
    <w:rsid w:val="00EF4E7C"/>
    <w:pPr>
      <w:numPr>
        <w:ilvl w:val="1"/>
        <w:numId w:val="1"/>
      </w:numPr>
    </w:pPr>
  </w:style>
  <w:style w:type="paragraph" w:customStyle="1" w:styleId="ECASub-Sub-Bullets">
    <w:name w:val="ECA Sub-Sub-Bullets"/>
    <w:basedOn w:val="BodyText"/>
    <w:autoRedefine/>
    <w:qFormat/>
    <w:rsid w:val="00EF4E7C"/>
    <w:pPr>
      <w:numPr>
        <w:ilvl w:val="2"/>
        <w:numId w:val="1"/>
      </w:numPr>
      <w:spacing w:after="240"/>
    </w:pPr>
  </w:style>
  <w:style w:type="character" w:customStyle="1" w:styleId="ECABulletsChar">
    <w:name w:val="ECA Bullets Char"/>
    <w:link w:val="ECABullets"/>
    <w:rsid w:val="00EF4E7C"/>
    <w:rPr>
      <w:rFonts w:ascii="Book Antiqua" w:eastAsia="Times New Roman" w:hAnsi="Book Antiqua" w:cs="Times New Roman"/>
      <w:szCs w:val="20"/>
      <w:lang w:val="en-GB"/>
    </w:rPr>
  </w:style>
  <w:style w:type="paragraph" w:customStyle="1" w:styleId="normaltableau">
    <w:name w:val="normal_tableau"/>
    <w:basedOn w:val="Normal"/>
    <w:rsid w:val="00EF4E7C"/>
    <w:pPr>
      <w:suppressAutoHyphens w:val="0"/>
      <w:overflowPunct w:val="0"/>
      <w:autoSpaceDE w:val="0"/>
      <w:autoSpaceDN w:val="0"/>
      <w:adjustRightInd w:val="0"/>
      <w:spacing w:before="120" w:after="120"/>
      <w:jc w:val="both"/>
      <w:textAlignment w:val="baseline"/>
    </w:pPr>
    <w:rPr>
      <w:rFonts w:ascii="Optima" w:hAnsi="Optima"/>
    </w:rPr>
  </w:style>
  <w:style w:type="paragraph" w:customStyle="1" w:styleId="PuceRougeExprience">
    <w:name w:val="Puce Rouge Expérience"/>
    <w:basedOn w:val="Normal"/>
    <w:rsid w:val="00EF4E7C"/>
    <w:pPr>
      <w:keepLines/>
      <w:tabs>
        <w:tab w:val="left" w:pos="288"/>
      </w:tabs>
      <w:suppressAutoHyphens w:val="0"/>
      <w:overflowPunct w:val="0"/>
      <w:autoSpaceDE w:val="0"/>
      <w:autoSpaceDN w:val="0"/>
      <w:adjustRightInd w:val="0"/>
      <w:spacing w:before="40" w:after="40" w:line="260" w:lineRule="exact"/>
      <w:textAlignment w:val="baseline"/>
    </w:pPr>
    <w:rPr>
      <w:rFonts w:ascii="Arial" w:hAnsi="Arial"/>
      <w:b/>
      <w:sz w:val="20"/>
    </w:rPr>
  </w:style>
  <w:style w:type="paragraph" w:customStyle="1" w:styleId="TableListBullets">
    <w:name w:val="Table List Bullets"/>
    <w:basedOn w:val="ListParagraph"/>
    <w:uiPriority w:val="3"/>
    <w:qFormat/>
    <w:rsid w:val="00EF4E7C"/>
    <w:pPr>
      <w:numPr>
        <w:numId w:val="5"/>
      </w:numPr>
      <w:suppressAutoHyphens w:val="0"/>
      <w:overflowPunct w:val="0"/>
      <w:autoSpaceDE w:val="0"/>
      <w:autoSpaceDN w:val="0"/>
      <w:adjustRightInd w:val="0"/>
      <w:spacing w:after="0"/>
      <w:textAlignment w:val="baseline"/>
    </w:pPr>
    <w:rPr>
      <w:rFonts w:ascii="Arial Narrow" w:hAnsi="Arial Narrow"/>
      <w:sz w:val="18"/>
      <w:lang w:val="de-DE" w:eastAsia="de-DE"/>
    </w:rPr>
  </w:style>
  <w:style w:type="numbering" w:customStyle="1" w:styleId="TableListBulletsGFA">
    <w:name w:val="Table List Bullets GFA"/>
    <w:uiPriority w:val="99"/>
    <w:rsid w:val="00EF4E7C"/>
    <w:pPr>
      <w:numPr>
        <w:numId w:val="4"/>
      </w:numPr>
    </w:pPr>
  </w:style>
  <w:style w:type="character" w:customStyle="1" w:styleId="Heading1Char">
    <w:name w:val="Heading 1 Char"/>
    <w:basedOn w:val="DefaultParagraphFont"/>
    <w:link w:val="Heading1"/>
    <w:uiPriority w:val="9"/>
    <w:rsid w:val="00EF4E7C"/>
    <w:rPr>
      <w:rFonts w:asciiTheme="majorHAnsi" w:eastAsiaTheme="majorEastAsia" w:hAnsiTheme="majorHAnsi" w:cstheme="majorBidi"/>
      <w:color w:val="2E74B5" w:themeColor="accent1" w:themeShade="BF"/>
      <w:sz w:val="32"/>
      <w:szCs w:val="32"/>
      <w:lang w:val="en-GB"/>
    </w:rPr>
  </w:style>
  <w:style w:type="paragraph" w:styleId="BodyText">
    <w:name w:val="Body Text"/>
    <w:basedOn w:val="Normal"/>
    <w:link w:val="BodyTextChar"/>
    <w:uiPriority w:val="99"/>
    <w:semiHidden/>
    <w:unhideWhenUsed/>
    <w:rsid w:val="00EF4E7C"/>
    <w:pPr>
      <w:spacing w:after="120"/>
    </w:pPr>
  </w:style>
  <w:style w:type="character" w:customStyle="1" w:styleId="BodyTextChar">
    <w:name w:val="Body Text Char"/>
    <w:basedOn w:val="DefaultParagraphFont"/>
    <w:link w:val="BodyText"/>
    <w:uiPriority w:val="99"/>
    <w:semiHidden/>
    <w:rsid w:val="00EF4E7C"/>
    <w:rPr>
      <w:rFonts w:ascii="Book Antiqua" w:eastAsia="Times New Roman" w:hAnsi="Book Antiqua" w:cs="Times New Roman"/>
      <w:szCs w:val="20"/>
      <w:lang w:val="en-GB"/>
    </w:rPr>
  </w:style>
  <w:style w:type="paragraph" w:styleId="ListParagraph">
    <w:name w:val="List Paragraph"/>
    <w:basedOn w:val="Normal"/>
    <w:uiPriority w:val="34"/>
    <w:qFormat/>
    <w:rsid w:val="00EF4E7C"/>
    <w:pPr>
      <w:ind w:left="720"/>
      <w:contextualSpacing/>
    </w:pPr>
  </w:style>
  <w:style w:type="table" w:styleId="LightList-Accent2">
    <w:name w:val="Light List Accent 2"/>
    <w:basedOn w:val="TableNormal"/>
    <w:uiPriority w:val="61"/>
    <w:rsid w:val="00076414"/>
    <w:pPr>
      <w:spacing w:after="0" w:line="240" w:lineRule="auto"/>
    </w:pPr>
    <w:rPr>
      <w:rFonts w:ascii="Arial Narrow" w:hAnsi="Arial Narrow"/>
      <w:sz w:val="18"/>
      <w:szCs w:val="18"/>
      <w:lang w:bidi="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Murefu</dc:creator>
  <cp:lastModifiedBy>Admin</cp:lastModifiedBy>
  <cp:revision>5</cp:revision>
  <dcterms:created xsi:type="dcterms:W3CDTF">2015-04-23T05:48:00Z</dcterms:created>
  <dcterms:modified xsi:type="dcterms:W3CDTF">2015-05-05T05:04:00Z</dcterms:modified>
</cp:coreProperties>
</file>