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Play-bold.ttf" ContentType="application/x-font-ttf"/>
  <Override PartName="/word/fonts/Play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jc w:val="center"/>
      </w:pPr>
      <w:r>
        <w:rPr>
          <w:rFonts w:ascii="Arial" w:hAnsi="Arial"/>
          <w:color w:val="787878"/>
          <w:sz w:val="18"/>
        </w:rPr>
        <w:t>REVISIONE TECNICA PUBBLICA</w:t>
      </w:r>
    </w:p>
    <w:p>
      <w:pPr>
        <w:jc w:val="center"/>
      </w:pPr>
      <w:r>
        <w:rPr>
          <w:b/>
          <w:sz w:val="52"/>
        </w:rPr>
        <w:t>MEMORANDUM SEM 01</w:t>
      </w:r>
    </w:p>
    <w:p>
      <w:r>
        <w:rPr>
          <w:b/>
        </w:rPr>
        <w:t>Destinatario:</w:t>
        <w:tab/>
      </w:r>
      <w:r>
        <w:t>Team Sem.01 e progettista dell’impianto</w:t>
      </w:r>
    </w:p>
    <w:p>
      <w:r>
        <w:rPr>
          <w:b/>
        </w:rPr>
        <w:t>Autore:</w:t>
        <w:tab/>
      </w:r>
      <w:r>
        <w:t>Progetto Sem.01</w:t>
      </w:r>
    </w:p>
    <w:p>
      <w:r>
        <w:rPr>
          <w:b/>
        </w:rPr>
        <w:t>Data:</w:t>
        <w:tab/>
      </w:r>
      <w:r>
        <w:t>5 settembre 2026</w:t>
      </w:r>
    </w:p>
    <w:p>
      <w:r>
        <w:rPr>
          <w:b/>
        </w:rPr>
        <w:t>Oggetto:</w:t>
        <w:tab/>
      </w:r>
      <w:r>
        <w:t>Regole software e quadro svizzero</w:t>
      </w:r>
    </w:p>
    <w:p>
      <w:pPr>
        <w:pStyle w:val="Heading1"/>
      </w:pPr>
      <w:r>
        <w:t>Risposta sintetica  Kurzantwort</w:t>
      </w:r>
    </w:p>
    <w:p>
      <w:r>
        <w:t>Sem.01 applica nel modello i principi centrali della SSV, ma non è un controllore certificato né direttamente installabile su strada. Tempi, matrice dei conflitti, hardware, diagnostica, privacy e autorizzazione richiedono una verifica specifica del luogo.</w:t>
      </w:r>
    </w:p>
    <w:p>
      <w:r>
        <w:t>Sem.01 bildet zentrale SSV-Grundsätze ab, ist aber keine zertifizierte Strassensteuerung. Zeiten, Konfliktmatrix, Hardware, Diagnose, Datenschutz und Bewilligung sind standortspezifisch nachzuweisen.</w:t>
      </w:r>
    </w:p>
    <w:p>
      <w:pPr>
        <w:pStyle w:val="Heading1"/>
      </w:pPr>
      <w:r>
        <w:t>Gerarchia dei riferimenti  Rang der Grundlagen</w:t>
      </w:r>
    </w:p>
    <w:p>
      <w:r>
        <w:t>LEGGE = disposizione vincolante. TECNICA = norma VSS, direttiva ASTRA o calcolo progettuale. PROGETTO = barriera prudenziale Sem.01. Una scelta sicura può essere necessaria senza essere descritta letteralmente in un singolo articolo.</w:t>
      </w:r>
    </w:p>
    <w:p>
      <w:pPr>
        <w:pStyle w:val="Heading1"/>
      </w:pPr>
      <w:r>
        <w:t>Matrice completa  Vollständige Zuordnung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92"/>
        <w:gridCol w:w="4104"/>
        <w:gridCol w:w="5184"/>
      </w:tblGrid>
      <w:tr>
        <w:tc>
          <w:tcPr>
            <w:tcW w:type="dxa" w:w="3120"/>
            <w:shd w:fill="17343B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120"/>
            <w:shd w:fill="17343B"/>
          </w:tcPr>
          <w:p>
            <w:r>
              <w:rPr>
                <w:b/>
                <w:color w:val="FFFFFF"/>
              </w:rPr>
              <w:t>Regola e implementazione</w:t>
            </w:r>
          </w:p>
        </w:tc>
        <w:tc>
          <w:tcPr>
            <w:tcW w:type="dxa" w:w="3120"/>
            <w:shd w:fill="17343B"/>
          </w:tcPr>
          <w:p>
            <w:r>
              <w:rPr>
                <w:b/>
                <w:color w:val="FFFFFF"/>
              </w:rPr>
              <w:t>Base e valutazione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R01</w:t>
            </w:r>
          </w:p>
        </w:tc>
        <w:tc>
          <w:tcPr>
            <w:tcW w:type="dxa" w:w="41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Priorità del segnale luminoso</w:t>
              <w:br/>
              <w:t>Vorrang des Lichtsignals</w:t>
              <w:br/>
              <w:br/>
              <w:t>Il segnale luminoso domina la scelta del movimento.</w:t>
            </w:r>
          </w:p>
        </w:tc>
        <w:tc>
          <w:tcPr>
            <w:tcW w:type="dxa" w:w="51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LEGGE — SSV 68.1</w:t>
              <w:br/>
              <w:t>corrispondenza diretta</w:t>
            </w:r>
          </w:p>
        </w:tc>
      </w:tr>
      <w:tr>
        <w:trPr>
          <w:cantSplit/>
        </w:trPr>
        <w:tc>
          <w:tcPr>
            <w:tcW w:type="dxa" w:w="792"/>
            <w:shd w:fill="F1F5F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R02</w:t>
            </w:r>
          </w:p>
        </w:tc>
        <w:tc>
          <w:tcPr>
            <w:tcW w:type="dxa" w:w="4104"/>
            <w:shd w:fill="F1F5F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Rosso arresta</w:t>
              <w:br/>
              <w:t>Rot bedeutet Halt</w:t>
              <w:br/>
              <w:br/>
              <w:t>Con rosso nessun veicolo entra.</w:t>
            </w:r>
          </w:p>
        </w:tc>
        <w:tc>
          <w:tcPr>
            <w:tcW w:type="dxa" w:w="5184"/>
            <w:shd w:fill="F1F5F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LEGGE — SSV 68.1bis</w:t>
              <w:br/>
              <w:t>diretta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R03</w:t>
            </w:r>
          </w:p>
        </w:tc>
        <w:tc>
          <w:tcPr>
            <w:tcW w:type="dxa" w:w="41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Verde autorizza</w:t>
              <w:br/>
              <w:t>Grün gibt den Verkehr frei</w:t>
              <w:br/>
              <w:br/>
              <w:t>Entra soltanto il gruppo autorizzato.</w:t>
            </w:r>
          </w:p>
        </w:tc>
        <w:tc>
          <w:tcPr>
            <w:tcW w:type="dxa" w:w="51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LEGGE — SSV 68.2</w:t>
              <w:br/>
              <w:t>restano gli obblighi di precedenza</w:t>
            </w:r>
          </w:p>
        </w:tc>
      </w:tr>
      <w:tr>
        <w:trPr>
          <w:cantSplit/>
        </w:trPr>
        <w:tc>
          <w:tcPr>
            <w:tcW w:type="dxa" w:w="792"/>
            <w:shd w:fill="F1F5F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R04</w:t>
            </w:r>
          </w:p>
        </w:tc>
        <w:tc>
          <w:tcPr>
            <w:tcW w:type="dxa" w:w="4104"/>
            <w:shd w:fill="F1F5F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Giallo dopo verde</w:t>
              <w:br/>
              <w:t>Gelb nach Grün</w:t>
              <w:br/>
              <w:br/>
              <w:t>Verde passa sempre da giallo prima del rosso.</w:t>
            </w:r>
          </w:p>
        </w:tc>
        <w:tc>
          <w:tcPr>
            <w:tcW w:type="dxa" w:w="5184"/>
            <w:shd w:fill="F1F5F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LEGGE — SSV 68.4 lett. a</w:t>
              <w:br/>
              <w:t>diretta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R05</w:t>
            </w:r>
          </w:p>
        </w:tc>
        <w:tc>
          <w:tcPr>
            <w:tcW w:type="dxa" w:w="41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Rosso più giallo prima del verde</w:t>
              <w:br/>
              <w:t>Rot und Gelb vor Grün</w:t>
              <w:br/>
              <w:br/>
              <w:t>La fase prepara il verde con rosso e giallo.</w:t>
            </w:r>
          </w:p>
        </w:tc>
        <w:tc>
          <w:tcPr>
            <w:tcW w:type="dxa" w:w="51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LEGGE — SSV 68.4 lett. b</w:t>
              <w:br/>
              <w:t>diretta</w:t>
            </w:r>
          </w:p>
        </w:tc>
      </w:tr>
      <w:tr>
        <w:trPr>
          <w:cantSplit/>
        </w:trPr>
        <w:tc>
          <w:tcPr>
            <w:tcW w:type="dxa" w:w="792"/>
            <w:shd w:fill="F1F5F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R06</w:t>
            </w:r>
          </w:p>
        </w:tc>
        <w:tc>
          <w:tcPr>
            <w:tcW w:type="dxa" w:w="4104"/>
            <w:shd w:fill="F1F5F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Ordine delle luci</w:t>
              <w:br/>
              <w:t>Anordnung der Lichter</w:t>
              <w:br/>
              <w:br/>
              <w:t>Rosso alto, giallo centro, verde basso.</w:t>
            </w:r>
          </w:p>
        </w:tc>
        <w:tc>
          <w:tcPr>
            <w:tcW w:type="dxa" w:w="5184"/>
            <w:shd w:fill="F1F5F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LEGGE — SSV 70.5</w:t>
              <w:br/>
              <w:t>diretta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R07</w:t>
            </w:r>
          </w:p>
        </w:tc>
        <w:tc>
          <w:tcPr>
            <w:tcW w:type="dxa" w:w="41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Frecce direzionali</w:t>
              <w:br/>
              <w:t>Richtungspfeile</w:t>
              <w:br/>
              <w:br/>
              <w:t>Segnale e autorizzazione valgono per la direzione indicata.</w:t>
            </w:r>
          </w:p>
        </w:tc>
        <w:tc>
          <w:tcPr>
            <w:tcW w:type="dxa" w:w="51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LEGGE — SSV 68.3, 68.5, 68.9</w:t>
              <w:br/>
              <w:t>diretta</w:t>
            </w:r>
          </w:p>
        </w:tc>
      </w:tr>
      <w:tr>
        <w:trPr>
          <w:cantSplit/>
        </w:trPr>
        <w:tc>
          <w:tcPr>
            <w:tcW w:type="dxa" w:w="792"/>
            <w:shd w:fill="F1F5F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R08</w:t>
            </w:r>
          </w:p>
        </w:tc>
        <w:tc>
          <w:tcPr>
            <w:tcW w:type="dxa" w:w="4104"/>
            <w:shd w:fill="F1F5F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Esclusione dei conflitti</w:t>
              <w:br/>
              <w:t>Ausschluss von Konflikten</w:t>
              <w:br/>
              <w:br/>
              <w:t>La matrice vieta verdi incompatibili.</w:t>
            </w:r>
          </w:p>
        </w:tc>
        <w:tc>
          <w:tcPr>
            <w:tcW w:type="dxa" w:w="5184"/>
            <w:shd w:fill="F1F5F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LEGGE — SSV 71.3</w:t>
              <w:br/>
              <w:t>la geometria va validata sul sito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R09</w:t>
            </w:r>
          </w:p>
        </w:tc>
        <w:tc>
          <w:tcPr>
            <w:tcW w:type="dxa" w:w="41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Frecce verdi protette</w:t>
              <w:br/>
              <w:t>Geschützte Grünpfeile</w:t>
              <w:br/>
              <w:br/>
              <w:t>Senza giallo lampeggiante escludono pedoni e traffico conflittuale.</w:t>
            </w:r>
          </w:p>
        </w:tc>
        <w:tc>
          <w:tcPr>
            <w:tcW w:type="dxa" w:w="51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LEGGE — SSV 71.3</w:t>
              <w:br/>
              <w:t>diretta</w:t>
            </w:r>
          </w:p>
        </w:tc>
      </w:tr>
      <w:tr>
        <w:trPr>
          <w:cantSplit/>
        </w:trPr>
        <w:tc>
          <w:tcPr>
            <w:tcW w:type="dxa" w:w="792"/>
            <w:shd w:fill="F1F5F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R10</w:t>
            </w:r>
          </w:p>
        </w:tc>
        <w:tc>
          <w:tcPr>
            <w:tcW w:type="dxa" w:w="4104"/>
            <w:shd w:fill="F1F5F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Posizione dei semafori</w:t>
              <w:br/>
              <w:t>Standort der Lichtsignale</w:t>
              <w:br/>
              <w:br/>
              <w:t>Ogni gruppo è associato chiaramente alla corsia.</w:t>
            </w:r>
          </w:p>
        </w:tc>
        <w:tc>
          <w:tcPr>
            <w:tcW w:type="dxa" w:w="5184"/>
            <w:shd w:fill="F1F5F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LEGGE — SSV 71.1–1bis</w:t>
              <w:br/>
              <w:t>quote reali da progettare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R11</w:t>
            </w:r>
          </w:p>
        </w:tc>
        <w:tc>
          <w:tcPr>
            <w:tcW w:type="dxa" w:w="41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Corsie e preselezione</w:t>
              <w:br/>
              <w:t>Fahrstreifen und Einspurpfeile</w:t>
              <w:br/>
              <w:br/>
              <w:t>Corsia sinistra e corsia diritto/destra; deviazione registrata.</w:t>
            </w:r>
          </w:p>
        </w:tc>
        <w:tc>
          <w:tcPr>
            <w:tcW w:type="dxa" w:w="51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LEGGE — SSV 74.1–2</w:t>
              <w:br/>
              <w:t>la geometria è specifica del sito</w:t>
            </w:r>
          </w:p>
        </w:tc>
      </w:tr>
      <w:tr>
        <w:trPr>
          <w:cantSplit/>
        </w:trPr>
        <w:tc>
          <w:tcPr>
            <w:tcW w:type="dxa" w:w="792"/>
            <w:shd w:fill="F1F5F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R12</w:t>
            </w:r>
          </w:p>
        </w:tc>
        <w:tc>
          <w:tcPr>
            <w:tcW w:type="dxa" w:w="4104"/>
            <w:shd w:fill="F1F5F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Linea di arresto</w:t>
              <w:br/>
              <w:t>Haltelinie</w:t>
              <w:br/>
              <w:br/>
              <w:t>I veicoli attendono prima della linea bianca.</w:t>
            </w:r>
          </w:p>
        </w:tc>
        <w:tc>
          <w:tcPr>
            <w:tcW w:type="dxa" w:w="5184"/>
            <w:shd w:fill="F1F5F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LEGGE — SSV 75.1</w:t>
              <w:br/>
              <w:t>diretta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R13</w:t>
            </w:r>
          </w:p>
        </w:tc>
        <w:tc>
          <w:tcPr>
            <w:tcW w:type="dxa" w:w="41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Verde pedonale</w:t>
              <w:br/>
              <w:t>Fussgängergrün</w:t>
              <w:br/>
              <w:br/>
              <w:t>Il pedone entra solo con simbolo verde.</w:t>
            </w:r>
          </w:p>
        </w:tc>
        <w:tc>
          <w:tcPr>
            <w:tcW w:type="dxa" w:w="51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LEGGE — SSV 68.7; 70.7</w:t>
              <w:br/>
              <w:t>diretta</w:t>
            </w:r>
          </w:p>
        </w:tc>
      </w:tr>
      <w:tr>
        <w:trPr>
          <w:cantSplit/>
        </w:trPr>
        <w:tc>
          <w:tcPr>
            <w:tcW w:type="dxa" w:w="792"/>
            <w:shd w:fill="F1F5F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R14</w:t>
            </w:r>
          </w:p>
        </w:tc>
        <w:tc>
          <w:tcPr>
            <w:tcW w:type="dxa" w:w="4104"/>
            <w:shd w:fill="F1F5F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Sgombero pedonale</w:t>
              <w:br/>
              <w:t>Fussgängerräumung</w:t>
              <w:br/>
              <w:br/>
              <w:t>A fine verde nessun nuovo ingresso; chi attraversa esce subito.</w:t>
            </w:r>
          </w:p>
        </w:tc>
        <w:tc>
          <w:tcPr>
            <w:tcW w:type="dxa" w:w="5184"/>
            <w:shd w:fill="F1F5F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LEGGE — SSV 68.7</w:t>
              <w:br/>
              <w:t>durata da calcolo tecnico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R15</w:t>
            </w:r>
          </w:p>
        </w:tc>
        <w:tc>
          <w:tcPr>
            <w:tcW w:type="dxa" w:w="41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Chiamata pedonale memorizzata</w:t>
              <w:br/>
              <w:t>Gespeicherte Anforderung</w:t>
              <w:br/>
              <w:br/>
              <w:t>La richiesta resta fino a una fase sicura.</w:t>
            </w:r>
          </w:p>
        </w:tc>
        <w:tc>
          <w:tcPr>
            <w:tcW w:type="dxa" w:w="51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TECNICA — Norme VSS e progetto autorizzato</w:t>
              <w:br/>
              <w:t>nessun singolo articolo prescrive l’algoritmo</w:t>
            </w:r>
          </w:p>
        </w:tc>
      </w:tr>
      <w:tr>
        <w:trPr>
          <w:cantSplit/>
        </w:trPr>
        <w:tc>
          <w:tcPr>
            <w:tcW w:type="dxa" w:w="792"/>
            <w:shd w:fill="F1F5F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R16</w:t>
            </w:r>
          </w:p>
        </w:tc>
        <w:tc>
          <w:tcPr>
            <w:tcW w:type="dxa" w:w="4104"/>
            <w:shd w:fill="F1F5F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Traffico compatibile col pedone</w:t>
              <w:br/>
              <w:t>Verträglicher Verkehr</w:t>
              <w:br/>
              <w:br/>
              <w:t>Avanzano soltanto movimenti che non incontrano le strisce attive.</w:t>
            </w:r>
          </w:p>
        </w:tc>
        <w:tc>
          <w:tcPr>
            <w:tcW w:type="dxa" w:w="5184"/>
            <w:shd w:fill="F1F5F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LEGGE — SSV 71.3</w:t>
              <w:br/>
              <w:t>serve esclusione geometrica verificata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R17</w:t>
            </w:r>
          </w:p>
        </w:tc>
        <w:tc>
          <w:tcPr>
            <w:tcW w:type="dxa" w:w="41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Biciclette</w:t>
              <w:br/>
              <w:t>Fahrräder</w:t>
              <w:br/>
              <w:br/>
              <w:t>Velocità propria; eventuali luci dedicate usano il simbolo bici.</w:t>
            </w:r>
          </w:p>
        </w:tc>
        <w:tc>
          <w:tcPr>
            <w:tcW w:type="dxa" w:w="51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LEGGE — SSV 68.8; 70.7</w:t>
              <w:br/>
              <w:t>il tracciamento lento è scelta tecnica</w:t>
            </w:r>
          </w:p>
        </w:tc>
      </w:tr>
      <w:tr>
        <w:trPr>
          <w:cantSplit/>
        </w:trPr>
        <w:tc>
          <w:tcPr>
            <w:tcW w:type="dxa" w:w="792"/>
            <w:shd w:fill="F1F5F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R18</w:t>
            </w:r>
          </w:p>
        </w:tc>
        <w:tc>
          <w:tcPr>
            <w:tcW w:type="dxa" w:w="4104"/>
            <w:shd w:fill="F1F5F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Zona protetta</w:t>
              <w:br/>
              <w:t>Schutzzone</w:t>
              <w:br/>
              <w:br/>
              <w:t>Nessuna fase conflittuale parte finché la zona è occupata.</w:t>
            </w:r>
          </w:p>
        </w:tc>
        <w:tc>
          <w:tcPr>
            <w:tcW w:type="dxa" w:w="5184"/>
            <w:shd w:fill="F1F5F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TECNICA — SSV 71.3; norme VSS sugli intertempi</w:t>
              <w:br/>
              <w:t>principio legale più realizzazione tecnica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R19</w:t>
            </w:r>
          </w:p>
        </w:tc>
        <w:tc>
          <w:tcPr>
            <w:tcW w:type="dxa" w:w="41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Sgombero adattivo</w:t>
              <w:br/>
              <w:t>Adaptive Räumzeit</w:t>
              <w:br/>
              <w:br/>
              <w:t>Velocità, lunghezza e coda mantengono occupata la zona.</w:t>
            </w:r>
          </w:p>
        </w:tc>
        <w:tc>
          <w:tcPr>
            <w:tcW w:type="dxa" w:w="51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TECNICA — Norme VSS; ASTRA 11001 per impianti provvisori</w:t>
              <w:br/>
              <w:t>valori e margini specifici del sito</w:t>
            </w:r>
          </w:p>
        </w:tc>
      </w:tr>
      <w:tr>
        <w:trPr>
          <w:cantSplit/>
        </w:trPr>
        <w:tc>
          <w:tcPr>
            <w:tcW w:type="dxa" w:w="792"/>
            <w:shd w:fill="F1F5F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R20</w:t>
            </w:r>
          </w:p>
        </w:tc>
        <w:tc>
          <w:tcPr>
            <w:tcW w:type="dxa" w:w="4104"/>
            <w:shd w:fill="F1F5F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Bus camion e articolati</w:t>
              <w:br/>
              <w:t>Busse Lastwagen Sattelschlepper</w:t>
              <w:br/>
              <w:br/>
              <w:t>L’uscita considera la parte posteriore e la lunghezza.</w:t>
            </w:r>
          </w:p>
        </w:tc>
        <w:tc>
          <w:tcPr>
            <w:tcW w:type="dxa" w:w="5184"/>
            <w:shd w:fill="F1F5F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PROGETTO — Analisi dei rischi e norme tecniche</w:t>
              <w:br/>
              <w:t>barriera prudenziale, non algoritmo imposto dalla SSV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R21</w:t>
            </w:r>
          </w:p>
        </w:tc>
        <w:tc>
          <w:tcPr>
            <w:tcW w:type="dxa" w:w="41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Domanda e rotazione</w:t>
              <w:br/>
              <w:t>Anforderung und Rotation</w:t>
              <w:br/>
              <w:br/>
              <w:t>Scelta per domanda e compatibilità, con rotazione in parità.</w:t>
            </w:r>
          </w:p>
        </w:tc>
        <w:tc>
          <w:tcPr>
            <w:tcW w:type="dxa" w:w="51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TECNICA — Norme VSS e programma autorizzato</w:t>
              <w:br/>
              <w:t>da dimensionare sui flussi reali</w:t>
            </w:r>
          </w:p>
        </w:tc>
      </w:tr>
      <w:tr>
        <w:trPr>
          <w:cantSplit/>
        </w:trPr>
        <w:tc>
          <w:tcPr>
            <w:tcW w:type="dxa" w:w="792"/>
            <w:shd w:fill="F1F5F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R22</w:t>
            </w:r>
          </w:p>
        </w:tc>
        <w:tc>
          <w:tcPr>
            <w:tcW w:type="dxa" w:w="4104"/>
            <w:shd w:fill="F1F5F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Guasto critico</w:t>
              <w:br/>
              <w:t>Kritischer Fehler</w:t>
              <w:br/>
              <w:br/>
              <w:t>Stato sicuro memorizzato fino a ripristino esplicito.</w:t>
            </w:r>
          </w:p>
        </w:tc>
        <w:tc>
          <w:tcPr>
            <w:tcW w:type="dxa" w:w="5184"/>
            <w:shd w:fill="F1F5F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PROGETTO — Analisi di sicurezza e norme applicabili</w:t>
              <w:br/>
              <w:t>fail-safe non certificato dal solo software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R23</w:t>
            </w:r>
          </w:p>
        </w:tc>
        <w:tc>
          <w:tcPr>
            <w:tcW w:type="dxa" w:w="41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Perdita sensore</w:t>
              <w:br/>
              <w:t>Sensorausfall</w:t>
              <w:br/>
              <w:br/>
              <w:t>Mancata conferma non equivale a zona libera.</w:t>
            </w:r>
          </w:p>
        </w:tc>
        <w:tc>
          <w:tcPr>
            <w:tcW w:type="dxa" w:w="51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PROGETTO — Analisi di sicurezza e norme tecniche</w:t>
              <w:br/>
              <w:t>regola prudenziale fail-safe</w:t>
            </w:r>
          </w:p>
        </w:tc>
      </w:tr>
      <w:tr>
        <w:trPr>
          <w:cantSplit/>
        </w:trPr>
        <w:tc>
          <w:tcPr>
            <w:tcW w:type="dxa" w:w="792"/>
            <w:shd w:fill="F1F5F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R24</w:t>
            </w:r>
          </w:p>
        </w:tc>
        <w:tc>
          <w:tcPr>
            <w:tcW w:type="dxa" w:w="4104"/>
            <w:shd w:fill="F1F5F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Direzione imprevista</w:t>
              <w:br/>
              <w:t>Unerwartete Richtung</w:t>
              <w:br/>
              <w:br/>
              <w:t>Anomalia registrata e protezione del movimento conflittuale.</w:t>
            </w:r>
          </w:p>
        </w:tc>
        <w:tc>
          <w:tcPr>
            <w:tcW w:type="dxa" w:w="5184"/>
            <w:shd w:fill="F1F5F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LEGGE — SSV 74.2; SVG prudenza generale</w:t>
              <w:br/>
              <w:t>il recupero software è barriera aggiuntiva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R25</w:t>
            </w:r>
          </w:p>
        </w:tc>
        <w:tc>
          <w:tcPr>
            <w:tcW w:type="dxa" w:w="41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Cantiere autorizzato</w:t>
              <w:br/>
              <w:t>Bewilligte Baustelle</w:t>
              <w:br/>
              <w:br/>
              <w:t>Modalità cantiere separata dall’incrocio.</w:t>
            </w:r>
          </w:p>
        </w:tc>
        <w:tc>
          <w:tcPr>
            <w:tcW w:type="dxa" w:w="51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LEGGE — SSV 9, 80, 81, 107</w:t>
              <w:br/>
              <w:t>posa e ordinanze richiedono autorità/ASTRA</w:t>
            </w:r>
          </w:p>
        </w:tc>
      </w:tr>
      <w:tr>
        <w:trPr>
          <w:cantSplit/>
        </w:trPr>
        <w:tc>
          <w:tcPr>
            <w:tcW w:type="dxa" w:w="792"/>
            <w:shd w:fill="F1F5F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R26</w:t>
            </w:r>
          </w:p>
        </w:tc>
        <w:tc>
          <w:tcPr>
            <w:tcW w:type="dxa" w:w="4104"/>
            <w:shd w:fill="F1F5F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Cantiere madre figlio</w:t>
              <w:br/>
              <w:t>Master Slave Baustelle</w:t>
              <w:br/>
              <w:br/>
              <w:t>Un senso verde; inversione solo dopo corridoio libero.</w:t>
            </w:r>
          </w:p>
        </w:tc>
        <w:tc>
          <w:tcPr>
            <w:tcW w:type="dxa" w:w="5184"/>
            <w:shd w:fill="F1F5F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TECNICA — SSV 71.3; ASTRA 11001; VSS</w:t>
              <w:br/>
              <w:t>architettura di progetto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R27</w:t>
            </w:r>
          </w:p>
        </w:tc>
        <w:tc>
          <w:tcPr>
            <w:tcW w:type="dxa" w:w="41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Perdita radio</w:t>
              <w:br/>
              <w:t>Funkausfall</w:t>
              <w:br/>
              <w:br/>
              <w:t>Blocca nuove autorizzazioni e genera guasto.</w:t>
            </w:r>
          </w:p>
        </w:tc>
        <w:tc>
          <w:tcPr>
            <w:tcW w:type="dxa" w:w="51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PROGETTO — Analisi di sicurezza e norme tecniche</w:t>
              <w:br/>
              <w:t>da validare su hardware</w:t>
            </w:r>
          </w:p>
        </w:tc>
      </w:tr>
      <w:tr>
        <w:trPr>
          <w:cantSplit/>
        </w:trPr>
        <w:tc>
          <w:tcPr>
            <w:tcW w:type="dxa" w:w="792"/>
            <w:shd w:fill="F1F5F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R28</w:t>
            </w:r>
          </w:p>
        </w:tc>
        <w:tc>
          <w:tcPr>
            <w:tcW w:type="dxa" w:w="4104"/>
            <w:shd w:fill="F1F5F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Giallo lampeggiante</w:t>
              <w:br/>
              <w:t>Gelbes Blinklicht</w:t>
              <w:br/>
              <w:br/>
              <w:t>Usato solo nei casi ammessi, non come ciclo normale.</w:t>
            </w:r>
          </w:p>
        </w:tc>
        <w:tc>
          <w:tcPr>
            <w:tcW w:type="dxa" w:w="5184"/>
            <w:shd w:fill="F1F5F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LEGGE — SSV 68.6; 70.1</w:t>
              <w:br/>
              <w:t>diretta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R29</w:t>
            </w:r>
          </w:p>
        </w:tc>
        <w:tc>
          <w:tcPr>
            <w:tcW w:type="dxa" w:w="41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Segnalazione del cantiere</w:t>
              <w:br/>
              <w:t>Baustellensignalisation</w:t>
              <w:br/>
              <w:br/>
              <w:t>La versione reale richiede segnale 1.14 e dispositivi temporanei.</w:t>
            </w:r>
          </w:p>
        </w:tc>
        <w:tc>
          <w:tcPr>
            <w:tcW w:type="dxa" w:w="51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LEGGE — SSV 9, 80, 82</w:t>
              <w:br/>
              <w:t>non ancora completa nella simulazione</w:t>
            </w:r>
          </w:p>
        </w:tc>
      </w:tr>
      <w:tr>
        <w:trPr>
          <w:cantSplit/>
        </w:trPr>
        <w:tc>
          <w:tcPr>
            <w:tcW w:type="dxa" w:w="792"/>
            <w:shd w:fill="F1F5F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R30</w:t>
            </w:r>
          </w:p>
        </w:tc>
        <w:tc>
          <w:tcPr>
            <w:tcW w:type="dxa" w:w="4104"/>
            <w:shd w:fill="F1F5F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Camera e radar</w:t>
              <w:br/>
              <w:t>Kamera und Radar</w:t>
              <w:br/>
              <w:br/>
              <w:t>Stima presenza e velocità; non serve conservare immagini identificative.</w:t>
            </w:r>
          </w:p>
        </w:tc>
        <w:tc>
          <w:tcPr>
            <w:tcW w:type="dxa" w:w="5184"/>
            <w:shd w:fill="F1F5F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LEGGE — LPD/DSG; indicazioni EDÖB</w:t>
              <w:br/>
              <w:t>suolo pubblico: base legale e autorità; minimizzazione dati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R31</w:t>
            </w:r>
          </w:p>
        </w:tc>
        <w:tc>
          <w:tcPr>
            <w:tcW w:type="dxa" w:w="41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Parametri del sito</w:t>
              <w:br/>
              <w:t>Standortparameter</w:t>
              <w:br/>
              <w:br/>
              <w:t>Tempi, distanze e timeout configurabili.</w:t>
            </w:r>
          </w:p>
        </w:tc>
        <w:tc>
          <w:tcPr>
            <w:tcW w:type="dxa" w:w="51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TECNICA — Norme VSS, progetto e autorizzazione</w:t>
              <w:br/>
              <w:t>i valori demo non valgono automaticamente su strada</w:t>
            </w:r>
          </w:p>
        </w:tc>
      </w:tr>
      <w:tr>
        <w:trPr>
          <w:cantSplit/>
        </w:trPr>
        <w:tc>
          <w:tcPr>
            <w:tcW w:type="dxa" w:w="792"/>
            <w:shd w:fill="F1F5F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R32</w:t>
            </w:r>
          </w:p>
        </w:tc>
        <w:tc>
          <w:tcPr>
            <w:tcW w:type="dxa" w:w="4104"/>
            <w:shd w:fill="F1F5F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Registro e lingue</w:t>
              <w:br/>
              <w:t>Protokoll und Sprachen</w:t>
              <w:br/>
              <w:br/>
              <w:t>Interfaccia IT/DE e registro rendono verificabili le decisioni.</w:t>
            </w:r>
          </w:p>
        </w:tc>
        <w:tc>
          <w:tcPr>
            <w:tcW w:type="dxa" w:w="5184"/>
            <w:shd w:fill="F1F5F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PROGETTO — Documentazione e collaudo</w:t>
              <w:br/>
              <w:t>qualità e tracciabilità, non articolo stradale</w:t>
            </w:r>
          </w:p>
        </w:tc>
      </w:tr>
    </w:tbl>
    <w:p>
      <w:pPr>
        <w:pStyle w:val="Heading1"/>
      </w:pPr>
      <w:r>
        <w:t>Esito e lavoro residuo  Ergebnis und Restarbeiten</w:t>
      </w:r>
    </w:p>
    <w:p>
      <w:r>
        <w:t>•  Acquisire le norme VSS vigenti e costruire una matrice dei requisiti verificabile.</w:t>
      </w:r>
    </w:p>
    <w:p>
      <w:r>
        <w:t>•  Rilevare geometria, distanze, velocità, visibilità e flussi del sito.</w:t>
      </w:r>
    </w:p>
    <w:p>
      <w:r>
        <w:t>•  Calcolare intertempi veicolari e pedonali; proteggere i parametri.</w:t>
      </w:r>
    </w:p>
    <w:p>
      <w:r>
        <w:t>•  Definire hardware fail-safe, feedback lampade, watchdog, alimentazione, radio e sensori.</w:t>
      </w:r>
    </w:p>
    <w:p>
      <w:r>
        <w:t>•  Eseguire analisi dei rischi, revisione indipendente, FAT, SAT e collaudo con l’autorità.</w:t>
      </w:r>
    </w:p>
    <w:p>
      <w:r>
        <w:t>•  Per camera/radar: base giuridica, valutazione privacy ed elaborazione locale minimizzata.</w:t>
      </w:r>
    </w:p>
    <w:p>
      <w:pPr>
        <w:pStyle w:val="Heading1"/>
      </w:pPr>
      <w:r>
        <w:t>Fonti  Quellen</w:t>
      </w:r>
    </w:p>
    <w:p>
      <w:r>
        <w:t xml:space="preserve">•  </w:t>
      </w:r>
      <w:hyperlink r:id="rId6">
        <w:r>
          <w:rPr>
            <w:color w:val="0563C1"/>
            <w:u w:val="single"/>
          </w:rPr>
          <w:t>SSV ufficiale italiano</w:t>
        </w:r>
      </w:hyperlink>
    </w:p>
    <w:p>
      <w:r>
        <w:t xml:space="preserve">•  </w:t>
      </w:r>
      <w:hyperlink r:id="rId9">
        <w:r>
          <w:rPr>
            <w:color w:val="0563C1"/>
            <w:u w:val="single"/>
          </w:rPr>
          <w:t>SSV amtlich Deutsch</w:t>
        </w:r>
      </w:hyperlink>
    </w:p>
    <w:p>
      <w:r>
        <w:t xml:space="preserve">•  </w:t>
      </w:r>
      <w:hyperlink r:id="rId10">
        <w:r>
          <w:rPr>
            <w:color w:val="0563C1"/>
            <w:u w:val="single"/>
          </w:rPr>
          <w:t>SVG RS 741.01</w:t>
        </w:r>
      </w:hyperlink>
    </w:p>
    <w:p>
      <w:r>
        <w:t xml:space="preserve">•  </w:t>
      </w:r>
      <w:hyperlink r:id="rId11">
        <w:r>
          <w:rPr>
            <w:color w:val="0563C1"/>
            <w:u w:val="single"/>
          </w:rPr>
          <w:t>VRV ONC RS 741.11</w:t>
        </w:r>
      </w:hyperlink>
    </w:p>
    <w:p>
      <w:r>
        <w:t xml:space="preserve">•  </w:t>
      </w:r>
      <w:hyperlink r:id="rId12">
        <w:r>
          <w:rPr>
            <w:color w:val="0563C1"/>
            <w:u w:val="single"/>
          </w:rPr>
          <w:t>ASTRA segnali</w:t>
        </w:r>
      </w:hyperlink>
    </w:p>
    <w:p>
      <w:r>
        <w:t xml:space="preserve">•  </w:t>
      </w:r>
      <w:hyperlink r:id="rId13">
        <w:r>
          <w:rPr>
            <w:color w:val="0563C1"/>
            <w:u w:val="single"/>
          </w:rPr>
          <w:t>EDÖB videosorveglianza spazio pubblico</w:t>
        </w:r>
      </w:hyperlink>
    </w:p>
    <w:p>
      <w:pPr>
        <w:pStyle w:val="Heading1"/>
      </w:pPr>
      <w:r>
        <w:t>Limite della verifica  Abgrenzung</w:t>
      </w:r>
    </w:p>
    <w:p>
      <w:r>
        <w:t>Verifica tecnica preliminare, non parere legale, omologazione o autorizzazione. La conformità dipende dall’intero impianto, dal sito, dalle prove e dall’autorità competente.</w:t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Garamond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Garamond" w:cs="Garamond" w:eastAsia="Garamond" w:hAnsi="Garamond"/>
        <w:i w:val="0"/>
        <w:iCs w:val="0"/>
        <w:smallCaps w:val="0"/>
        <w:strike w:val="0"/>
        <w:color w:val="000000"/>
        <w:u w:val="none"/>
        <w:shd w:fill="auto" w:val="clear"/>
        <w:vertAlign w:val="baseline"/>
      </w:rPr>
    </w:pPr>
    <w:r>
      <w:rPr>
        <w:rFonts w:ascii="Garamond" w:cs="Garamond" w:eastAsia="Garamond" w:hAnsi="Garamond"/>
        <w:i w:val="0"/>
        <w:iCs w:val="0"/>
        <w:smallCaps w:val="0"/>
        <w:strike w:val="0"/>
        <w:color w:val="00000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>
      <w:rPr>
        <w:rtl w:val="0"/>
      </w:rPr>
    </w:r>
  </w:p>
  <w:p w14:paraId="000000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Garamond" w:cs="Garamond" w:eastAsia="Garamond" w:hAnsi="Garamond"/>
        <w:i w:val="0"/>
        <w:iCs w:val="0"/>
        <w:smallCaps w:val="0"/>
        <w:strike w:val="0"/>
        <w:color w:val="000000"/>
        <w:u w:val="none"/>
        <w:shd w:fill="auto" w:val="clear"/>
        <w:vertAlign w:val="baseline"/>
      </w:rPr>
    </w:pPr>
    <w:r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20">
    <w:pPr>
      <w:jc w:val="center"/>
      <w:rPr>
        <w:rFonts w:ascii="Arial" w:cs="Arial" w:eastAsia="Arial" w:hAnsi="Arial"/>
        <w:color w:val="b7b7b7"/>
        <w:sz w:val="18"/>
        <w:szCs w:val="18"/>
      </w:rPr>
    </w:pPr>
    <w:r>
      <w:rPr>
        <w:rFonts w:ascii="Arial" w:hAnsi="Arial"/>
        <w:color w:val="828282"/>
        <w:sz w:val="16"/>
      </w:rPr>
      <w:t>SEM.01  REPORT 1.1</w:t>
    </w:r>
  </w:p>
  <w:p w14:paraId="000000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>
      <w:rPr>
        <w:rFonts w:ascii="Arial" w:hAnsi="Arial"/>
        <w:color w:val="828282"/>
        <w:sz w:val="16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Garamond" w:hAnsi="Garamond"/>
      <w:sz w:val="21"/>
    </w:rPr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6" Type="http://schemas.openxmlformats.org/officeDocument/2006/relationships/hyperlink" Target="https://www.fedlex.admin.ch/eli/cc/1979/1961_1961_1961/it" TargetMode="External"/><Relationship Id="rId9" Type="http://schemas.openxmlformats.org/officeDocument/2006/relationships/hyperlink" Target="https://www.fedlex.admin.ch/eli/cc/1979/1961_1961_1961/de" TargetMode="External"/><Relationship Id="rId10" Type="http://schemas.openxmlformats.org/officeDocument/2006/relationships/hyperlink" Target="https://www.fedlex.admin.ch/eli/cc/1959/679_705_685/it" TargetMode="External"/><Relationship Id="rId11" Type="http://schemas.openxmlformats.org/officeDocument/2006/relationships/hyperlink" Target="https://www.fedlex.admin.ch/eli/cc/1962/1364_1409_1420/it" TargetMode="External"/><Relationship Id="rId12" Type="http://schemas.openxmlformats.org/officeDocument/2006/relationships/hyperlink" Target="https://www.astra.admin.ch/it/segnali" TargetMode="External"/><Relationship Id="rId13" Type="http://schemas.openxmlformats.org/officeDocument/2006/relationships/hyperlink" Target="https://www.edoeb.admin.ch/it/videosorveglianza-dello-spazio-pubblico-da-parte-di-privati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Garamond-regular.ttf"/><Relationship Id="rId4" Type="http://schemas.openxmlformats.org/officeDocument/2006/relationships/font" Target="fonts/Garamond-bold.ttf"/><Relationship Id="rId5" Type="http://schemas.openxmlformats.org/officeDocument/2006/relationships/font" Target="fonts/Garamond-italic.ttf"/><Relationship Id="rId6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Sem.01 Report 1.1 Matrice regole e norme svizzere</dc:title>
  <cp:lastModifiedBy>python-docx</cp:lastModifiedBy>
  <cp:revision>1</cp:revision>
  <dcterms:modified xsi:type="dcterms:W3CDTF">2026-09-05T21:32:02Z</dcterms:modified>
  <dc:creator>Progetto Sem.01</dc:creator>
</cp:coreProperties>
</file>