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681A" w14:textId="2ADA16A5" w:rsidR="009B05D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BA37DA1" w14:textId="6F9BD1EA" w:rsidR="0027353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735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</w:p>
    <w:p w14:paraId="47D0DF90" w14:textId="43E2DEF8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в любой среде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73532">
        <w:rPr>
          <w:rFonts w:ascii="Times New Roman" w:hAnsi="Times New Roman" w:cs="Times New Roman"/>
          <w:sz w:val="28"/>
          <w:szCs w:val="28"/>
        </w:rPr>
        <w:t>0.</w:t>
      </w:r>
    </w:p>
    <w:p w14:paraId="7190B3D2" w14:textId="5A738934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  <w:r w:rsidRPr="006C43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Услуги технического обслуживания транспорта</w:t>
      </w:r>
    </w:p>
    <w:p w14:paraId="1D638502" w14:textId="085E308F" w:rsidR="00273532" w:rsidRDefault="00273532" w:rsidP="002735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079824B" w14:textId="46C54E66" w:rsidR="006C4390" w:rsidRDefault="006C4390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контекстной диаграммы необходимо указать входы, выходы, регламентирующие документы и ресурсы процесса. Входами в данном случае будут являться транспортные средства и их владельцы. Выходами же будут являться обслуженные ТС и отчеты о работе. Регламентировать данный процесс будут технические стандарты и реквизиты, а также руководства по эксплуатации. Ресурсами процесса является персонал, осуществляющий работы, и оборудование, с помощью которого персонал осуществляет работу.</w:t>
      </w:r>
    </w:p>
    <w:p w14:paraId="1A5D8CC1" w14:textId="47CD3682" w:rsidR="006C4390" w:rsidRPr="006C4390" w:rsidRDefault="006C4390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контексной диаграммы для процесса</w:t>
      </w:r>
      <w:r w:rsidRPr="006C439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Услуги технического обслуживания транспорта</w:t>
      </w:r>
      <w:r w:rsidRPr="006C43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1</w:t>
      </w:r>
      <w:r w:rsidRPr="006C4390">
        <w:rPr>
          <w:rFonts w:ascii="Times New Roman" w:hAnsi="Times New Roman" w:cs="Times New Roman"/>
          <w:sz w:val="28"/>
          <w:szCs w:val="28"/>
        </w:rPr>
        <w:t>:</w:t>
      </w:r>
    </w:p>
    <w:p w14:paraId="4DE6E84B" w14:textId="46AB30D5" w:rsidR="00273532" w:rsidRDefault="00273532" w:rsidP="0027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40249" wp14:editId="474895E4">
            <wp:extent cx="4706007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2F86" w14:textId="5729A0B3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>Рисунок 1 – контекстная диаграмма</w:t>
      </w:r>
    </w:p>
    <w:p w14:paraId="7306D9C0" w14:textId="68DC9C13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C7285" w14:textId="5FA24E8D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C6956" w14:textId="2151FA96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70729" w14:textId="35EC78E9" w:rsidR="006C4390" w:rsidRPr="006C4390" w:rsidRDefault="006C4390" w:rsidP="006C4390">
      <w:pPr>
        <w:jc w:val="both"/>
        <w:rPr>
          <w:rFonts w:ascii="Times New Roman" w:hAnsi="Times New Roman" w:cs="Times New Roman"/>
          <w:sz w:val="28"/>
          <w:szCs w:val="28"/>
        </w:rPr>
      </w:pPr>
      <w:r w:rsidRPr="006C4390">
        <w:rPr>
          <w:rFonts w:ascii="Times New Roman" w:hAnsi="Times New Roman" w:cs="Times New Roman"/>
          <w:sz w:val="28"/>
          <w:szCs w:val="28"/>
        </w:rPr>
        <w:lastRenderedPageBreak/>
        <w:t xml:space="preserve">Для разбиения процесса на детальные составляющие используется диаграмма декомпозиции. С помощью этой диаграммы мы можем понять из каких этапов состоит процесс, рассматриваемый в контекстной диаграмме, а именно из общей диагностики, регулировки систем и замены деталей и технических жидкостей. </w:t>
      </w:r>
    </w:p>
    <w:p w14:paraId="7071C1ED" w14:textId="68E601E2" w:rsidR="006C4390" w:rsidRPr="006C4390" w:rsidRDefault="006C4390" w:rsidP="006C4390">
      <w:pPr>
        <w:jc w:val="both"/>
        <w:rPr>
          <w:rFonts w:ascii="Times New Roman" w:hAnsi="Times New Roman" w:cs="Times New Roman"/>
          <w:sz w:val="28"/>
          <w:szCs w:val="28"/>
        </w:rPr>
      </w:pPr>
      <w:r w:rsidRPr="006C4390">
        <w:rPr>
          <w:rFonts w:ascii="Times New Roman" w:hAnsi="Times New Roman" w:cs="Times New Roman"/>
          <w:sz w:val="28"/>
          <w:szCs w:val="28"/>
        </w:rPr>
        <w:t xml:space="preserve">Пример диаграммы декомпозиции </w:t>
      </w:r>
      <w:r w:rsidRPr="006C4390">
        <w:rPr>
          <w:rFonts w:ascii="Times New Roman" w:hAnsi="Times New Roman" w:cs="Times New Roman"/>
          <w:sz w:val="28"/>
          <w:szCs w:val="28"/>
        </w:rPr>
        <w:t xml:space="preserve">для процесса “Услуги технического обслуживания транспорта” приведен на рисунке </w:t>
      </w:r>
      <w:r w:rsidRPr="006C4390">
        <w:rPr>
          <w:rFonts w:ascii="Times New Roman" w:hAnsi="Times New Roman" w:cs="Times New Roman"/>
          <w:sz w:val="28"/>
          <w:szCs w:val="28"/>
        </w:rPr>
        <w:t>2</w:t>
      </w:r>
      <w:r w:rsidRPr="006C4390">
        <w:rPr>
          <w:rFonts w:ascii="Times New Roman" w:hAnsi="Times New Roman" w:cs="Times New Roman"/>
          <w:sz w:val="28"/>
          <w:szCs w:val="28"/>
        </w:rPr>
        <w:t>:</w:t>
      </w:r>
    </w:p>
    <w:p w14:paraId="4A3D9D53" w14:textId="26B1074C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46543" wp14:editId="270D4BFD">
            <wp:extent cx="5940425" cy="3880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C0E" w14:textId="2BA2763E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5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73532">
        <w:rPr>
          <w:rFonts w:ascii="Times New Roman" w:hAnsi="Times New Roman" w:cs="Times New Roman"/>
          <w:sz w:val="24"/>
          <w:szCs w:val="24"/>
        </w:rPr>
        <w:t>иаграмма</w:t>
      </w:r>
      <w:r>
        <w:rPr>
          <w:rFonts w:ascii="Times New Roman" w:hAnsi="Times New Roman" w:cs="Times New Roman"/>
          <w:sz w:val="24"/>
          <w:szCs w:val="24"/>
        </w:rPr>
        <w:t xml:space="preserve"> декомпозиции</w:t>
      </w:r>
    </w:p>
    <w:p w14:paraId="71813245" w14:textId="77777777" w:rsidR="00273532" w:rsidRP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73532" w:rsidRPr="00273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2"/>
    <w:rsid w:val="00273532"/>
    <w:rsid w:val="006C4390"/>
    <w:rsid w:val="009B05D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A804"/>
  <w15:chartTrackingRefBased/>
  <w15:docId w15:val="{9654FA74-CC08-49D3-96D2-A8831A52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2024-03-12T08:03:00Z</dcterms:created>
  <dcterms:modified xsi:type="dcterms:W3CDTF">2024-03-12T08:24:00Z</dcterms:modified>
</cp:coreProperties>
</file>