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B1220"/>
          <w:sz w:val="56"/>
          <w:szCs w:val="56"/>
        </w:rPr>
        <w:t xml:space="preserve">GLOBAL DEAL FINDER</w:t>
      </w:r>
    </w:p>
    <w:p>
      <w:pPr>
        <w:spacing w:after="100"/>
      </w:pPr>
      <w:r>
        <w:rPr>
          <w:i/>
          <w:iCs/>
          <w:color w:val="555555"/>
          <w:sz w:val="24"/>
          <w:szCs w:val="24"/>
        </w:rPr>
        <w:t xml:space="preserve">Full Build Roadmap — v2 (All Features Merged) + Premium UI/UX Direction</w:t>
      </w:r>
    </w:p>
    <w:p>
      <w:pPr>
        <w:spacing w:after="400"/>
      </w:pPr>
      <w:r>
        <w:rPr>
          <w:color w:val="2F6F62"/>
          <w:sz w:val="20"/>
          <w:szCs w:val="20"/>
        </w:rPr>
        <w:t xml:space="preserve">Zero-cost stack throughout — every phase below runs on free tiers.</w:t>
      </w:r>
    </w:p>
    <w:p>
      <w:pPr>
        <w:pStyle w:val="Heading2"/>
        <w:spacing w:after="150" w:before="300"/>
      </w:pPr>
      <w:r>
        <w:t xml:space="preserve">What changed in this version</w:t>
      </w:r>
    </w:p>
    <w:p>
      <w:pPr>
        <w:spacing w:after="120"/>
      </w:pPr>
      <w:r>
        <w:t xml:space="preserve">This version folds in every feature discussed — alerts, cart comparison, total cost of ownership, resale value, a browser extension, and a public trust dashboard — without disturbing the core sequencing logic of the original plan. Four features were light enough to fold directly into their natural existing phase (Phases 3, 4, 5, 8). Seven needed genuinely new phases, added after the point in the build where their dependencies exist. The result is Phases 0–17.</w:t>
      </w:r>
    </w:p>
    <w:p>
      <w:pPr>
        <w:spacing w:after="120"/>
      </w:pPr>
      <w:r>
        <w:t xml:space="preserve">A dedicated design phase (Phase 8) has also been rewritten from a generic 'build the frontend' phase into a full premium visual identity brief, so the product looks and feels like nothing else in the AI-tool-building wave — while every recommended tool remains free.</w:t>
      </w:r>
    </w:p>
    <w:p>
      <w:pPr>
        <w:pStyle w:val="Heading2"/>
        <w:spacing w:after="150" w:before="300"/>
      </w:pPr>
      <w:r>
        <w:t xml:space="preserve">Full phase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1220" w:val="clear"/>
            <w:tcMar>
              <w:top w:type="dxa" w:w="100"/>
              <w:left w:type="dxa" w:w="120"/>
              <w:bottom w:type="dxa" w:w="100"/>
              <w:right w:type="dxa" w:w="120"/>
            </w:tcMar>
          </w:tcPr>
          <w:p>
            <w:r>
              <w:rPr>
                <w:b/>
                <w:bCs/>
                <w:color w:val="FFFFFF"/>
                <w:sz w:val="20"/>
                <w:szCs w:val="20"/>
              </w:rPr>
              <w:t xml:space="preserve">Phase</w:t>
            </w:r>
          </w:p>
        </w:tc>
        <w:tc>
          <w:tcPr>
            <w:shd w:fill="0B1220" w:val="clear"/>
            <w:tcMar>
              <w:top w:type="dxa" w:w="100"/>
              <w:left w:type="dxa" w:w="120"/>
              <w:bottom w:type="dxa" w:w="100"/>
              <w:right w:type="dxa" w:w="120"/>
            </w:tcMar>
          </w:tcPr>
          <w:p>
            <w:r>
              <w:rPr>
                <w:b/>
                <w:bCs/>
                <w:color w:val="FFFFFF"/>
                <w:sz w:val="20"/>
                <w:szCs w:val="20"/>
              </w:rPr>
              <w:t xml:space="preserve">Name</w:t>
            </w:r>
          </w:p>
        </w:tc>
        <w:tc>
          <w:tcPr>
            <w:shd w:fill="0B1220" w:val="clear"/>
            <w:tcMar>
              <w:top w:type="dxa" w:w="100"/>
              <w:left w:type="dxa" w:w="120"/>
              <w:bottom w:type="dxa" w:w="100"/>
              <w:right w:type="dxa" w:w="120"/>
            </w:tcMar>
          </w:tcPr>
          <w:p>
            <w:r>
              <w:rPr>
                <w:b/>
                <w:bCs/>
                <w:color w:val="FFFFFF"/>
                <w:sz w:val="20"/>
                <w:szCs w:val="20"/>
              </w:rPr>
              <w:t xml:space="preserve">Status</w:t>
            </w:r>
          </w:p>
        </w:tc>
      </w:tr>
      <w:tr>
        <w:tc>
          <w:tcPr>
            <w:tcMar>
              <w:top w:type="dxa" w:w="100"/>
              <w:left w:type="dxa" w:w="120"/>
              <w:bottom w:type="dxa" w:w="100"/>
              <w:right w:type="dxa" w:w="120"/>
            </w:tcMar>
          </w:tcPr>
          <w:p>
            <w:r>
              <w:rPr>
                <w:sz w:val="20"/>
                <w:szCs w:val="20"/>
              </w:rPr>
              <w:t xml:space="preserve">0</w:t>
            </w:r>
          </w:p>
        </w:tc>
        <w:tc>
          <w:tcPr>
            <w:tcMar>
              <w:top w:type="dxa" w:w="100"/>
              <w:left w:type="dxa" w:w="120"/>
              <w:bottom w:type="dxa" w:w="100"/>
              <w:right w:type="dxa" w:w="120"/>
            </w:tcMar>
          </w:tcPr>
          <w:p>
            <w:r>
              <w:rPr>
                <w:sz w:val="20"/>
                <w:szCs w:val="20"/>
              </w:rPr>
              <w:t xml:space="preserve">Foundations</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1</w:t>
            </w:r>
          </w:p>
        </w:tc>
        <w:tc>
          <w:tcPr>
            <w:tcMar>
              <w:top w:type="dxa" w:w="100"/>
              <w:left w:type="dxa" w:w="120"/>
              <w:bottom w:type="dxa" w:w="100"/>
              <w:right w:type="dxa" w:w="120"/>
            </w:tcMar>
          </w:tcPr>
          <w:p>
            <w:r>
              <w:rPr>
                <w:sz w:val="20"/>
                <w:szCs w:val="20"/>
              </w:rPr>
              <w:t xml:space="preserve">Intent Parsing</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2</w:t>
            </w:r>
          </w:p>
        </w:tc>
        <w:tc>
          <w:tcPr>
            <w:tcMar>
              <w:top w:type="dxa" w:w="100"/>
              <w:left w:type="dxa" w:w="120"/>
              <w:bottom w:type="dxa" w:w="100"/>
              <w:right w:type="dxa" w:w="120"/>
            </w:tcMar>
          </w:tcPr>
          <w:p>
            <w:r>
              <w:rPr>
                <w:sz w:val="20"/>
                <w:szCs w:val="20"/>
              </w:rPr>
              <w:t xml:space="preserve">Global Price Search Engine</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3</w:t>
            </w:r>
          </w:p>
        </w:tc>
        <w:tc>
          <w:tcPr>
            <w:tcMar>
              <w:top w:type="dxa" w:w="100"/>
              <w:left w:type="dxa" w:w="120"/>
              <w:bottom w:type="dxa" w:w="100"/>
              <w:right w:type="dxa" w:w="120"/>
            </w:tcMar>
          </w:tcPr>
          <w:p>
            <w:r>
              <w:rPr>
                <w:sz w:val="20"/>
                <w:szCs w:val="20"/>
              </w:rPr>
              <w:t xml:space="preserve">True Cost Calculator</w:t>
            </w:r>
          </w:p>
        </w:tc>
        <w:tc>
          <w:tcPr>
            <w:tcMar>
              <w:top w:type="dxa" w:w="100"/>
              <w:left w:type="dxa" w:w="120"/>
              <w:bottom w:type="dxa" w:w="100"/>
              <w:right w:type="dxa" w:w="120"/>
            </w:tcMar>
          </w:tcPr>
          <w:p>
            <w:r>
              <w:rPr>
                <w:sz w:val="20"/>
                <w:szCs w:val="20"/>
              </w:rPr>
              <w:t xml:space="preserve">Original + bulk-import threshold check</w:t>
            </w:r>
          </w:p>
        </w:tc>
      </w:tr>
      <w:tr>
        <w:tc>
          <w:tcPr>
            <w:tcMar>
              <w:top w:type="dxa" w:w="100"/>
              <w:left w:type="dxa" w:w="120"/>
              <w:bottom w:type="dxa" w:w="100"/>
              <w:right w:type="dxa" w:w="120"/>
            </w:tcMar>
          </w:tcPr>
          <w:p>
            <w:r>
              <w:rPr>
                <w:sz w:val="20"/>
                <w:szCs w:val="20"/>
              </w:rPr>
              <w:t xml:space="preserve">4</w:t>
            </w:r>
          </w:p>
        </w:tc>
        <w:tc>
          <w:tcPr>
            <w:tcMar>
              <w:top w:type="dxa" w:w="100"/>
              <w:left w:type="dxa" w:w="120"/>
              <w:bottom w:type="dxa" w:w="100"/>
              <w:right w:type="dxa" w:w="120"/>
            </w:tcMar>
          </w:tcPr>
          <w:p>
            <w:r>
              <w:rPr>
                <w:sz w:val="20"/>
                <w:szCs w:val="20"/>
              </w:rPr>
              <w:t xml:space="preserve">Card, Bank Offer &amp; Coupon Layer</w:t>
            </w:r>
          </w:p>
        </w:tc>
        <w:tc>
          <w:tcPr>
            <w:tcMar>
              <w:top w:type="dxa" w:w="100"/>
              <w:left w:type="dxa" w:w="120"/>
              <w:bottom w:type="dxa" w:w="100"/>
              <w:right w:type="dxa" w:w="120"/>
            </w:tcMar>
          </w:tcPr>
          <w:p>
            <w:r>
              <w:rPr>
                <w:sz w:val="20"/>
                <w:szCs w:val="20"/>
              </w:rPr>
              <w:t xml:space="preserve">Original + EMI/cashback normalizer</w:t>
            </w:r>
          </w:p>
        </w:tc>
      </w:tr>
      <w:tr>
        <w:tc>
          <w:tcPr>
            <w:tcMar>
              <w:top w:type="dxa" w:w="100"/>
              <w:left w:type="dxa" w:w="120"/>
              <w:bottom w:type="dxa" w:w="100"/>
              <w:right w:type="dxa" w:w="120"/>
            </w:tcMar>
          </w:tcPr>
          <w:p>
            <w:r>
              <w:rPr>
                <w:sz w:val="20"/>
                <w:szCs w:val="20"/>
              </w:rPr>
              <w:t xml:space="preserve">5</w:t>
            </w:r>
          </w:p>
        </w:tc>
        <w:tc>
          <w:tcPr>
            <w:tcMar>
              <w:top w:type="dxa" w:w="100"/>
              <w:left w:type="dxa" w:w="120"/>
              <w:bottom w:type="dxa" w:w="100"/>
              <w:right w:type="dxa" w:w="120"/>
            </w:tcMar>
          </w:tcPr>
          <w:p>
            <w:r>
              <w:rPr>
                <w:sz w:val="20"/>
                <w:szCs w:val="20"/>
              </w:rPr>
              <w:t xml:space="preserve">Timing Advisor</w:t>
            </w:r>
          </w:p>
        </w:tc>
        <w:tc>
          <w:tcPr>
            <w:tcMar>
              <w:top w:type="dxa" w:w="100"/>
              <w:left w:type="dxa" w:w="120"/>
              <w:bottom w:type="dxa" w:w="100"/>
              <w:right w:type="dxa" w:w="120"/>
            </w:tcMar>
          </w:tcPr>
          <w:p>
            <w:r>
              <w:rPr>
                <w:sz w:val="20"/>
                <w:szCs w:val="20"/>
              </w:rPr>
              <w:t xml:space="preserve">Original + currency risk flag</w:t>
            </w:r>
          </w:p>
        </w:tc>
      </w:tr>
      <w:tr>
        <w:tc>
          <w:tcPr>
            <w:tcMar>
              <w:top w:type="dxa" w:w="100"/>
              <w:left w:type="dxa" w:w="120"/>
              <w:bottom w:type="dxa" w:w="100"/>
              <w:right w:type="dxa" w:w="120"/>
            </w:tcMar>
          </w:tcPr>
          <w:p>
            <w:r>
              <w:rPr>
                <w:sz w:val="20"/>
                <w:szCs w:val="20"/>
              </w:rPr>
              <w:t xml:space="preserve">6</w:t>
            </w:r>
          </w:p>
        </w:tc>
        <w:tc>
          <w:tcPr>
            <w:tcMar>
              <w:top w:type="dxa" w:w="100"/>
              <w:left w:type="dxa" w:w="120"/>
              <w:bottom w:type="dxa" w:w="100"/>
              <w:right w:type="dxa" w:w="120"/>
            </w:tcMar>
          </w:tcPr>
          <w:p>
            <w:r>
              <w:rPr>
                <w:sz w:val="20"/>
                <w:szCs w:val="20"/>
              </w:rPr>
              <w:t xml:space="preserve">Comparison Engine</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7</w:t>
            </w:r>
          </w:p>
        </w:tc>
        <w:tc>
          <w:tcPr>
            <w:tcMar>
              <w:top w:type="dxa" w:w="100"/>
              <w:left w:type="dxa" w:w="120"/>
              <w:bottom w:type="dxa" w:w="100"/>
              <w:right w:type="dxa" w:w="120"/>
            </w:tcMar>
          </w:tcPr>
          <w:p>
            <w:r>
              <w:rPr>
                <w:sz w:val="20"/>
                <w:szCs w:val="20"/>
              </w:rPr>
              <w:t xml:space="preserve">Roadmap Generation</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8</w:t>
            </w:r>
          </w:p>
        </w:tc>
        <w:tc>
          <w:tcPr>
            <w:tcMar>
              <w:top w:type="dxa" w:w="100"/>
              <w:left w:type="dxa" w:w="120"/>
              <w:bottom w:type="dxa" w:w="100"/>
              <w:right w:type="dxa" w:w="120"/>
            </w:tcMar>
          </w:tcPr>
          <w:p>
            <w:r>
              <w:rPr>
                <w:sz w:val="20"/>
                <w:szCs w:val="20"/>
              </w:rPr>
              <w:t xml:space="preserve">Premium Frontend &amp; Design System</w:t>
            </w:r>
          </w:p>
        </w:tc>
        <w:tc>
          <w:tcPr>
            <w:tcMar>
              <w:top w:type="dxa" w:w="100"/>
              <w:left w:type="dxa" w:w="120"/>
              <w:bottom w:type="dxa" w:w="100"/>
              <w:right w:type="dxa" w:w="120"/>
            </w:tcMar>
          </w:tcPr>
          <w:p>
            <w:r>
              <w:rPr>
                <w:sz w:val="20"/>
                <w:szCs w:val="20"/>
              </w:rPr>
              <w:t xml:space="preserve">Rewritten — freshness badges + full visual identity</w:t>
            </w:r>
          </w:p>
        </w:tc>
      </w:tr>
      <w:tr>
        <w:tc>
          <w:tcPr>
            <w:tcMar>
              <w:top w:type="dxa" w:w="100"/>
              <w:left w:type="dxa" w:w="120"/>
              <w:bottom w:type="dxa" w:w="100"/>
              <w:right w:type="dxa" w:w="120"/>
            </w:tcMar>
          </w:tcPr>
          <w:p>
            <w:r>
              <w:rPr>
                <w:sz w:val="20"/>
                <w:szCs w:val="20"/>
              </w:rPr>
              <w:t xml:space="preserve">9</w:t>
            </w:r>
          </w:p>
        </w:tc>
        <w:tc>
          <w:tcPr>
            <w:tcMar>
              <w:top w:type="dxa" w:w="100"/>
              <w:left w:type="dxa" w:w="120"/>
              <w:bottom w:type="dxa" w:w="100"/>
              <w:right w:type="dxa" w:w="120"/>
            </w:tcMar>
          </w:tcPr>
          <w:p>
            <w:r>
              <w:rPr>
                <w:sz w:val="20"/>
                <w:szCs w:val="20"/>
              </w:rPr>
              <w:t xml:space="preserve">Real Testing &amp; Trust Hardening</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10</w:t>
            </w:r>
          </w:p>
        </w:tc>
        <w:tc>
          <w:tcPr>
            <w:tcMar>
              <w:top w:type="dxa" w:w="100"/>
              <w:left w:type="dxa" w:w="120"/>
              <w:bottom w:type="dxa" w:w="100"/>
              <w:right w:type="dxa" w:w="120"/>
            </w:tcMar>
          </w:tcPr>
          <w:p>
            <w:r>
              <w:rPr>
                <w:sz w:val="20"/>
                <w:szCs w:val="20"/>
              </w:rPr>
              <w:t xml:space="preserve">Packaging It to Sell</w:t>
            </w:r>
          </w:p>
        </w:tc>
        <w:tc>
          <w:tcPr>
            <w:tcMar>
              <w:top w:type="dxa" w:w="100"/>
              <w:left w:type="dxa" w:w="120"/>
              <w:bottom w:type="dxa" w:w="100"/>
              <w:right w:type="dxa" w:w="120"/>
            </w:tcMar>
          </w:tcPr>
          <w:p>
            <w:r>
              <w:rPr>
                <w:sz w:val="20"/>
                <w:szCs w:val="20"/>
              </w:rPr>
              <w:t xml:space="preserve">Original</w:t>
            </w:r>
          </w:p>
        </w:tc>
      </w:tr>
      <w:tr>
        <w:tc>
          <w:tcPr>
            <w:tcMar>
              <w:top w:type="dxa" w:w="100"/>
              <w:left w:type="dxa" w:w="120"/>
              <w:bottom w:type="dxa" w:w="100"/>
              <w:right w:type="dxa" w:w="120"/>
            </w:tcMar>
          </w:tcPr>
          <w:p>
            <w:r>
              <w:rPr>
                <w:sz w:val="20"/>
                <w:szCs w:val="20"/>
              </w:rPr>
              <w:t xml:space="preserve">11</w:t>
            </w:r>
          </w:p>
        </w:tc>
        <w:tc>
          <w:tcPr>
            <w:tcMar>
              <w:top w:type="dxa" w:w="100"/>
              <w:left w:type="dxa" w:w="120"/>
              <w:bottom w:type="dxa" w:w="100"/>
              <w:right w:type="dxa" w:w="120"/>
            </w:tcMar>
          </w:tcPr>
          <w:p>
            <w:r>
              <w:rPr>
                <w:sz w:val="20"/>
                <w:szCs w:val="20"/>
              </w:rPr>
              <w:t xml:space="preserve">Price-Drop Alerts &amp; Watchlist</w:t>
            </w:r>
          </w:p>
        </w:tc>
        <w:tc>
          <w:tcPr>
            <w:tcMar>
              <w:top w:type="dxa" w:w="100"/>
              <w:left w:type="dxa" w:w="120"/>
              <w:bottom w:type="dxa" w:w="100"/>
              <w:right w:type="dxa" w:w="120"/>
            </w:tcMar>
          </w:tcPr>
          <w:p>
            <w:r>
              <w:rPr>
                <w:sz w:val="20"/>
                <w:szCs w:val="20"/>
              </w:rPr>
              <w:t xml:space="preserve">New</w:t>
            </w:r>
          </w:p>
        </w:tc>
      </w:tr>
      <w:tr>
        <w:tc>
          <w:tcPr>
            <w:tcMar>
              <w:top w:type="dxa" w:w="100"/>
              <w:left w:type="dxa" w:w="120"/>
              <w:bottom w:type="dxa" w:w="100"/>
              <w:right w:type="dxa" w:w="120"/>
            </w:tcMar>
          </w:tcPr>
          <w:p>
            <w:r>
              <w:rPr>
                <w:sz w:val="20"/>
                <w:szCs w:val="20"/>
              </w:rPr>
              <w:t xml:space="preserve">12</w:t>
            </w:r>
          </w:p>
        </w:tc>
        <w:tc>
          <w:tcPr>
            <w:tcMar>
              <w:top w:type="dxa" w:w="100"/>
              <w:left w:type="dxa" w:w="120"/>
              <w:bottom w:type="dxa" w:w="100"/>
              <w:right w:type="dxa" w:w="120"/>
            </w:tcMar>
          </w:tcPr>
          <w:p>
            <w:r>
              <w:rPr>
                <w:sz w:val="20"/>
                <w:szCs w:val="20"/>
              </w:rPr>
              <w:t xml:space="preserve">Multi-Item / Cart Comparison</w:t>
            </w:r>
          </w:p>
        </w:tc>
        <w:tc>
          <w:tcPr>
            <w:tcMar>
              <w:top w:type="dxa" w:w="100"/>
              <w:left w:type="dxa" w:w="120"/>
              <w:bottom w:type="dxa" w:w="100"/>
              <w:right w:type="dxa" w:w="120"/>
            </w:tcMar>
          </w:tcPr>
          <w:p>
            <w:r>
              <w:rPr>
                <w:sz w:val="20"/>
                <w:szCs w:val="20"/>
              </w:rPr>
              <w:t xml:space="preserve">New</w:t>
            </w:r>
          </w:p>
        </w:tc>
      </w:tr>
      <w:tr>
        <w:tc>
          <w:tcPr>
            <w:tcMar>
              <w:top w:type="dxa" w:w="100"/>
              <w:left w:type="dxa" w:w="120"/>
              <w:bottom w:type="dxa" w:w="100"/>
              <w:right w:type="dxa" w:w="120"/>
            </w:tcMar>
          </w:tcPr>
          <w:p>
            <w:r>
              <w:rPr>
                <w:sz w:val="20"/>
                <w:szCs w:val="20"/>
              </w:rPr>
              <w:t xml:space="preserve">13</w:t>
            </w:r>
          </w:p>
        </w:tc>
        <w:tc>
          <w:tcPr>
            <w:tcMar>
              <w:top w:type="dxa" w:w="100"/>
              <w:left w:type="dxa" w:w="120"/>
              <w:bottom w:type="dxa" w:w="100"/>
              <w:right w:type="dxa" w:w="120"/>
            </w:tcMar>
          </w:tcPr>
          <w:p>
            <w:r>
              <w:rPr>
                <w:sz w:val="20"/>
                <w:szCs w:val="20"/>
              </w:rPr>
              <w:t xml:space="preserve">Total Cost of Ownership</w:t>
            </w:r>
          </w:p>
        </w:tc>
        <w:tc>
          <w:tcPr>
            <w:tcMar>
              <w:top w:type="dxa" w:w="100"/>
              <w:left w:type="dxa" w:w="120"/>
              <w:bottom w:type="dxa" w:w="100"/>
              <w:right w:type="dxa" w:w="120"/>
            </w:tcMar>
          </w:tcPr>
          <w:p>
            <w:r>
              <w:rPr>
                <w:sz w:val="20"/>
                <w:szCs w:val="20"/>
              </w:rPr>
              <w:t xml:space="preserve">New</w:t>
            </w:r>
          </w:p>
        </w:tc>
      </w:tr>
      <w:tr>
        <w:tc>
          <w:tcPr>
            <w:tcMar>
              <w:top w:type="dxa" w:w="100"/>
              <w:left w:type="dxa" w:w="120"/>
              <w:bottom w:type="dxa" w:w="100"/>
              <w:right w:type="dxa" w:w="120"/>
            </w:tcMar>
          </w:tcPr>
          <w:p>
            <w:r>
              <w:rPr>
                <w:sz w:val="20"/>
                <w:szCs w:val="20"/>
              </w:rPr>
              <w:t xml:space="preserve">14</w:t>
            </w:r>
          </w:p>
        </w:tc>
        <w:tc>
          <w:tcPr>
            <w:tcMar>
              <w:top w:type="dxa" w:w="100"/>
              <w:left w:type="dxa" w:w="120"/>
              <w:bottom w:type="dxa" w:w="100"/>
              <w:right w:type="dxa" w:w="120"/>
            </w:tcMar>
          </w:tcPr>
          <w:p>
            <w:r>
              <w:rPr>
                <w:sz w:val="20"/>
                <w:szCs w:val="20"/>
              </w:rPr>
              <w:t xml:space="preserve">Alternative / Substitute Suggestions</w:t>
            </w:r>
          </w:p>
        </w:tc>
        <w:tc>
          <w:tcPr>
            <w:tcMar>
              <w:top w:type="dxa" w:w="100"/>
              <w:left w:type="dxa" w:w="120"/>
              <w:bottom w:type="dxa" w:w="100"/>
              <w:right w:type="dxa" w:w="120"/>
            </w:tcMar>
          </w:tcPr>
          <w:p>
            <w:r>
              <w:rPr>
                <w:sz w:val="20"/>
                <w:szCs w:val="20"/>
              </w:rPr>
              <w:t xml:space="preserve">New</w:t>
            </w:r>
          </w:p>
        </w:tc>
      </w:tr>
      <w:tr>
        <w:tc>
          <w:tcPr>
            <w:tcMar>
              <w:top w:type="dxa" w:w="100"/>
              <w:left w:type="dxa" w:w="120"/>
              <w:bottom w:type="dxa" w:w="100"/>
              <w:right w:type="dxa" w:w="120"/>
            </w:tcMar>
          </w:tcPr>
          <w:p>
            <w:r>
              <w:rPr>
                <w:sz w:val="20"/>
                <w:szCs w:val="20"/>
              </w:rPr>
              <w:t xml:space="preserve">15</w:t>
            </w:r>
          </w:p>
        </w:tc>
        <w:tc>
          <w:tcPr>
            <w:tcMar>
              <w:top w:type="dxa" w:w="100"/>
              <w:left w:type="dxa" w:w="120"/>
              <w:bottom w:type="dxa" w:w="100"/>
              <w:right w:type="dxa" w:w="120"/>
            </w:tcMar>
          </w:tcPr>
          <w:p>
            <w:r>
              <w:rPr>
                <w:sz w:val="20"/>
                <w:szCs w:val="20"/>
              </w:rPr>
              <w:t xml:space="preserve">Resale Value Estimator</w:t>
            </w:r>
          </w:p>
        </w:tc>
        <w:tc>
          <w:tcPr>
            <w:tcMar>
              <w:top w:type="dxa" w:w="100"/>
              <w:left w:type="dxa" w:w="120"/>
              <w:bottom w:type="dxa" w:w="100"/>
              <w:right w:type="dxa" w:w="120"/>
            </w:tcMar>
          </w:tcPr>
          <w:p>
            <w:r>
              <w:rPr>
                <w:sz w:val="20"/>
                <w:szCs w:val="20"/>
              </w:rPr>
              <w:t xml:space="preserve">New</w:t>
            </w:r>
          </w:p>
        </w:tc>
      </w:tr>
      <w:tr>
        <w:tc>
          <w:tcPr>
            <w:tcMar>
              <w:top w:type="dxa" w:w="100"/>
              <w:left w:type="dxa" w:w="120"/>
              <w:bottom w:type="dxa" w:w="100"/>
              <w:right w:type="dxa" w:w="120"/>
            </w:tcMar>
          </w:tcPr>
          <w:p>
            <w:r>
              <w:rPr>
                <w:sz w:val="20"/>
                <w:szCs w:val="20"/>
              </w:rPr>
              <w:t xml:space="preserve">16</w:t>
            </w:r>
          </w:p>
        </w:tc>
        <w:tc>
          <w:tcPr>
            <w:tcMar>
              <w:top w:type="dxa" w:w="100"/>
              <w:left w:type="dxa" w:w="120"/>
              <w:bottom w:type="dxa" w:w="100"/>
              <w:right w:type="dxa" w:w="120"/>
            </w:tcMar>
          </w:tcPr>
          <w:p>
            <w:r>
              <w:rPr>
                <w:sz w:val="20"/>
                <w:szCs w:val="20"/>
              </w:rPr>
              <w:t xml:space="preserve">Browser Extension / Embeddable Widget</w:t>
            </w:r>
          </w:p>
        </w:tc>
        <w:tc>
          <w:tcPr>
            <w:tcMar>
              <w:top w:type="dxa" w:w="100"/>
              <w:left w:type="dxa" w:w="120"/>
              <w:bottom w:type="dxa" w:w="100"/>
              <w:right w:type="dxa" w:w="120"/>
            </w:tcMar>
          </w:tcPr>
          <w:p>
            <w:r>
              <w:rPr>
                <w:sz w:val="20"/>
                <w:szCs w:val="20"/>
              </w:rPr>
              <w:t xml:space="preserve">New (pulled forward)</w:t>
            </w:r>
          </w:p>
        </w:tc>
      </w:tr>
      <w:tr>
        <w:tc>
          <w:tcPr>
            <w:tcMar>
              <w:top w:type="dxa" w:w="100"/>
              <w:left w:type="dxa" w:w="120"/>
              <w:bottom w:type="dxa" w:w="100"/>
              <w:right w:type="dxa" w:w="120"/>
            </w:tcMar>
          </w:tcPr>
          <w:p>
            <w:r>
              <w:rPr>
                <w:sz w:val="20"/>
                <w:szCs w:val="20"/>
              </w:rPr>
              <w:t xml:space="preserve">17</w:t>
            </w:r>
          </w:p>
        </w:tc>
        <w:tc>
          <w:tcPr>
            <w:tcMar>
              <w:top w:type="dxa" w:w="100"/>
              <w:left w:type="dxa" w:w="120"/>
              <w:bottom w:type="dxa" w:w="100"/>
              <w:right w:type="dxa" w:w="120"/>
            </w:tcMar>
          </w:tcPr>
          <w:p>
            <w:r>
              <w:rPr>
                <w:sz w:val="20"/>
                <w:szCs w:val="20"/>
              </w:rPr>
              <w:t xml:space="preserve">Public Trust &amp; Accuracy Dashboard</w:t>
            </w:r>
          </w:p>
        </w:tc>
        <w:tc>
          <w:tcPr>
            <w:tcMar>
              <w:top w:type="dxa" w:w="100"/>
              <w:left w:type="dxa" w:w="120"/>
              <w:bottom w:type="dxa" w:w="100"/>
              <w:right w:type="dxa" w:w="120"/>
            </w:tcMar>
          </w:tcPr>
          <w:p>
            <w:r>
              <w:rPr>
                <w:sz w:val="20"/>
                <w:szCs w:val="20"/>
              </w:rPr>
              <w:t xml:space="preserve">New</w:t>
            </w:r>
          </w:p>
        </w:tc>
      </w:tr>
    </w:tbl>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0: Foundations</w:t>
            </w:r>
          </w:p>
          <w:p>
            <w:r>
              <w:rPr>
                <w:i/>
                <w:iCs/>
                <w:color w:val="555555"/>
                <w:sz w:val="20"/>
                <w:szCs w:val="20"/>
              </w:rPr>
              <w:t xml:space="preserve">Week 0</w:t>
            </w:r>
          </w:p>
        </w:tc>
      </w:tr>
    </w:tbl>
    <w:p>
      <w:pPr>
        <w:spacing w:after="120"/>
      </w:pPr>
      <w:r>
        <w:t xml:space="preserve"/>
      </w:r>
    </w:p>
    <w:p>
      <w:pPr>
        <w:pStyle w:val="Heading3"/>
        <w:spacing w:after="100" w:before="200"/>
      </w:pPr>
      <w:r>
        <w:t xml:space="preserve">What you're doing</w:t>
      </w:r>
    </w:p>
    <w:p>
      <w:pPr>
        <w:spacing w:after="120"/>
      </w:pPr>
      <w:r>
        <w:t xml:space="preserve">Getting every account, repo, and empty deployed shell in place on day one, so every later phase has somewhere real to plug into — no local-only prototypes.</w:t>
      </w:r>
    </w:p>
    <w:p>
      <w:pPr>
        <w:pStyle w:val="Heading3"/>
        <w:spacing w:after="100" w:before="200"/>
      </w:pPr>
      <w:r>
        <w:t xml:space="preserve">What to build</w:t>
      </w:r>
    </w:p>
    <w:p>
      <w:pPr>
        <w:pStyle w:val="ListParagraph"/>
        <w:numPr>
          <w:ilvl w:val="0"/>
          <w:numId w:val="2"/>
        </w:numPr>
        <w:spacing w:after="80"/>
      </w:pPr>
      <w:r>
        <w:t xml:space="preserve">Create free-tier accounts: Vercel (frontend), Render (backend), Supabase (database), Groq, Google AI Studio (Gemini), SerpAPI or Tavily.</w:t>
      </w:r>
    </w:p>
    <w:p>
      <w:pPr>
        <w:pStyle w:val="ListParagraph"/>
        <w:numPr>
          <w:ilvl w:val="0"/>
          <w:numId w:val="2"/>
        </w:numPr>
        <w:spacing w:after="80"/>
      </w:pPr>
      <w:r>
        <w:t xml:space="preserve">Scaffold a blank Next.js app, deploy it to Vercel so you have a live URL immediately.</w:t>
      </w:r>
    </w:p>
    <w:p>
      <w:pPr>
        <w:pStyle w:val="ListParagraph"/>
        <w:numPr>
          <w:ilvl w:val="0"/>
          <w:numId w:val="2"/>
        </w:numPr>
        <w:spacing w:after="80"/>
      </w:pPr>
      <w:r>
        <w:t xml:space="preserve">Scaffold a blank FastAPI app, deploy it to Render so you have a live API URL immediately.</w:t>
      </w:r>
    </w:p>
    <w:p>
      <w:pPr>
        <w:pStyle w:val="ListParagraph"/>
        <w:numPr>
          <w:ilvl w:val="0"/>
          <w:numId w:val="2"/>
        </w:numPr>
        <w:spacing w:after="80"/>
      </w:pPr>
      <w:r>
        <w:t xml:space="preserve">Connect Supabase and confirm a test table can be read from both frontend and backend.</w:t>
      </w:r>
    </w:p>
    <w:p>
      <w:pPr>
        <w:pStyle w:val="Heading3"/>
        <w:spacing w:after="100" w:before="200"/>
      </w:pPr>
      <w:r>
        <w:t xml:space="preserve">Phase 0 checklist</w:t>
      </w:r>
    </w:p>
    <w:p>
      <w:pPr>
        <w:pStyle w:val="ListParagraph"/>
        <w:numPr>
          <w:ilvl w:val="0"/>
          <w:numId w:val="3"/>
        </w:numPr>
        <w:spacing w:after="80"/>
      </w:pPr>
      <w:r>
        <w:t xml:space="preserve">All 6 free-tier accounts created</w:t>
      </w:r>
    </w:p>
    <w:p>
      <w:pPr>
        <w:pStyle w:val="ListParagraph"/>
        <w:numPr>
          <w:ilvl w:val="0"/>
          <w:numId w:val="3"/>
        </w:numPr>
        <w:spacing w:after="80"/>
      </w:pPr>
      <w:r>
        <w:t xml:space="preserve">Empty frontend live on a public Vercel URL</w:t>
      </w:r>
    </w:p>
    <w:p>
      <w:pPr>
        <w:pStyle w:val="ListParagraph"/>
        <w:numPr>
          <w:ilvl w:val="0"/>
          <w:numId w:val="3"/>
        </w:numPr>
        <w:spacing w:after="80"/>
      </w:pPr>
      <w:r>
        <w:t xml:space="preserve">Empty backend live on a public Render URL</w:t>
      </w:r>
    </w:p>
    <w:p>
      <w:pPr>
        <w:pStyle w:val="ListParagraph"/>
        <w:numPr>
          <w:ilvl w:val="0"/>
          <w:numId w:val="3"/>
        </w:numPr>
        <w:spacing w:after="80"/>
      </w:pPr>
      <w:r>
        <w:t xml:space="preserve">Supabase reachable from both</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 Intent Parsing</w:t>
            </w:r>
          </w:p>
          <w:p>
            <w:r>
              <w:rPr>
                <w:i/>
                <w:iCs/>
                <w:color w:val="555555"/>
                <w:sz w:val="20"/>
                <w:szCs w:val="20"/>
              </w:rPr>
              <w:t xml:space="preserve">Week 1</w:t>
            </w:r>
          </w:p>
        </w:tc>
      </w:tr>
    </w:tbl>
    <w:p>
      <w:pPr>
        <w:spacing w:after="120"/>
      </w:pPr>
      <w:r>
        <w:t xml:space="preserve"/>
      </w:r>
    </w:p>
    <w:p>
      <w:pPr>
        <w:pStyle w:val="Heading3"/>
        <w:spacing w:after="100" w:before="200"/>
      </w:pPr>
      <w:r>
        <w:t xml:space="preserve">What you're doing</w:t>
      </w:r>
    </w:p>
    <w:p>
      <w:pPr>
        <w:spacing w:after="120"/>
      </w:pPr>
      <w:r>
        <w:t xml:space="preserve">Turning messy free-text ('cheapest iPhone 16 Pro under 1.2 lakh, I'm flying to Dubai next month') into structured JSON — product, budget, currency, travel context — that every later phase can rely on.</w:t>
      </w:r>
    </w:p>
    <w:p>
      <w:pPr>
        <w:pStyle w:val="Heading3"/>
        <w:spacing w:after="100" w:before="200"/>
      </w:pPr>
      <w:r>
        <w:t xml:space="preserve">What to build</w:t>
      </w:r>
    </w:p>
    <w:p>
      <w:pPr>
        <w:pStyle w:val="ListParagraph"/>
        <w:numPr>
          <w:ilvl w:val="0"/>
          <w:numId w:val="2"/>
        </w:numPr>
        <w:spacing w:after="80"/>
      </w:pPr>
      <w:r>
        <w:t xml:space="preserve">Groq/Llama call with a strict system prompt: extract product, budget, currency, home country, any travel dates mentioned.</w:t>
      </w:r>
    </w:p>
    <w:p>
      <w:pPr>
        <w:pStyle w:val="ListParagraph"/>
        <w:numPr>
          <w:ilvl w:val="0"/>
          <w:numId w:val="2"/>
        </w:numPr>
        <w:spacing w:after="80"/>
      </w:pPr>
      <w:r>
        <w:t xml:space="preserve">Validate the model's output against a Pydantic (backend) / Zod (frontend) schema — reject and re-prompt on schema failure rather than passing bad data downstream.</w:t>
      </w:r>
    </w:p>
    <w:p>
      <w:pPr>
        <w:pStyle w:val="ListParagraph"/>
        <w:numPr>
          <w:ilvl w:val="0"/>
          <w:numId w:val="2"/>
        </w:numPr>
        <w:spacing w:after="80"/>
      </w:pPr>
      <w:r>
        <w:t xml:space="preserve">Store the parsed intent alongside the raw input, for later debugging and accuracy review.</w:t>
      </w:r>
    </w:p>
    <w:p>
      <w:pPr>
        <w:pStyle w:val="Heading3"/>
        <w:spacing w:after="100" w:before="200"/>
      </w:pPr>
      <w:r>
        <w:t xml:space="preserve">Phase 1 checklist</w:t>
      </w:r>
    </w:p>
    <w:p>
      <w:pPr>
        <w:pStyle w:val="ListParagraph"/>
        <w:numPr>
          <w:ilvl w:val="0"/>
          <w:numId w:val="3"/>
        </w:numPr>
        <w:spacing w:after="80"/>
      </w:pPr>
      <w:r>
        <w:t xml:space="preserve">Parser handles at least 20 varied real phrasing test cases correctly</w:t>
      </w:r>
    </w:p>
    <w:p>
      <w:pPr>
        <w:pStyle w:val="ListParagraph"/>
        <w:numPr>
          <w:ilvl w:val="0"/>
          <w:numId w:val="3"/>
        </w:numPr>
        <w:spacing w:after="80"/>
      </w:pPr>
      <w:r>
        <w:t xml:space="preserve">Schema validation rejects malformed model output instead of silently passing it on</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2: Global Price Search Engine</w:t>
            </w:r>
          </w:p>
          <w:p>
            <w:r>
              <w:rPr>
                <w:i/>
                <w:iCs/>
                <w:color w:val="555555"/>
                <w:sz w:val="20"/>
                <w:szCs w:val="20"/>
              </w:rPr>
              <w:t xml:space="preserve">Weeks 2–3</w:t>
            </w:r>
          </w:p>
        </w:tc>
      </w:tr>
    </w:tbl>
    <w:p>
      <w:pPr>
        <w:spacing w:after="120"/>
      </w:pPr>
      <w:r>
        <w:t xml:space="preserve"/>
      </w:r>
    </w:p>
    <w:p>
      <w:pPr>
        <w:pStyle w:val="Heading3"/>
        <w:spacing w:after="100" w:before="200"/>
      </w:pPr>
      <w:r>
        <w:t xml:space="preserve">What you're doing</w:t>
      </w:r>
    </w:p>
    <w:p>
      <w:pPr>
        <w:spacing w:after="120"/>
      </w:pPr>
      <w:r>
        <w:t xml:space="preserve">Searching real prices for the parsed product across every target country, and logging every result over time so later phases (timing, resale) have real history to draw on.</w:t>
      </w:r>
    </w:p>
    <w:p>
      <w:pPr>
        <w:pStyle w:val="Heading3"/>
        <w:spacing w:after="100" w:before="200"/>
      </w:pPr>
      <w:r>
        <w:t xml:space="preserve">What to build</w:t>
      </w:r>
    </w:p>
    <w:p>
      <w:pPr>
        <w:pStyle w:val="ListParagraph"/>
        <w:numPr>
          <w:ilvl w:val="0"/>
          <w:numId w:val="2"/>
        </w:numPr>
        <w:spacing w:after="80"/>
      </w:pPr>
      <w:r>
        <w:t xml:space="preserve">SerpAPI Google Shopping call per target country for the parsed product.</w:t>
      </w:r>
    </w:p>
    <w:p>
      <w:pPr>
        <w:pStyle w:val="ListParagraph"/>
        <w:numPr>
          <w:ilvl w:val="0"/>
          <w:numId w:val="2"/>
        </w:numPr>
        <w:spacing w:after="80"/>
      </w:pPr>
      <w:r>
        <w:t xml:space="preserve">Store every result in a price_snapshots table: product, country, seller, price, currency, url, timestamp.</w:t>
      </w:r>
    </w:p>
    <w:p>
      <w:pPr>
        <w:pStyle w:val="ListParagraph"/>
        <w:numPr>
          <w:ilvl w:val="0"/>
          <w:numId w:val="2"/>
        </w:numPr>
        <w:spacing w:after="80"/>
      </w:pPr>
      <w:r>
        <w:t xml:space="preserve">Cache identical queries in Redis (Upstash free tier) for a short window to avoid burning search quota.</w:t>
      </w:r>
    </w:p>
    <w:p>
      <w:pPr>
        <w:pStyle w:val="Heading3"/>
        <w:spacing w:after="100" w:before="200"/>
      </w:pPr>
      <w:r>
        <w:t xml:space="preserve">Phase 2 checklist</w:t>
      </w:r>
    </w:p>
    <w:p>
      <w:pPr>
        <w:pStyle w:val="ListParagraph"/>
        <w:numPr>
          <w:ilvl w:val="0"/>
          <w:numId w:val="3"/>
        </w:numPr>
        <w:spacing w:after="80"/>
      </w:pPr>
      <w:r>
        <w:t xml:space="preserve">price_snapshots logging continuously across at least 5 countries</w:t>
      </w:r>
    </w:p>
    <w:p>
      <w:pPr>
        <w:pStyle w:val="ListParagraph"/>
        <w:numPr>
          <w:ilvl w:val="0"/>
          <w:numId w:val="3"/>
        </w:numPr>
        <w:spacing w:after="80"/>
      </w:pPr>
      <w:r>
        <w:t xml:space="preserve">Redis cache confirmed to prevent duplicate searches within the cache window</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3: True Cost Calculator</w:t>
            </w:r>
          </w:p>
          <w:p>
            <w:r>
              <w:rPr>
                <w:i/>
                <w:iCs/>
                <w:color w:val="555555"/>
                <w:sz w:val="20"/>
                <w:szCs w:val="20"/>
              </w:rPr>
              <w:t xml:space="preserve">Weeks 4–5</w:t>
            </w:r>
          </w:p>
        </w:tc>
      </w:tr>
    </w:tbl>
    <w:p>
      <w:pPr>
        <w:spacing w:after="120"/>
      </w:pPr>
      <w:r>
        <w:t xml:space="preserve"/>
      </w:r>
    </w:p>
    <w:p>
      <w:pPr>
        <w:pStyle w:val="Heading3"/>
        <w:spacing w:after="100" w:before="200"/>
      </w:pPr>
      <w:r>
        <w:t xml:space="preserve">What you're doing</w:t>
      </w:r>
    </w:p>
    <w:p>
      <w:pPr>
        <w:spacing w:after="120"/>
      </w:pPr>
      <w:r>
        <w:t xml:space="preserve">Computing the three honest cost scenarios per country — buy locally, ship as an import, or personally carry with a VAT refund — never blended into one misleading number.</w:t>
      </w:r>
    </w:p>
    <w:p>
      <w:pPr>
        <w:pStyle w:val="Heading3"/>
        <w:spacing w:after="100" w:before="200"/>
      </w:pPr>
      <w:r>
        <w:t xml:space="preserve">What to build</w:t>
      </w:r>
    </w:p>
    <w:p>
      <w:pPr>
        <w:pStyle w:val="ListParagraph"/>
        <w:numPr>
          <w:ilvl w:val="0"/>
          <w:numId w:val="2"/>
        </w:numPr>
        <w:spacing w:after="80"/>
      </w:pPr>
      <w:r>
        <w:t xml:space="preserve">Create and seed a country_rules table (customs duty %, duty-free allowance, VAT rate, VAT refund availability, refund deduction %) for at least India, USA, UAE, UK, Australia, Germany, Canada.</w:t>
      </w:r>
    </w:p>
    <w:p>
      <w:pPr>
        <w:pStyle w:val="ListParagraph"/>
        <w:numPr>
          <w:ilvl w:val="0"/>
          <w:numId w:val="2"/>
        </w:numPr>
        <w:spacing w:after="80"/>
      </w:pPr>
      <w:r>
        <w:t xml:space="preserve">Write calculate_true_cost(price_snapshot, country_rules) implementing all three cost formulas.</w:t>
      </w:r>
    </w:p>
    <w:p>
      <w:pPr>
        <w:pStyle w:val="ListParagraph"/>
        <w:numPr>
          <w:ilvl w:val="0"/>
          <w:numId w:val="2"/>
        </w:numPr>
        <w:spacing w:after="80"/>
      </w:pPr>
      <w:r>
        <w:t xml:space="preserve">Flag explicitly when the 'personally carried' price only holds under the duty-free allowance limit — never assume it silently.</w:t>
      </w:r>
    </w:p>
    <w:p>
      <w:pPr>
        <w:pStyle w:val="ListParagraph"/>
        <w:numPr>
          <w:ilvl w:val="0"/>
          <w:numId w:val="2"/>
        </w:numPr>
        <w:spacing w:after="80"/>
      </w:pPr>
      <w:r>
        <w:t xml:space="preserve">Return all three numbers per country, clearly labeled, never merged.</w:t>
      </w:r>
    </w:p>
    <w:p>
      <w:pPr>
        <w:pStyle w:val="Heading3"/>
        <w:spacing w:after="100" w:before="200"/>
      </w:pPr>
      <w:r>
        <w:t xml:space="preserve">New in this version — bulk-import threshold check</w:t>
      </w:r>
    </w:p>
    <w:p>
      <w:pPr>
        <w:spacing w:after="120"/>
      </w:pPr>
      <w:r>
        <w:t xml:space="preserve">Some countries apply different duty rules once a purchase looks like bulk/commercial import rather than personal use. Add a check on the parsed intent's quantity: if it crosses the personal-use threshold for that country, flag it and switch the shown scenario from 'personally carried' to a bulk-import-rules message, rather than silently applying the wrong formula.</w:t>
      </w:r>
    </w:p>
    <w:p>
      <w:pPr>
        <w:pStyle w:val="Heading3"/>
        <w:spacing w:after="100" w:before="200"/>
      </w:pPr>
      <w:r>
        <w:t xml:space="preserve">Phase 3 checklist</w:t>
      </w:r>
    </w:p>
    <w:p>
      <w:pPr>
        <w:pStyle w:val="ListParagraph"/>
        <w:numPr>
          <w:ilvl w:val="0"/>
          <w:numId w:val="3"/>
        </w:numPr>
        <w:spacing w:after="80"/>
      </w:pPr>
      <w:r>
        <w:t xml:space="preserve">country_rules populated for at least 7 countries</w:t>
      </w:r>
    </w:p>
    <w:p>
      <w:pPr>
        <w:pStyle w:val="ListParagraph"/>
        <w:numPr>
          <w:ilvl w:val="0"/>
          <w:numId w:val="3"/>
        </w:numPr>
        <w:spacing w:after="80"/>
      </w:pPr>
      <w:r>
        <w:t xml:space="preserve">All three formulas implemented and unit-tested</w:t>
      </w:r>
    </w:p>
    <w:p>
      <w:pPr>
        <w:pStyle w:val="ListParagraph"/>
        <w:numPr>
          <w:ilvl w:val="0"/>
          <w:numId w:val="3"/>
        </w:numPr>
        <w:spacing w:after="80"/>
      </w:pPr>
      <w:r>
        <w:t xml:space="preserve">Duty-free allowance limit checked and flagged, not assumed</w:t>
      </w:r>
    </w:p>
    <w:p>
      <w:pPr>
        <w:pStyle w:val="ListParagraph"/>
        <w:numPr>
          <w:ilvl w:val="0"/>
          <w:numId w:val="3"/>
        </w:numPr>
        <w:spacing w:after="80"/>
      </w:pPr>
      <w:r>
        <w:t xml:space="preserve">Bulk-import threshold flagged when quantity crosses the personal-use line</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4: Card, Bank Offer &amp; Coupon Layer</w:t>
            </w:r>
          </w:p>
          <w:p>
            <w:r>
              <w:rPr>
                <w:i/>
                <w:iCs/>
                <w:color w:val="555555"/>
                <w:sz w:val="20"/>
                <w:szCs w:val="20"/>
              </w:rPr>
              <w:t xml:space="preserve">Weeks 6–8 — expect this to be the hardest phase</w:t>
            </w:r>
          </w:p>
        </w:tc>
      </w:tr>
    </w:tbl>
    <w:p>
      <w:pPr>
        <w:spacing w:after="120"/>
      </w:pPr>
      <w:r>
        <w:t xml:space="preserve"/>
      </w:r>
    </w:p>
    <w:p>
      <w:pPr>
        <w:pStyle w:val="Heading3"/>
        <w:spacing w:after="100" w:before="200"/>
      </w:pPr>
      <w:r>
        <w:t xml:space="preserve">What you're doing</w:t>
      </w:r>
    </w:p>
    <w:p>
      <w:pPr>
        <w:spacing w:after="120"/>
      </w:pPr>
      <w:r>
        <w:t xml:space="preserve">For every seller found, working out which card gets the best cashback, discount, or reward — and applying coupon codes on top. This is one of your two core differentiators.</w:t>
      </w:r>
    </w:p>
    <w:p>
      <w:pPr>
        <w:pStyle w:val="Heading3"/>
        <w:spacing w:after="100" w:before="200"/>
      </w:pPr>
      <w:r>
        <w:t xml:space="preserve">The approach: your own growing database, not live search every time</w:t>
      </w:r>
    </w:p>
    <w:p>
      <w:pPr>
        <w:spacing w:after="120"/>
      </w:pPr>
      <w:r>
        <w:t xml:space="preserve">Run a scheduled background job that periodically searches and stores card offers, so user queries read from your own database instantly rather than burning search quota per request.</w:t>
      </w:r>
    </w:p>
    <w:p>
      <w:pPr>
        <w:pStyle w:val="Heading3"/>
        <w:spacing w:after="100" w:before="200"/>
      </w:pPr>
      <w:r>
        <w:t xml:space="preserve">What to build</w:t>
      </w:r>
    </w:p>
    <w:p>
      <w:pPr>
        <w:pStyle w:val="ListParagraph"/>
        <w:numPr>
          <w:ilvl w:val="0"/>
          <w:numId w:val="2"/>
        </w:numPr>
        <w:spacing w:after="80"/>
      </w:pPr>
      <w:r>
        <w:t xml:space="preserve">Search 'merchant credit card offer 2026' and 'merchant coupon code' via Tavily/Serper for your target merchants.</w:t>
      </w:r>
    </w:p>
    <w:p>
      <w:pPr>
        <w:pStyle w:val="ListParagraph"/>
        <w:numPr>
          <w:ilvl w:val="0"/>
          <w:numId w:val="2"/>
        </w:numPr>
        <w:spacing w:after="80"/>
      </w:pPr>
      <w:r>
        <w:t xml:space="preserve">Feed raw snippets to Groq with a prompt that extracts structured offers only, discarding anything it can't confidently parse.</w:t>
      </w:r>
    </w:p>
    <w:p>
      <w:pPr>
        <w:pStyle w:val="ListParagraph"/>
        <w:numPr>
          <w:ilvl w:val="0"/>
          <w:numId w:val="2"/>
        </w:numPr>
        <w:spacing w:after="80"/>
      </w:pPr>
      <w:r>
        <w:t xml:space="preserve">Output schema: bank_name, card_type, merchant, offer_type, value, value_type, min_spend, valid_until, source_url.</w:t>
      </w:r>
    </w:p>
    <w:p>
      <w:pPr>
        <w:pStyle w:val="ListParagraph"/>
        <w:numPr>
          <w:ilvl w:val="0"/>
          <w:numId w:val="2"/>
        </w:numPr>
        <w:spacing w:after="80"/>
      </w:pPr>
      <w:r>
        <w:t xml:space="preserve">Store extracted offers in a card_offers table in Supabase.</w:t>
      </w:r>
    </w:p>
    <w:p>
      <w:pPr>
        <w:pStyle w:val="ListParagraph"/>
        <w:numPr>
          <w:ilvl w:val="0"/>
          <w:numId w:val="2"/>
        </w:numPr>
        <w:spacing w:after="80"/>
      </w:pPr>
      <w:r>
        <w:t xml:space="preserve">Run the search-and-extract job every 12–24 hours per tracked merchant, not on every user request.</w:t>
      </w:r>
    </w:p>
    <w:p>
      <w:pPr>
        <w:pStyle w:val="ListParagraph"/>
        <w:numPr>
          <w:ilvl w:val="0"/>
          <w:numId w:val="2"/>
        </w:numPr>
        <w:spacing w:after="80"/>
      </w:pPr>
      <w:r>
        <w:t xml:space="preserve">On a user query, JOIN price results against card_offers by merchant and compute net price per seller × card combination.</w:t>
      </w:r>
    </w:p>
    <w:p>
      <w:pPr>
        <w:pStyle w:val="Heading3"/>
        <w:spacing w:after="100" w:before="200"/>
      </w:pPr>
      <w:r>
        <w:t xml:space="preserve">New in this version — EMI / cashback normalizer</w:t>
      </w:r>
    </w:p>
    <w:p>
      <w:pPr>
        <w:spacing w:after="120"/>
      </w:pPr>
      <w:r>
        <w:t xml:space="preserve">No-cost EMI offers often hide processing fees, and flat cashback vs. percentage discounts aren't directly comparable at a glance. Add a normalization step that converts every card_offers row into one 'effective price' number for the specific purchase amount, so a 5% cashback and a ₹1,500 flat discount can be ranked on the same axis instead of shown as incomparable offer types.</w:t>
      </w:r>
    </w:p>
    <w:p>
      <w:pPr>
        <w:pStyle w:val="Heading3"/>
        <w:spacing w:after="100" w:before="200"/>
      </w:pPr>
      <w:r>
        <w:t xml:space="preserve">Phase 4 checklist</w:t>
      </w:r>
    </w:p>
    <w:p>
      <w:pPr>
        <w:pStyle w:val="ListParagraph"/>
        <w:numPr>
          <w:ilvl w:val="0"/>
          <w:numId w:val="3"/>
        </w:numPr>
        <w:spacing w:after="80"/>
      </w:pPr>
      <w:r>
        <w:t xml:space="preserve">Scheduled search-and-extract job running for at least 5–10 major merchants</w:t>
      </w:r>
    </w:p>
    <w:p>
      <w:pPr>
        <w:pStyle w:val="ListParagraph"/>
        <w:numPr>
          <w:ilvl w:val="0"/>
          <w:numId w:val="3"/>
        </w:numPr>
        <w:spacing w:after="80"/>
      </w:pPr>
      <w:r>
        <w:t xml:space="preserve">card_offers table populated and growing over time</w:t>
      </w:r>
    </w:p>
    <w:p>
      <w:pPr>
        <w:pStyle w:val="ListParagraph"/>
        <w:numPr>
          <w:ilvl w:val="0"/>
          <w:numId w:val="3"/>
        </w:numPr>
        <w:spacing w:after="80"/>
      </w:pPr>
      <w:r>
        <w:t xml:space="preserve">Offers auto-flagged or excluded once past valid_until</w:t>
      </w:r>
    </w:p>
    <w:p>
      <w:pPr>
        <w:pStyle w:val="ListParagraph"/>
        <w:numPr>
          <w:ilvl w:val="0"/>
          <w:numId w:val="3"/>
        </w:numPr>
        <w:spacing w:after="80"/>
      </w:pPr>
      <w:r>
        <w:t xml:space="preserve">Every offer normalized into one comparable effective-price number</w:t>
      </w:r>
    </w:p>
    <w:p>
      <w:pPr>
        <w:pStyle w:val="ListParagraph"/>
        <w:numPr>
          <w:ilvl w:val="0"/>
          <w:numId w:val="3"/>
        </w:numPr>
        <w:spacing w:after="80"/>
      </w:pPr>
      <w:r>
        <w:t xml:space="preserve">Every offer shown to a user has a visible source link</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5: Timing Advisor — Sale Calendar &amp; Price History</w:t>
            </w:r>
          </w:p>
          <w:p>
            <w:r>
              <w:rPr>
                <w:i/>
                <w:iCs/>
                <w:color w:val="555555"/>
                <w:sz w:val="20"/>
                <w:szCs w:val="20"/>
              </w:rPr>
              <w:t xml:space="preserve">Week 9</w:t>
            </w:r>
          </w:p>
        </w:tc>
      </w:tr>
    </w:tbl>
    <w:p>
      <w:pPr>
        <w:spacing w:after="120"/>
      </w:pPr>
      <w:r>
        <w:t xml:space="preserve"/>
      </w:r>
    </w:p>
    <w:p>
      <w:pPr>
        <w:pStyle w:val="Heading3"/>
        <w:spacing w:after="100" w:before="200"/>
      </w:pPr>
      <w:r>
        <w:t xml:space="preserve">What you're doing</w:t>
      </w:r>
    </w:p>
    <w:p>
      <w:pPr>
        <w:spacing w:after="120"/>
      </w:pPr>
      <w:r>
        <w:t xml:space="preserve">Telling the user whether waiting would likely help — based on real historical patterns and known sale calendars, per country, never on invented future predictions.</w:t>
      </w:r>
    </w:p>
    <w:p>
      <w:pPr>
        <w:pStyle w:val="Heading3"/>
        <w:spacing w:after="100" w:before="200"/>
      </w:pPr>
      <w:r>
        <w:t xml:space="preserve">What to build</w:t>
      </w:r>
    </w:p>
    <w:p>
      <w:pPr>
        <w:pStyle w:val="ListParagraph"/>
        <w:numPr>
          <w:ilvl w:val="0"/>
          <w:numId w:val="2"/>
        </w:numPr>
        <w:spacing w:after="80"/>
      </w:pPr>
      <w:r>
        <w:t xml:space="preserve">A sale_calendar table with a country_code column: one row per event, with typical date range, product category, and historical discount range where known.</w:t>
      </w:r>
    </w:p>
    <w:p>
      <w:pPr>
        <w:pStyle w:val="ListParagraph"/>
        <w:numPr>
          <w:ilvl w:val="0"/>
          <w:numId w:val="2"/>
        </w:numPr>
        <w:spacing w:after="80"/>
      </w:pPr>
      <w:r>
        <w:t xml:space="preserve">Use the price_snapshots table from Phase 2 to surface real historical price movement per product per market once enough history has built up.</w:t>
      </w:r>
    </w:p>
    <w:p>
      <w:pPr>
        <w:pStyle w:val="ListParagraph"/>
        <w:numPr>
          <w:ilvl w:val="0"/>
          <w:numId w:val="2"/>
        </w:numPr>
        <w:spacing w:after="80"/>
      </w:pPr>
      <w:r>
        <w:t xml:space="preserve">A get_timing_context(product_category, target_countries[]) function that loops over every country in the comparison and returns each one's nearest sale event plus any historical drop pattern.</w:t>
      </w:r>
    </w:p>
    <w:p>
      <w:pPr>
        <w:pStyle w:val="ListParagraph"/>
        <w:numPr>
          <w:ilvl w:val="0"/>
          <w:numId w:val="2"/>
        </w:numPr>
        <w:spacing w:after="80"/>
      </w:pPr>
      <w:r>
        <w:t xml:space="preserve">One current-news search step (Tavily/Serper) for major disruptive context only — e.g. a tariff change — presented as context, never a prediction.</w:t>
      </w:r>
    </w:p>
    <w:p>
      <w:pPr>
        <w:pStyle w:val="Heading3"/>
        <w:spacing w:after="100" w:before="200"/>
      </w:pPr>
      <w:r>
        <w:t xml:space="preserve">New in this version — currency risk flag</w:t>
      </w:r>
    </w:p>
    <w:p>
      <w:pPr>
        <w:spacing w:after="120"/>
      </w:pPr>
      <w:r>
        <w:t xml:space="preserve">If a comparison spans a purchase happening weeks out, add a disclosure noting that exchange-rate movement in that window could offset the apparent savings shown today. This stays in the same honest, non-predictive framing as the rest of this phase — it flags risk, it never forecasts a rate.</w:t>
      </w:r>
    </w:p>
    <w:p>
      <w:pPr>
        <w:pStyle w:val="Heading3"/>
        <w:spacing w:after="100" w:before="200"/>
      </w:pPr>
      <w:r>
        <w:t xml:space="preserve">Phase 5 checklist</w:t>
      </w:r>
    </w:p>
    <w:p>
      <w:pPr>
        <w:pStyle w:val="ListParagraph"/>
        <w:numPr>
          <w:ilvl w:val="0"/>
          <w:numId w:val="3"/>
        </w:numPr>
        <w:spacing w:after="80"/>
      </w:pPr>
      <w:r>
        <w:t xml:space="preserve">sale_calendar populated per country</w:t>
      </w:r>
    </w:p>
    <w:p>
      <w:pPr>
        <w:pStyle w:val="ListParagraph"/>
        <w:numPr>
          <w:ilvl w:val="0"/>
          <w:numId w:val="3"/>
        </w:numPr>
        <w:spacing w:after="80"/>
      </w:pPr>
      <w:r>
        <w:t xml:space="preserve">get_timing_context loops across every country in the comparison</w:t>
      </w:r>
    </w:p>
    <w:p>
      <w:pPr>
        <w:pStyle w:val="ListParagraph"/>
        <w:numPr>
          <w:ilvl w:val="0"/>
          <w:numId w:val="3"/>
        </w:numPr>
        <w:spacing w:after="80"/>
      </w:pPr>
      <w:r>
        <w:t xml:space="preserve">Timing output always framed as historical pattern or known calendar event, never a predicted number</w:t>
      </w:r>
    </w:p>
    <w:p>
      <w:pPr>
        <w:pStyle w:val="ListParagraph"/>
        <w:numPr>
          <w:ilvl w:val="0"/>
          <w:numId w:val="3"/>
        </w:numPr>
        <w:spacing w:after="80"/>
      </w:pPr>
      <w:r>
        <w:t xml:space="preserve">Currency risk disclosure shown for any forward-dated comparison</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6: The Comparison Engine — Bringing It All Together</w:t>
            </w:r>
          </w:p>
          <w:p>
            <w:r>
              <w:rPr>
                <w:i/>
                <w:iCs/>
                <w:color w:val="555555"/>
                <w:sz w:val="20"/>
                <w:szCs w:val="20"/>
              </w:rPr>
              <w:t xml:space="preserve">Week 10</w:t>
            </w:r>
          </w:p>
        </w:tc>
      </w:tr>
    </w:tbl>
    <w:p>
      <w:pPr>
        <w:spacing w:after="120"/>
      </w:pPr>
      <w:r>
        <w:t xml:space="preserve"/>
      </w:r>
    </w:p>
    <w:p>
      <w:pPr>
        <w:pStyle w:val="Heading3"/>
        <w:spacing w:after="100" w:before="200"/>
      </w:pPr>
      <w:r>
        <w:t xml:space="preserve">What you're doing</w:t>
      </w:r>
    </w:p>
    <w:p>
      <w:pPr>
        <w:spacing w:after="120"/>
      </w:pPr>
      <w:r>
        <w:t xml:space="preserve">Assembling Phases 2–5 into one orchestration function — the actual brain of the product.</w:t>
      </w:r>
    </w:p>
    <w:p>
      <w:pPr>
        <w:pStyle w:val="Heading3"/>
        <w:spacing w:after="100" w:before="200"/>
      </w:pPr>
      <w:r>
        <w:t xml:space="preserve">What to build</w:t>
      </w:r>
    </w:p>
    <w:p>
      <w:pPr>
        <w:pStyle w:val="ListParagraph"/>
        <w:numPr>
          <w:ilvl w:val="0"/>
          <w:numId w:val="2"/>
        </w:numPr>
        <w:spacing w:after="80"/>
      </w:pPr>
      <w:r>
        <w:t xml:space="preserve">get_full_comparison(structured_intent): search_prices per country → calculate_true_cost per scenario → join card_offers and compute net price per seller × card → get_timing_context for the product category.</w:t>
      </w:r>
    </w:p>
    <w:p>
      <w:pPr>
        <w:pStyle w:val="ListParagraph"/>
        <w:numPr>
          <w:ilvl w:val="0"/>
          <w:numId w:val="2"/>
        </w:numPr>
        <w:spacing w:after="80"/>
      </w:pPr>
      <w:r>
        <w:t xml:space="preserve">Return one clean structured JSON object — never plain text. This is also what Phase 10's sellable API will expose.</w:t>
      </w:r>
    </w:p>
    <w:p>
      <w:pPr>
        <w:pStyle w:val="ListParagraph"/>
        <w:numPr>
          <w:ilvl w:val="0"/>
          <w:numId w:val="2"/>
        </w:numPr>
        <w:spacing w:after="80"/>
      </w:pPr>
      <w:r>
        <w:t xml:space="preserve">Keep all math and comparison logic in your own code, never delegated to an LLM. Models only touch this pipeline at the very start (parsing) and very end (explaining).</w:t>
      </w:r>
    </w:p>
    <w:p>
      <w:pPr>
        <w:pStyle w:val="Heading3"/>
        <w:spacing w:after="100" w:before="200"/>
      </w:pPr>
      <w:r>
        <w:t xml:space="preserve">Phase 6 checklist</w:t>
      </w:r>
    </w:p>
    <w:p>
      <w:pPr>
        <w:pStyle w:val="ListParagraph"/>
        <w:numPr>
          <w:ilvl w:val="0"/>
          <w:numId w:val="3"/>
        </w:numPr>
        <w:spacing w:after="80"/>
      </w:pPr>
      <w:r>
        <w:t xml:space="preserve">Single orchestration endpoint working end-to-end</w:t>
      </w:r>
    </w:p>
    <w:p>
      <w:pPr>
        <w:pStyle w:val="ListParagraph"/>
        <w:numPr>
          <w:ilvl w:val="0"/>
          <w:numId w:val="3"/>
        </w:numPr>
        <w:spacing w:after="80"/>
      </w:pPr>
      <w:r>
        <w:t xml:space="preserve">Response time kept reasonable via aggressive caching from earlier phases</w:t>
      </w:r>
    </w:p>
    <w:p>
      <w:pPr>
        <w:pStyle w:val="ListParagraph"/>
        <w:numPr>
          <w:ilvl w:val="0"/>
          <w:numId w:val="3"/>
        </w:numPr>
        <w:spacing w:after="80"/>
      </w:pPr>
      <w:r>
        <w:t xml:space="preserve">Output validated against a fixed schema before Phase 7</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7: Roadmap Generation — Turning Data Into Plain Language</w:t>
            </w:r>
          </w:p>
          <w:p>
            <w:r>
              <w:rPr>
                <w:i/>
                <w:iCs/>
                <w:color w:val="555555"/>
                <w:sz w:val="20"/>
                <w:szCs w:val="20"/>
              </w:rPr>
              <w:t xml:space="preserve">Week 11</w:t>
            </w:r>
          </w:p>
        </w:tc>
      </w:tr>
    </w:tbl>
    <w:p>
      <w:pPr>
        <w:spacing w:after="120"/>
      </w:pPr>
      <w:r>
        <w:t xml:space="preserve"/>
      </w:r>
    </w:p>
    <w:p>
      <w:pPr>
        <w:pStyle w:val="Heading3"/>
        <w:spacing w:after="100" w:before="200"/>
      </w:pPr>
      <w:r>
        <w:t xml:space="preserve">What you're doing</w:t>
      </w:r>
    </w:p>
    <w:p>
      <w:pPr>
        <w:spacing w:after="120"/>
      </w:pPr>
      <w:r>
        <w:t xml:space="preserve">Turning the Phase 6 structured object into the actual human-readable recommendation the user reads.</w:t>
      </w:r>
    </w:p>
    <w:p>
      <w:pPr>
        <w:pStyle w:val="Heading3"/>
        <w:spacing w:after="100" w:before="200"/>
      </w:pPr>
      <w:r>
        <w:t xml:space="preserve">What to build</w:t>
      </w:r>
    </w:p>
    <w:p>
      <w:pPr>
        <w:pStyle w:val="ListParagraph"/>
        <w:numPr>
          <w:ilvl w:val="0"/>
          <w:numId w:val="2"/>
        </w:numPr>
        <w:spacing w:after="80"/>
      </w:pPr>
      <w:r>
        <w:t xml:space="preserve">A final Groq/Gemini call whose only job is formatting and explaining data already computed — explicitly instructed not to invent or estimate any number not present in the input JSON.</w:t>
      </w:r>
    </w:p>
    <w:p>
      <w:pPr>
        <w:pStyle w:val="ListParagraph"/>
        <w:numPr>
          <w:ilvl w:val="0"/>
          <w:numId w:val="2"/>
        </w:numPr>
        <w:spacing w:after="80"/>
      </w:pPr>
      <w:r>
        <w:t xml:space="preserve">Output format: a short summary line, then a ranked list (best overall, cheapest local, cheapest imported, cheapest carried), then the timing note, each with a one-line 'why'.</w:t>
      </w:r>
    </w:p>
    <w:p>
      <w:pPr>
        <w:pStyle w:val="ListParagraph"/>
        <w:numPr>
          <w:ilvl w:val="0"/>
          <w:numId w:val="2"/>
        </w:numPr>
        <w:spacing w:after="80"/>
      </w:pPr>
      <w:r>
        <w:t xml:space="preserve">Include source links for every price and card offer mentioned, pulled straight from your data.</w:t>
      </w:r>
    </w:p>
    <w:p>
      <w:pPr>
        <w:pStyle w:val="Heading3"/>
        <w:spacing w:after="100" w:before="200"/>
      </w:pPr>
      <w:r>
        <w:t xml:space="preserve">Phase 7 checklist</w:t>
      </w:r>
    </w:p>
    <w:p>
      <w:pPr>
        <w:pStyle w:val="ListParagraph"/>
        <w:numPr>
          <w:ilvl w:val="0"/>
          <w:numId w:val="3"/>
        </w:numPr>
        <w:spacing w:after="80"/>
      </w:pPr>
      <w:r>
        <w:t xml:space="preserve">Roadmap reads clearly to someone with zero context</w:t>
      </w:r>
    </w:p>
    <w:p>
      <w:pPr>
        <w:pStyle w:val="ListParagraph"/>
        <w:numPr>
          <w:ilvl w:val="0"/>
          <w:numId w:val="3"/>
        </w:numPr>
        <w:spacing w:after="80"/>
      </w:pPr>
      <w:r>
        <w:t xml:space="preserve">Every number traces back to real Phase 6 data</w:t>
      </w:r>
    </w:p>
    <w:p>
      <w:pPr>
        <w:pStyle w:val="ListParagraph"/>
        <w:numPr>
          <w:ilvl w:val="0"/>
          <w:numId w:val="3"/>
        </w:numPr>
        <w:spacing w:after="80"/>
      </w:pPr>
      <w:r>
        <w:t xml:space="preserve">Source links present throughout</w:t>
      </w:r>
    </w:p>
    <w:p>
      <w:pPr>
        <w:pStyle w:val="ListParagraph"/>
        <w:numPr>
          <w:ilvl w:val="0"/>
          <w:numId w:val="3"/>
        </w:numPr>
        <w:spacing w:after="80"/>
      </w:pPr>
      <w:r>
        <w:t xml:space="preserve">Spot-checked against manual research for 5–10 real products</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8: Premium Frontend &amp; Design System</w:t>
            </w:r>
          </w:p>
          <w:p>
            <w:r>
              <w:rPr>
                <w:i/>
                <w:iCs/>
                <w:color w:val="555555"/>
                <w:sz w:val="20"/>
                <w:szCs w:val="20"/>
              </w:rPr>
              <w:t xml:space="preserve">Weeks 12–14 — expanded from the original single-week frontend phase</w:t>
            </w:r>
          </w:p>
        </w:tc>
      </w:tr>
    </w:tbl>
    <w:p>
      <w:pPr>
        <w:spacing w:after="120"/>
      </w:pPr>
      <w:r>
        <w:t xml:space="preserve"/>
      </w:r>
    </w:p>
    <w:p>
      <w:pPr>
        <w:pStyle w:val="Heading3"/>
        <w:spacing w:after="100" w:before="200"/>
      </w:pPr>
      <w:r>
        <w:t xml:space="preserve">Why this phase got bigger</w:t>
      </w:r>
    </w:p>
    <w:p>
      <w:pPr>
        <w:spacing w:after="120"/>
      </w:pPr>
      <w:r>
        <w:t xml:space="preserve">You explicitly want this to look and feel unlike the wave of 'vibe-coded' AI tools currently shipping — which cluster around three visual defaults: warm cream with a terracotta accent, near-black with one neon accent, or a broadsheet layout of hairline rules and zero border-radius. All three are fine choices elsewhere, but none of them are a choice for this product specifically — they show up on almost anything AI-assisted right now. Every design decision below is instead grounded in what this product actually is: a tool about money crossing borders — exchange, customs, duty stamps, departures boards, receipts.</w:t>
      </w:r>
    </w:p>
    <w:p>
      <w:pPr>
        <w:pStyle w:val="Heading3"/>
        <w:spacing w:after="100" w:before="200"/>
      </w:pPr>
      <w:r>
        <w:t xml:space="preserve">Design language: 'Customs &amp; Currency'</w:t>
      </w:r>
    </w:p>
    <w:p>
      <w:pPr>
        <w:spacing w:after="120"/>
      </w:pPr>
      <w:r>
        <w:t xml:space="preserve">The visual world this product should feel like it belongs to is a departures hall crossed with a currency exchange counter — official, precise, slightly analog, never a generic SaaS dashboard.</w:t>
      </w:r>
    </w:p>
    <w:p>
      <w:pPr>
        <w:pStyle w:val="Heading3"/>
        <w:spacing w:after="100" w:before="200"/>
      </w:pPr>
      <w:r>
        <w:t xml:space="preserve">Palette (name each hex — don't reach for defaults)</w:t>
      </w:r>
    </w:p>
    <w:p>
      <w:pPr>
        <w:pStyle w:val="ListParagraph"/>
        <w:numPr>
          <w:ilvl w:val="0"/>
          <w:numId w:val="4"/>
        </w:numPr>
        <w:spacing w:after="80"/>
      </w:pPr>
      <w:r>
        <w:t xml:space="preserve">Ink Navy #0B1220 — primary background, evokes an official ledger / passport cover</w:t>
      </w:r>
    </w:p>
    <w:p>
      <w:pPr>
        <w:pStyle w:val="ListParagraph"/>
        <w:numPr>
          <w:ilvl w:val="0"/>
          <w:numId w:val="4"/>
        </w:numPr>
        <w:spacing w:after="80"/>
      </w:pPr>
      <w:r>
        <w:t xml:space="preserve">Paper #F6F3EA — light surface for cards and content blocks, warm off-white like aged paper, not stark white</w:t>
      </w:r>
    </w:p>
    <w:p>
      <w:pPr>
        <w:pStyle w:val="ListParagraph"/>
        <w:numPr>
          <w:ilvl w:val="0"/>
          <w:numId w:val="4"/>
        </w:numPr>
        <w:spacing w:after="80"/>
      </w:pPr>
      <w:r>
        <w:t xml:space="preserve">Brass #8A6D1E — primary accent, used sparingly for the signature stamp and key CTAs, evokes currency and customs seals</w:t>
      </w:r>
    </w:p>
    <w:p>
      <w:pPr>
        <w:pStyle w:val="ListParagraph"/>
        <w:numPr>
          <w:ilvl w:val="0"/>
          <w:numId w:val="4"/>
        </w:numPr>
        <w:spacing w:after="80"/>
      </w:pPr>
      <w:r>
        <w:t xml:space="preserve">Ochre-Red #9C3F2E — reserved strictly for duty/alert context (e.g. 'over the duty-free limit'), never decorative</w:t>
      </w:r>
    </w:p>
    <w:p>
      <w:pPr>
        <w:pStyle w:val="ListParagraph"/>
        <w:numPr>
          <w:ilvl w:val="0"/>
          <w:numId w:val="4"/>
        </w:numPr>
        <w:spacing w:after="80"/>
      </w:pPr>
      <w:r>
        <w:t xml:space="preserve">Ledger Teal #2F6F62 — reserved strictly for savings/positive numbers, never used elsewhere so it stays meaningful</w:t>
      </w:r>
    </w:p>
    <w:p>
      <w:pPr>
        <w:pStyle w:val="Heading3"/>
        <w:spacing w:after="100" w:before="200"/>
      </w:pPr>
      <w:r>
        <w:t xml:space="preserve">Typography</w:t>
      </w:r>
    </w:p>
    <w:p>
      <w:pPr>
        <w:pStyle w:val="ListParagraph"/>
        <w:numPr>
          <w:ilvl w:val="0"/>
          <w:numId w:val="4"/>
        </w:numPr>
        <w:spacing w:after="80"/>
      </w:pPr>
      <w:r>
        <w:t xml:space="preserve">Display face: a serif with some engraved character (e.g. Fraunces or Newsreader, both free on Google Fonts) for headlines — used with restraint, never for body text</w:t>
      </w:r>
    </w:p>
    <w:p>
      <w:pPr>
        <w:pStyle w:val="ListParagraph"/>
        <w:numPr>
          <w:ilvl w:val="0"/>
          <w:numId w:val="4"/>
        </w:numPr>
        <w:spacing w:after="80"/>
      </w:pPr>
      <w:r>
        <w:t xml:space="preserve">Data face: a monospaced numeric font (e.g. IBM Plex Mono or JetBrains Mono, both free) for every price, percentage, and currency figure — this is what makes numbers feel authoritative and scannable, like a real exchange board</w:t>
      </w:r>
    </w:p>
    <w:p>
      <w:pPr>
        <w:pStyle w:val="ListParagraph"/>
        <w:numPr>
          <w:ilvl w:val="0"/>
          <w:numId w:val="4"/>
        </w:numPr>
        <w:spacing w:after="80"/>
      </w:pPr>
      <w:r>
        <w:t xml:space="preserve">Body face: a clean grotesk (e.g. Inter or General Sans, both free) for everything else</w:t>
      </w:r>
    </w:p>
    <w:p>
      <w:pPr>
        <w:pStyle w:val="Heading3"/>
        <w:spacing w:after="100" w:before="200"/>
      </w:pPr>
      <w:r>
        <w:t xml:space="preserve">Signature element: the split-flap ticker</w:t>
      </w:r>
    </w:p>
    <w:p>
      <w:pPr>
        <w:spacing w:after="120"/>
      </w:pPr>
      <w:r>
        <w:t xml:space="preserve">A thin strip at the top of the results view that behaves like an airport departures board or currency exchange sign — digits flip mechanically as prices update or as the comparison loads, built with pure CSS transforms and no paid animation library. This single element is what someone will remember and describe to a friend; everything else on the page stays quiet and disciplined around it.</w:t>
      </w:r>
    </w:p>
    <w:p>
      <w:pPr>
        <w:pStyle w:val="Heading3"/>
        <w:spacing w:after="100" w:before="200"/>
      </w:pPr>
      <w:r>
        <w:t xml:space="preserve">Signature interaction: the stamp</w:t>
      </w:r>
    </w:p>
    <w:p>
      <w:pPr>
        <w:spacing w:after="120"/>
      </w:pPr>
      <w:r>
        <w:t xml:space="preserve">When the engine picks a best-overall recommendation, the winning card receives a brief ink-stamp animation — like a customs officer stamping a passport — rather than a generic highlight border or checkmark badge. This ties directly back to the product's actual subject matter (goods crossing borders) instead of being decoration for its own sake.</w:t>
      </w:r>
    </w:p>
    <w:p>
      <w:pPr>
        <w:pStyle w:val="Heading3"/>
        <w:spacing w:after="100" w:before="200"/>
      </w:pPr>
      <w:r>
        <w:t xml:space="preserve">Free tool stack for this design (nothing here requires 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1220" w:val="clear"/>
            <w:tcMar>
              <w:top w:type="dxa" w:w="100"/>
              <w:left w:type="dxa" w:w="120"/>
              <w:bottom w:type="dxa" w:w="100"/>
              <w:right w:type="dxa" w:w="120"/>
            </w:tcMar>
          </w:tcPr>
          <w:p>
            <w:r>
              <w:rPr>
                <w:b/>
                <w:bCs/>
                <w:color w:val="FFFFFF"/>
                <w:sz w:val="20"/>
                <w:szCs w:val="20"/>
              </w:rPr>
              <w:t xml:space="preserve">Purpose</w:t>
            </w:r>
          </w:p>
        </w:tc>
        <w:tc>
          <w:tcPr>
            <w:shd w:fill="0B1220" w:val="clear"/>
            <w:tcMar>
              <w:top w:type="dxa" w:w="100"/>
              <w:left w:type="dxa" w:w="120"/>
              <w:bottom w:type="dxa" w:w="100"/>
              <w:right w:type="dxa" w:w="120"/>
            </w:tcMar>
          </w:tcPr>
          <w:p>
            <w:r>
              <w:rPr>
                <w:b/>
                <w:bCs/>
                <w:color w:val="FFFFFF"/>
                <w:sz w:val="20"/>
                <w:szCs w:val="20"/>
              </w:rPr>
              <w:t xml:space="preserve">Tool</w:t>
            </w:r>
          </w:p>
        </w:tc>
        <w:tc>
          <w:tcPr>
            <w:shd w:fill="0B1220" w:val="clear"/>
            <w:tcMar>
              <w:top w:type="dxa" w:w="100"/>
              <w:left w:type="dxa" w:w="120"/>
              <w:bottom w:type="dxa" w:w="100"/>
              <w:right w:type="dxa" w:w="120"/>
            </w:tcMar>
          </w:tcPr>
          <w:p>
            <w:r>
              <w:rPr>
                <w:b/>
                <w:bCs/>
                <w:color w:val="FFFFFF"/>
                <w:sz w:val="20"/>
                <w:szCs w:val="20"/>
              </w:rPr>
              <w:t xml:space="preserve">Cost</w:t>
            </w:r>
          </w:p>
        </w:tc>
      </w:tr>
      <w:tr>
        <w:tc>
          <w:tcPr>
            <w:tcMar>
              <w:top w:type="dxa" w:w="100"/>
              <w:left w:type="dxa" w:w="120"/>
              <w:bottom w:type="dxa" w:w="100"/>
              <w:right w:type="dxa" w:w="120"/>
            </w:tcMar>
          </w:tcPr>
          <w:p>
            <w:r>
              <w:rPr>
                <w:sz w:val="20"/>
                <w:szCs w:val="20"/>
              </w:rPr>
              <w:t xml:space="preserve">Framework</w:t>
            </w:r>
          </w:p>
        </w:tc>
        <w:tc>
          <w:tcPr>
            <w:tcMar>
              <w:top w:type="dxa" w:w="100"/>
              <w:left w:type="dxa" w:w="120"/>
              <w:bottom w:type="dxa" w:w="100"/>
              <w:right w:type="dxa" w:w="120"/>
            </w:tcMar>
          </w:tcPr>
          <w:p>
            <w:r>
              <w:rPr>
                <w:sz w:val="20"/>
                <w:szCs w:val="20"/>
              </w:rPr>
              <w:t xml:space="preserve">Next.js</w:t>
            </w:r>
          </w:p>
        </w:tc>
        <w:tc>
          <w:tcPr>
            <w:tcMar>
              <w:top w:type="dxa" w:w="100"/>
              <w:left w:type="dxa" w:w="120"/>
              <w:bottom w:type="dxa" w:w="100"/>
              <w:right w:type="dxa" w:w="120"/>
            </w:tcMar>
          </w:tcPr>
          <w:p>
            <w:r>
              <w:rPr>
                <w:sz w:val="20"/>
                <w:szCs w:val="20"/>
              </w:rPr>
              <w:t xml:space="preserve">Free, open source</w:t>
            </w:r>
          </w:p>
        </w:tc>
      </w:tr>
      <w:tr>
        <w:tc>
          <w:tcPr>
            <w:tcMar>
              <w:top w:type="dxa" w:w="100"/>
              <w:left w:type="dxa" w:w="120"/>
              <w:bottom w:type="dxa" w:w="100"/>
              <w:right w:type="dxa" w:w="120"/>
            </w:tcMar>
          </w:tcPr>
          <w:p>
            <w:r>
              <w:rPr>
                <w:sz w:val="20"/>
                <w:szCs w:val="20"/>
              </w:rPr>
              <w:t xml:space="preserve">Styling</w:t>
            </w:r>
          </w:p>
        </w:tc>
        <w:tc>
          <w:tcPr>
            <w:tcMar>
              <w:top w:type="dxa" w:w="100"/>
              <w:left w:type="dxa" w:w="120"/>
              <w:bottom w:type="dxa" w:w="100"/>
              <w:right w:type="dxa" w:w="120"/>
            </w:tcMar>
          </w:tcPr>
          <w:p>
            <w:r>
              <w:rPr>
                <w:sz w:val="20"/>
                <w:szCs w:val="20"/>
              </w:rPr>
              <w:t xml:space="preserve">Tailwind CSS</w:t>
            </w:r>
          </w:p>
        </w:tc>
        <w:tc>
          <w:tcPr>
            <w:tcMar>
              <w:top w:type="dxa" w:w="100"/>
              <w:left w:type="dxa" w:w="120"/>
              <w:bottom w:type="dxa" w:w="100"/>
              <w:right w:type="dxa" w:w="120"/>
            </w:tcMar>
          </w:tcPr>
          <w:p>
            <w:r>
              <w:rPr>
                <w:sz w:val="20"/>
                <w:szCs w:val="20"/>
              </w:rPr>
              <w:t xml:space="preserve">Free, open source</w:t>
            </w:r>
          </w:p>
        </w:tc>
      </w:tr>
      <w:tr>
        <w:tc>
          <w:tcPr>
            <w:tcMar>
              <w:top w:type="dxa" w:w="100"/>
              <w:left w:type="dxa" w:w="120"/>
              <w:bottom w:type="dxa" w:w="100"/>
              <w:right w:type="dxa" w:w="120"/>
            </w:tcMar>
          </w:tcPr>
          <w:p>
            <w:r>
              <w:rPr>
                <w:sz w:val="20"/>
                <w:szCs w:val="20"/>
              </w:rPr>
              <w:t xml:space="preserve">Component primitives</w:t>
            </w:r>
          </w:p>
        </w:tc>
        <w:tc>
          <w:tcPr>
            <w:tcMar>
              <w:top w:type="dxa" w:w="100"/>
              <w:left w:type="dxa" w:w="120"/>
              <w:bottom w:type="dxa" w:w="100"/>
              <w:right w:type="dxa" w:w="120"/>
            </w:tcMar>
          </w:tcPr>
          <w:p>
            <w:r>
              <w:rPr>
                <w:sz w:val="20"/>
                <w:szCs w:val="20"/>
              </w:rPr>
              <w:t xml:space="preserve">shadcn/ui</w:t>
            </w:r>
          </w:p>
        </w:tc>
        <w:tc>
          <w:tcPr>
            <w:tcMar>
              <w:top w:type="dxa" w:w="100"/>
              <w:left w:type="dxa" w:w="120"/>
              <w:bottom w:type="dxa" w:w="100"/>
              <w:right w:type="dxa" w:w="120"/>
            </w:tcMar>
          </w:tcPr>
          <w:p>
            <w:r>
              <w:rPr>
                <w:sz w:val="20"/>
                <w:szCs w:val="20"/>
              </w:rPr>
              <w:t xml:space="preserve">Free, open source — copied into your repo, not a paid dependency</w:t>
            </w:r>
          </w:p>
        </w:tc>
      </w:tr>
      <w:tr>
        <w:tc>
          <w:tcPr>
            <w:tcMar>
              <w:top w:type="dxa" w:w="100"/>
              <w:left w:type="dxa" w:w="120"/>
              <w:bottom w:type="dxa" w:w="100"/>
              <w:right w:type="dxa" w:w="120"/>
            </w:tcMar>
          </w:tcPr>
          <w:p>
            <w:r>
              <w:rPr>
                <w:sz w:val="20"/>
                <w:szCs w:val="20"/>
              </w:rPr>
              <w:t xml:space="preserve">Motion</w:t>
            </w:r>
          </w:p>
        </w:tc>
        <w:tc>
          <w:tcPr>
            <w:tcMar>
              <w:top w:type="dxa" w:w="100"/>
              <w:left w:type="dxa" w:w="120"/>
              <w:bottom w:type="dxa" w:w="100"/>
              <w:right w:type="dxa" w:w="120"/>
            </w:tcMar>
          </w:tcPr>
          <w:p>
            <w:r>
              <w:rPr>
                <w:sz w:val="20"/>
                <w:szCs w:val="20"/>
              </w:rPr>
              <w:t xml:space="preserve">Framer Motion (core, free tier)</w:t>
            </w:r>
          </w:p>
        </w:tc>
        <w:tc>
          <w:tcPr>
            <w:tcMar>
              <w:top w:type="dxa" w:w="100"/>
              <w:left w:type="dxa" w:w="120"/>
              <w:bottom w:type="dxa" w:w="100"/>
              <w:right w:type="dxa" w:w="120"/>
            </w:tcMar>
          </w:tcPr>
          <w:p>
            <w:r>
              <w:rPr>
                <w:sz w:val="20"/>
                <w:szCs w:val="20"/>
              </w:rPr>
              <w:t xml:space="preserve">Free</w:t>
            </w:r>
          </w:p>
        </w:tc>
      </w:tr>
      <w:tr>
        <w:tc>
          <w:tcPr>
            <w:tcMar>
              <w:top w:type="dxa" w:w="100"/>
              <w:left w:type="dxa" w:w="120"/>
              <w:bottom w:type="dxa" w:w="100"/>
              <w:right w:type="dxa" w:w="120"/>
            </w:tcMar>
          </w:tcPr>
          <w:p>
            <w:r>
              <w:rPr>
                <w:sz w:val="20"/>
                <w:szCs w:val="20"/>
              </w:rPr>
              <w:t xml:space="preserve">Icons</w:t>
            </w:r>
          </w:p>
        </w:tc>
        <w:tc>
          <w:tcPr>
            <w:tcMar>
              <w:top w:type="dxa" w:w="100"/>
              <w:left w:type="dxa" w:w="120"/>
              <w:bottom w:type="dxa" w:w="100"/>
              <w:right w:type="dxa" w:w="120"/>
            </w:tcMar>
          </w:tcPr>
          <w:p>
            <w:r>
              <w:rPr>
                <w:sz w:val="20"/>
                <w:szCs w:val="20"/>
              </w:rPr>
              <w:t xml:space="preserve">Lucide</w:t>
            </w:r>
          </w:p>
        </w:tc>
        <w:tc>
          <w:tcPr>
            <w:tcMar>
              <w:top w:type="dxa" w:w="100"/>
              <w:left w:type="dxa" w:w="120"/>
              <w:bottom w:type="dxa" w:w="100"/>
              <w:right w:type="dxa" w:w="120"/>
            </w:tcMar>
          </w:tcPr>
          <w:p>
            <w:r>
              <w:rPr>
                <w:sz w:val="20"/>
                <w:szCs w:val="20"/>
              </w:rPr>
              <w:t xml:space="preserve">Free, open source</w:t>
            </w:r>
          </w:p>
        </w:tc>
      </w:tr>
      <w:tr>
        <w:tc>
          <w:tcPr>
            <w:tcMar>
              <w:top w:type="dxa" w:w="100"/>
              <w:left w:type="dxa" w:w="120"/>
              <w:bottom w:type="dxa" w:w="100"/>
              <w:right w:type="dxa" w:w="120"/>
            </w:tcMar>
          </w:tcPr>
          <w:p>
            <w:r>
              <w:rPr>
                <w:sz w:val="20"/>
                <w:szCs w:val="20"/>
              </w:rPr>
              <w:t xml:space="preserve">Fonts</w:t>
            </w:r>
          </w:p>
        </w:tc>
        <w:tc>
          <w:tcPr>
            <w:tcMar>
              <w:top w:type="dxa" w:w="100"/>
              <w:left w:type="dxa" w:w="120"/>
              <w:bottom w:type="dxa" w:w="100"/>
              <w:right w:type="dxa" w:w="120"/>
            </w:tcMar>
          </w:tcPr>
          <w:p>
            <w:r>
              <w:rPr>
                <w:sz w:val="20"/>
                <w:szCs w:val="20"/>
              </w:rPr>
              <w:t xml:space="preserve">Google Fonts (Fraunces, IBM Plex Mono, Inter)</w:t>
            </w:r>
          </w:p>
        </w:tc>
        <w:tc>
          <w:tcPr>
            <w:tcMar>
              <w:top w:type="dxa" w:w="100"/>
              <w:left w:type="dxa" w:w="120"/>
              <w:bottom w:type="dxa" w:w="100"/>
              <w:right w:type="dxa" w:w="120"/>
            </w:tcMar>
          </w:tcPr>
          <w:p>
            <w:r>
              <w:rPr>
                <w:sz w:val="20"/>
                <w:szCs w:val="20"/>
              </w:rPr>
              <w:t xml:space="preserve">Free, self-hostable</w:t>
            </w:r>
          </w:p>
        </w:tc>
      </w:tr>
      <w:tr>
        <w:tc>
          <w:tcPr>
            <w:tcMar>
              <w:top w:type="dxa" w:w="100"/>
              <w:left w:type="dxa" w:w="120"/>
              <w:bottom w:type="dxa" w:w="100"/>
              <w:right w:type="dxa" w:w="120"/>
            </w:tcMar>
          </w:tcPr>
          <w:p>
            <w:r>
              <w:rPr>
                <w:sz w:val="20"/>
                <w:szCs w:val="20"/>
              </w:rPr>
              <w:t xml:space="preserve">Hosting</w:t>
            </w:r>
          </w:p>
        </w:tc>
        <w:tc>
          <w:tcPr>
            <w:tcMar>
              <w:top w:type="dxa" w:w="100"/>
              <w:left w:type="dxa" w:w="120"/>
              <w:bottom w:type="dxa" w:w="100"/>
              <w:right w:type="dxa" w:w="120"/>
            </w:tcMar>
          </w:tcPr>
          <w:p>
            <w:r>
              <w:rPr>
                <w:sz w:val="20"/>
                <w:szCs w:val="20"/>
              </w:rPr>
              <w:t xml:space="preserve">Vercel free tier</w:t>
            </w:r>
          </w:p>
        </w:tc>
        <w:tc>
          <w:tcPr>
            <w:tcMar>
              <w:top w:type="dxa" w:w="100"/>
              <w:left w:type="dxa" w:w="120"/>
              <w:bottom w:type="dxa" w:w="100"/>
              <w:right w:type="dxa" w:w="120"/>
            </w:tcMar>
          </w:tcPr>
          <w:p>
            <w:r>
              <w:rPr>
                <w:sz w:val="20"/>
                <w:szCs w:val="20"/>
              </w:rPr>
              <w:t xml:space="preserve">Free</w:t>
            </w:r>
          </w:p>
        </w:tc>
      </w:tr>
    </w:tbl>
    <w:p>
      <w:pPr>
        <w:pStyle w:val="Heading3"/>
        <w:spacing w:after="100" w:before="200"/>
      </w:pPr>
      <w:r>
        <w:t xml:space="preserve">Rare-but-classy techniques to reach for (all free to implement)</w:t>
      </w:r>
    </w:p>
    <w:p>
      <w:pPr>
        <w:pStyle w:val="ListParagraph"/>
        <w:numPr>
          <w:ilvl w:val="0"/>
          <w:numId w:val="4"/>
        </w:numPr>
        <w:spacing w:after="80"/>
      </w:pPr>
      <w:r>
        <w:t xml:space="preserve">Split-flap / flip-digit number transitions for every price, instead of an instant swap or a generic count-up</w:t>
      </w:r>
    </w:p>
    <w:p>
      <w:pPr>
        <w:pStyle w:val="ListParagraph"/>
        <w:numPr>
          <w:ilvl w:val="0"/>
          <w:numId w:val="4"/>
        </w:numPr>
        <w:spacing w:after="80"/>
      </w:pPr>
      <w:r>
        <w:t xml:space="preserve">A fine paper-grain noise texture (a tiny inline SVG filter, no image asset) over the Paper surface, so it doesn't read as flat SaaS white</w:t>
      </w:r>
    </w:p>
    <w:p>
      <w:pPr>
        <w:pStyle w:val="ListParagraph"/>
        <w:numPr>
          <w:ilvl w:val="0"/>
          <w:numId w:val="4"/>
        </w:numPr>
        <w:spacing w:after="80"/>
      </w:pPr>
      <w:r>
        <w:t xml:space="preserve">Tabular-figure alignment (font-variant-numeric: tabular-nums) so every currency column lines up like a real ledger</w:t>
      </w:r>
    </w:p>
    <w:p>
      <w:pPr>
        <w:pStyle w:val="ListParagraph"/>
        <w:numPr>
          <w:ilvl w:val="0"/>
          <w:numId w:val="4"/>
        </w:numPr>
        <w:spacing w:after="80"/>
      </w:pPr>
      <w:r>
        <w:t xml:space="preserve">A subtle engraved/embossed border treatment on the winning recommendation card, echoing a currency note's guilloché border, done in pure CSS — not a stock illustration</w:t>
      </w:r>
    </w:p>
    <w:p>
      <w:pPr>
        <w:pStyle w:val="ListParagraph"/>
        <w:numPr>
          <w:ilvl w:val="0"/>
          <w:numId w:val="4"/>
        </w:numPr>
        <w:spacing w:after="80"/>
      </w:pPr>
      <w:r>
        <w:t xml:space="preserve">Motion restraint: one orchestrated load sequence (ticker flips in, then cards settle), and otherwise calm — avoid scattering hover effects everywhere, which is one of the most common tells of an AI-generated interface</w:t>
      </w:r>
    </w:p>
    <w:p>
      <w:pPr>
        <w:pStyle w:val="Heading3"/>
        <w:spacing w:after="100" w:before="200"/>
      </w:pPr>
      <w:r>
        <w:t xml:space="preserve">What to build</w:t>
      </w:r>
    </w:p>
    <w:p>
      <w:pPr>
        <w:pStyle w:val="ListParagraph"/>
        <w:numPr>
          <w:ilvl w:val="0"/>
          <w:numId w:val="2"/>
        </w:numPr>
        <w:spacing w:after="80"/>
      </w:pPr>
      <w:r>
        <w:t xml:space="preserve">Input form: text box plus optional structured fallback fields (budget, country).</w:t>
      </w:r>
    </w:p>
    <w:p>
      <w:pPr>
        <w:pStyle w:val="ListParagraph"/>
        <w:numPr>
          <w:ilvl w:val="0"/>
          <w:numId w:val="2"/>
        </w:numPr>
        <w:spacing w:after="80"/>
      </w:pPr>
      <w:r>
        <w:t xml:space="preserve">Loading state using the split-flap ticker itself as the loading indicator, so waiting feels intentional rather than a frozen screen.</w:t>
      </w:r>
    </w:p>
    <w:p>
      <w:pPr>
        <w:pStyle w:val="ListParagraph"/>
        <w:numPr>
          <w:ilvl w:val="0"/>
          <w:numId w:val="2"/>
        </w:numPr>
        <w:spacing w:after="80"/>
      </w:pPr>
      <w:r>
        <w:t xml:space="preserve">Results view: cards per country, local/shipped/carried clearly separated, best-card badge, timing note, freshness badge.</w:t>
      </w:r>
    </w:p>
    <w:p>
      <w:pPr>
        <w:pStyle w:val="ListParagraph"/>
        <w:numPr>
          <w:ilvl w:val="0"/>
          <w:numId w:val="2"/>
        </w:numPr>
        <w:spacing w:after="80"/>
      </w:pPr>
      <w:r>
        <w:t xml:space="preserve">Freshness/confidence badges on every price and card offer, showing 'checked Xh ago' / 'verified Xd ago', pulled straight from your existing last_verified_at columns.</w:t>
      </w:r>
    </w:p>
    <w:p>
      <w:pPr>
        <w:pStyle w:val="ListParagraph"/>
        <w:numPr>
          <w:ilvl w:val="0"/>
          <w:numId w:val="2"/>
        </w:numPr>
        <w:spacing w:after="80"/>
      </w:pPr>
      <w:r>
        <w:t xml:space="preserve">Mobile-first layout — the ticker and stamp both need to degrade gracefully on small screens, test this early, not last.</w:t>
      </w:r>
    </w:p>
    <w:p>
      <w:pPr>
        <w:pStyle w:val="Heading3"/>
        <w:spacing w:after="100" w:before="200"/>
      </w:pPr>
      <w:r>
        <w:t xml:space="preserve">Phase 8 checklist</w:t>
      </w:r>
    </w:p>
    <w:p>
      <w:pPr>
        <w:pStyle w:val="ListParagraph"/>
        <w:numPr>
          <w:ilvl w:val="0"/>
          <w:numId w:val="3"/>
        </w:numPr>
        <w:spacing w:after="80"/>
      </w:pPr>
      <w:r>
        <w:t xml:space="preserve">Palette and type choices documented as design tokens, not scattered inline styles</w:t>
      </w:r>
    </w:p>
    <w:p>
      <w:pPr>
        <w:pStyle w:val="ListParagraph"/>
        <w:numPr>
          <w:ilvl w:val="0"/>
          <w:numId w:val="3"/>
        </w:numPr>
        <w:spacing w:after="80"/>
      </w:pPr>
      <w:r>
        <w:t xml:space="preserve">Split-flap ticker and stamp animation both implemented and tested on mobile</w:t>
      </w:r>
    </w:p>
    <w:p>
      <w:pPr>
        <w:pStyle w:val="ListParagraph"/>
        <w:numPr>
          <w:ilvl w:val="0"/>
          <w:numId w:val="3"/>
        </w:numPr>
        <w:spacing w:after="80"/>
      </w:pPr>
      <w:r>
        <w:t xml:space="preserve">Freshness badges visible on every price and every card offer</w:t>
      </w:r>
    </w:p>
    <w:p>
      <w:pPr>
        <w:pStyle w:val="ListParagraph"/>
        <w:numPr>
          <w:ilvl w:val="0"/>
          <w:numId w:val="3"/>
        </w:numPr>
        <w:spacing w:after="80"/>
      </w:pPr>
      <w:r>
        <w:t xml:space="preserve">Results view clearly separates the three cost scenarios, never blends them</w:t>
      </w:r>
    </w:p>
    <w:p>
      <w:pPr>
        <w:pStyle w:val="ListParagraph"/>
        <w:numPr>
          <w:ilvl w:val="0"/>
          <w:numId w:val="3"/>
        </w:numPr>
        <w:spacing w:after="80"/>
      </w:pPr>
      <w:r>
        <w:t xml:space="preserve">A second person who has never seen the product describes it as 'not like other AI tools' unprompted</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9: Real Testing &amp; Trust Hardening</w:t>
            </w:r>
          </w:p>
          <w:p>
            <w:r>
              <w:rPr>
                <w:i/>
                <w:iCs/>
                <w:color w:val="555555"/>
                <w:sz w:val="20"/>
                <w:szCs w:val="20"/>
              </w:rPr>
              <w:t xml:space="preserve">Week 15 onward, ongoing</w:t>
            </w:r>
          </w:p>
        </w:tc>
      </w:tr>
    </w:tbl>
    <w:p>
      <w:pPr>
        <w:spacing w:after="120"/>
      </w:pPr>
      <w:r>
        <w:t xml:space="preserve"/>
      </w:r>
    </w:p>
    <w:p>
      <w:pPr>
        <w:pStyle w:val="Heading3"/>
        <w:spacing w:after="100" w:before="200"/>
      </w:pPr>
      <w:r>
        <w:t xml:space="preserve">What you're doing</w:t>
      </w:r>
    </w:p>
    <w:p>
      <w:pPr>
        <w:spacing w:after="120"/>
      </w:pPr>
      <w:r>
        <w:t xml:space="preserve">Getting real people to use it for real purchases, and catching every place where the numbers are wrong, stale, or confusing before showing this to a company.</w:t>
      </w:r>
    </w:p>
    <w:p>
      <w:pPr>
        <w:pStyle w:val="Heading3"/>
        <w:spacing w:after="100" w:before="200"/>
      </w:pPr>
      <w:r>
        <w:t xml:space="preserve">What to do</w:t>
      </w:r>
    </w:p>
    <w:p>
      <w:pPr>
        <w:pStyle w:val="ListParagraph"/>
        <w:numPr>
          <w:ilvl w:val="0"/>
          <w:numId w:val="2"/>
        </w:numPr>
        <w:spacing w:after="80"/>
      </w:pPr>
      <w:r>
        <w:t xml:space="preserve">Get 15–20 people to actually try it for a real purchase they're considering.</w:t>
      </w:r>
    </w:p>
    <w:p>
      <w:pPr>
        <w:pStyle w:val="ListParagraph"/>
        <w:numPr>
          <w:ilvl w:val="0"/>
          <w:numId w:val="2"/>
        </w:numPr>
        <w:spacing w:after="80"/>
      </w:pPr>
      <w:r>
        <w:t xml:space="preserve">Manually verify each test's output against reality — price match, card offer validity, duty calculation correctness.</w:t>
      </w:r>
    </w:p>
    <w:p>
      <w:pPr>
        <w:pStyle w:val="ListParagraph"/>
        <w:numPr>
          <w:ilvl w:val="0"/>
          <w:numId w:val="2"/>
        </w:numPr>
        <w:spacing w:after="80"/>
      </w:pPr>
      <w:r>
        <w:t xml:space="preserve">Track a simple accuracy log: product tested, what the tool said, what was actually true.</w:t>
      </w:r>
    </w:p>
    <w:p>
      <w:pPr>
        <w:pStyle w:val="ListParagraph"/>
        <w:numPr>
          <w:ilvl w:val="0"/>
          <w:numId w:val="2"/>
        </w:numPr>
        <w:spacing w:after="80"/>
      </w:pPr>
      <w:r>
        <w:t xml:space="preserve">Add basic rate limiting on your own API so test traffic doesn't burn free-tier quotas in one afternoon.</w:t>
      </w:r>
    </w:p>
    <w:p>
      <w:pPr>
        <w:pStyle w:val="ListParagraph"/>
        <w:numPr>
          <w:ilvl w:val="0"/>
          <w:numId w:val="2"/>
        </w:numPr>
        <w:spacing w:after="80"/>
      </w:pPr>
      <w:r>
        <w:t xml:space="preserve">Add a simple feedback button so users can flag wrong offers directly.</w:t>
      </w:r>
    </w:p>
    <w:p>
      <w:pPr>
        <w:pStyle w:val="Heading3"/>
        <w:spacing w:after="100" w:before="200"/>
      </w:pPr>
      <w:r>
        <w:t xml:space="preserve">Phase 9 checklist</w:t>
      </w:r>
    </w:p>
    <w:p>
      <w:pPr>
        <w:pStyle w:val="ListParagraph"/>
        <w:numPr>
          <w:ilvl w:val="0"/>
          <w:numId w:val="3"/>
        </w:numPr>
        <w:spacing w:after="80"/>
      </w:pPr>
      <w:r>
        <w:t xml:space="preserve">15+ real test users, real purchase intents</w:t>
      </w:r>
    </w:p>
    <w:p>
      <w:pPr>
        <w:pStyle w:val="ListParagraph"/>
        <w:numPr>
          <w:ilvl w:val="0"/>
          <w:numId w:val="3"/>
        </w:numPr>
        <w:spacing w:after="80"/>
      </w:pPr>
      <w:r>
        <w:t xml:space="preserve">Accuracy log kept and reviewed</w:t>
      </w:r>
    </w:p>
    <w:p>
      <w:pPr>
        <w:pStyle w:val="ListParagraph"/>
        <w:numPr>
          <w:ilvl w:val="0"/>
          <w:numId w:val="3"/>
        </w:numPr>
        <w:spacing w:after="80"/>
      </w:pPr>
      <w:r>
        <w:t xml:space="preserve">Rate limiting in place</w:t>
      </w:r>
    </w:p>
    <w:p>
      <w:pPr>
        <w:pStyle w:val="ListParagraph"/>
        <w:numPr>
          <w:ilvl w:val="0"/>
          <w:numId w:val="3"/>
        </w:numPr>
        <w:spacing w:after="80"/>
      </w:pPr>
      <w:r>
        <w:t xml:space="preserve">Feedback mechanism live</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10: Packaging It to Sell</w:t>
            </w:r>
          </w:p>
          <w:p>
            <w:r>
              <w:rPr>
                <w:i/>
                <w:iCs/>
                <w:color w:val="555555"/>
                <w:sz w:val="20"/>
                <w:szCs w:val="20"/>
              </w:rPr>
              <w:t xml:space="preserve">Once Phases 0–9 are solid</w:t>
            </w:r>
          </w:p>
        </w:tc>
      </w:tr>
    </w:tbl>
    <w:p>
      <w:pPr>
        <w:spacing w:after="120"/>
      </w:pPr>
      <w:r>
        <w:t xml:space="preserve"/>
      </w:r>
    </w:p>
    <w:p>
      <w:pPr>
        <w:pStyle w:val="Heading3"/>
        <w:spacing w:after="100" w:before="200"/>
      </w:pPr>
      <w:r>
        <w:t xml:space="preserve">What you're doing</w:t>
      </w:r>
    </w:p>
    <w:p>
      <w:pPr>
        <w:spacing w:after="120"/>
      </w:pPr>
      <w:r>
        <w:t xml:space="preserve">Turning the working product into something a company can license, embed, or buy access to.</w:t>
      </w:r>
    </w:p>
    <w:p>
      <w:pPr>
        <w:pStyle w:val="Heading3"/>
        <w:spacing w:after="100" w:before="200"/>
      </w:pPr>
      <w:r>
        <w:t xml:space="preserve">What to build</w:t>
      </w:r>
    </w:p>
    <w:p>
      <w:pPr>
        <w:pStyle w:val="ListParagraph"/>
        <w:numPr>
          <w:ilvl w:val="0"/>
          <w:numId w:val="2"/>
        </w:numPr>
        <w:spacing w:after="80"/>
      </w:pPr>
      <w:r>
        <w:t xml:space="preserve">Expose the Phase 6 orchestration function as a documented REST endpoint (POST /compare).</w:t>
      </w:r>
    </w:p>
    <w:p>
      <w:pPr>
        <w:pStyle w:val="ListParagraph"/>
        <w:numPr>
          <w:ilvl w:val="0"/>
          <w:numId w:val="2"/>
        </w:numPr>
        <w:spacing w:after="80"/>
      </w:pPr>
      <w:r>
        <w:t xml:space="preserve">Write simple API documentation: request format, response format, example calls.</w:t>
      </w:r>
    </w:p>
    <w:p>
      <w:pPr>
        <w:pStyle w:val="ListParagraph"/>
        <w:numPr>
          <w:ilvl w:val="0"/>
          <w:numId w:val="2"/>
        </w:numPr>
        <w:spacing w:after="80"/>
      </w:pPr>
      <w:r>
        <w:t xml:space="preserve">Revenue or serious interest justifies upgrading free-tier APIs to paid tiers later — the architecture doesn't change, only the quota ceiling.</w:t>
      </w:r>
    </w:p>
    <w:p>
      <w:pPr>
        <w:pStyle w:val="Heading3"/>
        <w:spacing w:after="100" w:before="200"/>
      </w:pPr>
      <w:r>
        <w:t xml:space="preserve">Who to approach</w:t>
      </w:r>
    </w:p>
    <w:p>
      <w:pPr>
        <w:pStyle w:val="ListParagraph"/>
        <w:numPr>
          <w:ilvl w:val="0"/>
          <w:numId w:val="4"/>
        </w:numPr>
        <w:spacing w:after="80"/>
      </w:pPr>
      <w:r>
        <w:t xml:space="preserve">Personal finance / card comparison apps and websites</w:t>
      </w:r>
    </w:p>
    <w:p>
      <w:pPr>
        <w:pStyle w:val="ListParagraph"/>
        <w:numPr>
          <w:ilvl w:val="0"/>
          <w:numId w:val="4"/>
        </w:numPr>
        <w:spacing w:after="80"/>
      </w:pPr>
      <w:r>
        <w:t xml:space="preserve">E-commerce platforms wanting a 'best card for this purchase' checkout widget</w:t>
      </w:r>
    </w:p>
    <w:p>
      <w:pPr>
        <w:pStyle w:val="ListParagraph"/>
        <w:numPr>
          <w:ilvl w:val="0"/>
          <w:numId w:val="4"/>
        </w:numPr>
        <w:spacing w:after="80"/>
      </w:pPr>
      <w:r>
        <w:t xml:space="preserve">Banks or card issuers wanting to promote their own offers through your data</w:t>
      </w:r>
    </w:p>
    <w:p>
      <w:pPr>
        <w:pStyle w:val="ListParagraph"/>
        <w:numPr>
          <w:ilvl w:val="0"/>
          <w:numId w:val="4"/>
        </w:numPr>
        <w:spacing w:after="80"/>
      </w:pPr>
      <w:r>
        <w:t xml:space="preserve">Fintech startups building spend-optimization tools</w:t>
      </w:r>
    </w:p>
    <w:p>
      <w:pPr>
        <w:pStyle w:val="Heading3"/>
        <w:spacing w:after="100" w:before="200"/>
      </w:pPr>
      <w:r>
        <w:t xml:space="preserve">Phase 10 checklist</w:t>
      </w:r>
    </w:p>
    <w:p>
      <w:pPr>
        <w:pStyle w:val="ListParagraph"/>
        <w:numPr>
          <w:ilvl w:val="0"/>
          <w:numId w:val="3"/>
        </w:numPr>
        <w:spacing w:after="80"/>
      </w:pPr>
      <w:r>
        <w:t xml:space="preserve">/compare endpoint documented and stable</w:t>
      </w:r>
    </w:p>
    <w:p>
      <w:pPr>
        <w:pStyle w:val="ListParagraph"/>
        <w:numPr>
          <w:ilvl w:val="0"/>
          <w:numId w:val="3"/>
        </w:numPr>
        <w:spacing w:after="80"/>
      </w:pPr>
      <w:r>
        <w:t xml:space="preserve">Example calls tested by someone outside the project</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11: Price-Drop Alerts &amp; Watchlist</w:t>
            </w:r>
          </w:p>
          <w:p>
            <w:r>
              <w:rPr>
                <w:i/>
                <w:iCs/>
                <w:color w:val="555555"/>
                <w:sz w:val="20"/>
                <w:szCs w:val="20"/>
              </w:rPr>
              <w:t xml:space="preserve">New — after Phase 8</w:t>
            </w:r>
          </w:p>
        </w:tc>
      </w:tr>
    </w:tbl>
    <w:p>
      <w:pPr>
        <w:spacing w:after="120"/>
      </w:pPr>
      <w:r>
        <w:t xml:space="preserve"/>
      </w:r>
    </w:p>
    <w:p>
      <w:pPr>
        <w:pStyle w:val="Heading3"/>
        <w:spacing w:after="100" w:before="200"/>
      </w:pPr>
      <w:r>
        <w:t xml:space="preserve">What you're doing</w:t>
      </w:r>
    </w:p>
    <w:p>
      <w:pPr>
        <w:spacing w:after="120"/>
      </w:pPr>
      <w:r>
        <w:t xml:space="preserve">Letting a user save a product and a target price, and notifying them the moment price_snapshots shows it's been hit — reusing data you're already logging from Phase 2.</w:t>
      </w:r>
    </w:p>
    <w:p>
      <w:pPr>
        <w:pStyle w:val="Heading3"/>
        <w:spacing w:after="100" w:before="200"/>
      </w:pPr>
      <w:r>
        <w:t xml:space="preserve">What to build</w:t>
      </w:r>
    </w:p>
    <w:p>
      <w:pPr>
        <w:pStyle w:val="ListParagraph"/>
        <w:numPr>
          <w:ilvl w:val="0"/>
          <w:numId w:val="2"/>
        </w:numPr>
        <w:spacing w:after="80"/>
      </w:pPr>
      <w:r>
        <w:t xml:space="preserve">A watchlist table: user, product, target_price, country, channel (email or WhatsApp).</w:t>
      </w:r>
    </w:p>
    <w:p>
      <w:pPr>
        <w:pStyle w:val="ListParagraph"/>
        <w:numPr>
          <w:ilvl w:val="0"/>
          <w:numId w:val="2"/>
        </w:numPr>
        <w:spacing w:after="80"/>
      </w:pPr>
      <w:r>
        <w:t xml:space="preserve">A scheduled job (free-tier cron, e.g. Supabase Edge Functions on a schedule) that checks new price_snapshots rows against open watchlist rows.</w:t>
      </w:r>
    </w:p>
    <w:p>
      <w:pPr>
        <w:pStyle w:val="ListParagraph"/>
        <w:numPr>
          <w:ilvl w:val="0"/>
          <w:numId w:val="2"/>
        </w:numPr>
        <w:spacing w:after="80"/>
      </w:pPr>
      <w:r>
        <w:t xml:space="preserve">Send notifications via WhatsApp Cloud API (free tier, reusing the integration already built for SmartStudy AI) or email (free tier via Resend or similar).</w:t>
      </w:r>
    </w:p>
    <w:p>
      <w:pPr>
        <w:pStyle w:val="Heading3"/>
        <w:spacing w:after="100" w:before="200"/>
      </w:pPr>
      <w:r>
        <w:t xml:space="preserve">Phase 11 checklist</w:t>
      </w:r>
    </w:p>
    <w:p>
      <w:pPr>
        <w:pStyle w:val="ListParagraph"/>
        <w:numPr>
          <w:ilvl w:val="0"/>
          <w:numId w:val="3"/>
        </w:numPr>
        <w:spacing w:after="80"/>
      </w:pPr>
      <w:r>
        <w:t xml:space="preserve">Watchlist entries created and stored per user</w:t>
      </w:r>
    </w:p>
    <w:p>
      <w:pPr>
        <w:pStyle w:val="ListParagraph"/>
        <w:numPr>
          <w:ilvl w:val="0"/>
          <w:numId w:val="3"/>
        </w:numPr>
        <w:spacing w:after="80"/>
      </w:pPr>
      <w:r>
        <w:t xml:space="preserve">Scheduled job correctly matches new snapshots against open targets</w:t>
      </w:r>
    </w:p>
    <w:p>
      <w:pPr>
        <w:pStyle w:val="ListParagraph"/>
        <w:numPr>
          <w:ilvl w:val="0"/>
          <w:numId w:val="3"/>
        </w:numPr>
        <w:spacing w:after="80"/>
      </w:pPr>
      <w:r>
        <w:t xml:space="preserve">Notification delivered end-to-end on at least one real test case</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12: Multi-Item / Cart Comparison</w:t>
            </w:r>
          </w:p>
          <w:p>
            <w:r>
              <w:rPr>
                <w:i/>
                <w:iCs/>
                <w:color w:val="555555"/>
                <w:sz w:val="20"/>
                <w:szCs w:val="20"/>
              </w:rPr>
              <w:t xml:space="preserve">New — after Phase 6</w:t>
            </w:r>
          </w:p>
        </w:tc>
      </w:tr>
    </w:tbl>
    <w:p>
      <w:pPr>
        <w:spacing w:after="120"/>
      </w:pPr>
      <w:r>
        <w:t xml:space="preserve"/>
      </w:r>
    </w:p>
    <w:p>
      <w:pPr>
        <w:pStyle w:val="Heading3"/>
        <w:spacing w:after="100" w:before="200"/>
      </w:pPr>
      <w:r>
        <w:t xml:space="preserve">What you're doing</w:t>
      </w:r>
    </w:p>
    <w:p>
      <w:pPr>
        <w:spacing w:after="120"/>
      </w:pPr>
      <w:r>
        <w:t xml:space="preserve">Letting a user paste a whole cart instead of one product, and returning one combined 'best country + best card' recommendation — since buying several items from the same seller or country changes the duty-free math.</w:t>
      </w:r>
    </w:p>
    <w:p>
      <w:pPr>
        <w:pStyle w:val="Heading3"/>
        <w:spacing w:after="100" w:before="200"/>
      </w:pPr>
      <w:r>
        <w:t xml:space="preserve">What to build</w:t>
      </w:r>
    </w:p>
    <w:p>
      <w:pPr>
        <w:pStyle w:val="ListParagraph"/>
        <w:numPr>
          <w:ilvl w:val="0"/>
          <w:numId w:val="2"/>
        </w:numPr>
        <w:spacing w:after="80"/>
      </w:pPr>
      <w:r>
        <w:t xml:space="preserve">Extend Phase 1's intent parser to accept a list of products in one request.</w:t>
      </w:r>
    </w:p>
    <w:p>
      <w:pPr>
        <w:pStyle w:val="ListParagraph"/>
        <w:numPr>
          <w:ilvl w:val="0"/>
          <w:numId w:val="2"/>
        </w:numPr>
        <w:spacing w:after="80"/>
      </w:pPr>
      <w:r>
        <w:t xml:space="preserve">Run get_full_comparison per item, then a new aggregate step that sums per-country totals and re-checks the duty-free allowance against the combined value, not each item separately.</w:t>
      </w:r>
    </w:p>
    <w:p>
      <w:pPr>
        <w:pStyle w:val="ListParagraph"/>
        <w:numPr>
          <w:ilvl w:val="0"/>
          <w:numId w:val="2"/>
        </w:numPr>
        <w:spacing w:after="80"/>
      </w:pPr>
      <w:r>
        <w:t xml:space="preserve">Surface a single combined recommendation, while still letting the user expand to see the per-item breakdown.</w:t>
      </w:r>
    </w:p>
    <w:p>
      <w:pPr>
        <w:pStyle w:val="Heading3"/>
        <w:spacing w:after="100" w:before="200"/>
      </w:pPr>
      <w:r>
        <w:t xml:space="preserve">Phase 12 checklist</w:t>
      </w:r>
    </w:p>
    <w:p>
      <w:pPr>
        <w:pStyle w:val="ListParagraph"/>
        <w:numPr>
          <w:ilvl w:val="0"/>
          <w:numId w:val="3"/>
        </w:numPr>
        <w:spacing w:after="80"/>
      </w:pPr>
      <w:r>
        <w:t xml:space="preserve">Parser accepts and correctly separates a multi-item request</w:t>
      </w:r>
    </w:p>
    <w:p>
      <w:pPr>
        <w:pStyle w:val="ListParagraph"/>
        <w:numPr>
          <w:ilvl w:val="0"/>
          <w:numId w:val="3"/>
        </w:numPr>
        <w:spacing w:after="80"/>
      </w:pPr>
      <w:r>
        <w:t xml:space="preserve">Combined duty-free check uses total cart value, not per-item value</w:t>
      </w:r>
    </w:p>
    <w:p>
      <w:pPr>
        <w:pStyle w:val="ListParagraph"/>
        <w:numPr>
          <w:ilvl w:val="0"/>
          <w:numId w:val="3"/>
        </w:numPr>
        <w:spacing w:after="80"/>
      </w:pPr>
      <w:r>
        <w:t xml:space="preserve">Per-item breakdown still available on request</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13: Total Cost of Ownership</w:t>
            </w:r>
          </w:p>
          <w:p>
            <w:r>
              <w:rPr>
                <w:i/>
                <w:iCs/>
                <w:color w:val="555555"/>
                <w:sz w:val="20"/>
                <w:szCs w:val="20"/>
              </w:rPr>
              <w:t xml:space="preserve">New — alongside Phases 3 and 5, before Phase 6</w:t>
            </w:r>
          </w:p>
        </w:tc>
      </w:tr>
    </w:tbl>
    <w:p>
      <w:pPr>
        <w:spacing w:after="120"/>
      </w:pPr>
      <w:r>
        <w:t xml:space="preserve"/>
      </w:r>
    </w:p>
    <w:p>
      <w:pPr>
        <w:pStyle w:val="Heading3"/>
        <w:spacing w:after="100" w:before="200"/>
      </w:pPr>
      <w:r>
        <w:t xml:space="preserve">What you're doing</w:t>
      </w:r>
    </w:p>
    <w:p>
      <w:pPr>
        <w:spacing w:after="120"/>
      </w:pPr>
      <w:r>
        <w:t xml:space="preserve">Factoring in warranty validity and after-sales support per country, since a cheaper import can become a bad deal the moment something needs repair.</w:t>
      </w:r>
    </w:p>
    <w:p>
      <w:pPr>
        <w:pStyle w:val="Heading3"/>
        <w:spacing w:after="100" w:before="200"/>
      </w:pPr>
      <w:r>
        <w:t xml:space="preserve">What to build</w:t>
      </w:r>
    </w:p>
    <w:p>
      <w:pPr>
        <w:pStyle w:val="ListParagraph"/>
        <w:numPr>
          <w:ilvl w:val="0"/>
          <w:numId w:val="2"/>
        </w:numPr>
        <w:spacing w:after="80"/>
      </w:pPr>
      <w:r>
        <w:t xml:space="preserve">A warranty_rules table per manufacturer/category/country: international warranty honored (yes/no), local service center availability.</w:t>
      </w:r>
    </w:p>
    <w:p>
      <w:pPr>
        <w:pStyle w:val="ListParagraph"/>
        <w:numPr>
          <w:ilvl w:val="0"/>
          <w:numId w:val="2"/>
        </w:numPr>
        <w:spacing w:after="80"/>
      </w:pPr>
      <w:r>
        <w:t xml:space="preserve">Feed this into the true-cost output as a clear caveat line, not a hidden number — e.g. 'this price has no local warranty support.'</w:t>
      </w:r>
    </w:p>
    <w:p>
      <w:pPr>
        <w:pStyle w:val="ListParagraph"/>
        <w:numPr>
          <w:ilvl w:val="0"/>
          <w:numId w:val="2"/>
        </w:numPr>
        <w:spacing w:after="80"/>
      </w:pPr>
      <w:r>
        <w:t xml:space="preserve">Source this data manually for your top tracked categories first (same approach as country_rules in Phase 3) rather than trying to auto-scrape it.</w:t>
      </w:r>
    </w:p>
    <w:p>
      <w:pPr>
        <w:pStyle w:val="Heading3"/>
        <w:spacing w:after="100" w:before="200"/>
      </w:pPr>
      <w:r>
        <w:t xml:space="preserve">Phase 13 checklist</w:t>
      </w:r>
    </w:p>
    <w:p>
      <w:pPr>
        <w:pStyle w:val="ListParagraph"/>
        <w:numPr>
          <w:ilvl w:val="0"/>
          <w:numId w:val="3"/>
        </w:numPr>
        <w:spacing w:after="80"/>
      </w:pPr>
      <w:r>
        <w:t xml:space="preserve">warranty_rules populated for top tracked product categories</w:t>
      </w:r>
    </w:p>
    <w:p>
      <w:pPr>
        <w:pStyle w:val="ListParagraph"/>
        <w:numPr>
          <w:ilvl w:val="0"/>
          <w:numId w:val="3"/>
        </w:numPr>
        <w:spacing w:after="80"/>
      </w:pPr>
      <w:r>
        <w:t xml:space="preserve">Warranty caveat shown clearly wherever it applies, never buried</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14: Alternative / Substitute Product Suggestions</w:t>
            </w:r>
          </w:p>
          <w:p>
            <w:r>
              <w:rPr>
                <w:i/>
                <w:iCs/>
                <w:color w:val="555555"/>
                <w:sz w:val="20"/>
                <w:szCs w:val="20"/>
              </w:rPr>
              <w:t xml:space="preserve">New — after Phase 6</w:t>
            </w:r>
          </w:p>
        </w:tc>
      </w:tr>
    </w:tbl>
    <w:p>
      <w:pPr>
        <w:spacing w:after="120"/>
      </w:pPr>
      <w:r>
        <w:t xml:space="preserve"/>
      </w:r>
    </w:p>
    <w:p>
      <w:pPr>
        <w:pStyle w:val="Heading3"/>
        <w:spacing w:after="100" w:before="200"/>
      </w:pPr>
      <w:r>
        <w:t xml:space="preserve">What you're doing</w:t>
      </w:r>
    </w:p>
    <w:p>
      <w:pPr>
        <w:spacing w:after="120"/>
      </w:pPr>
      <w:r>
        <w:t xml:space="preserve">Surfacing a close substitute (e.g. previous generation model) when it's meaningfully cheaper somewhere, always traced back to a real logged price.</w:t>
      </w:r>
    </w:p>
    <w:p>
      <w:pPr>
        <w:pStyle w:val="Heading3"/>
        <w:spacing w:after="100" w:before="200"/>
      </w:pPr>
      <w:r>
        <w:t xml:space="preserve">What to build</w:t>
      </w:r>
    </w:p>
    <w:p>
      <w:pPr>
        <w:pStyle w:val="ListParagraph"/>
        <w:numPr>
          <w:ilvl w:val="0"/>
          <w:numId w:val="2"/>
        </w:numPr>
        <w:spacing w:after="80"/>
      </w:pPr>
      <w:r>
        <w:t xml:space="preserve">An LLM-assisted step that proposes plausible substitutes for the parsed product.</w:t>
      </w:r>
    </w:p>
    <w:p>
      <w:pPr>
        <w:pStyle w:val="ListParagraph"/>
        <w:numPr>
          <w:ilvl w:val="0"/>
          <w:numId w:val="2"/>
        </w:numPr>
        <w:spacing w:after="80"/>
      </w:pPr>
      <w:r>
        <w:t xml:space="preserve">Run each substitute through the existing Phase 2–6 pipeline exactly like a normal product — never let the model estimate a substitute's price itself.</w:t>
      </w:r>
    </w:p>
    <w:p>
      <w:pPr>
        <w:pStyle w:val="ListParagraph"/>
        <w:numPr>
          <w:ilvl w:val="0"/>
          <w:numId w:val="2"/>
        </w:numPr>
        <w:spacing w:after="80"/>
      </w:pPr>
      <w:r>
        <w:t xml:space="preserve">Only surface a substitute suggestion if a real price_snapshot exists for it.</w:t>
      </w:r>
    </w:p>
    <w:p>
      <w:pPr>
        <w:pStyle w:val="Heading3"/>
        <w:spacing w:after="100" w:before="200"/>
      </w:pPr>
      <w:r>
        <w:t xml:space="preserve">Phase 14 checklist</w:t>
      </w:r>
    </w:p>
    <w:p>
      <w:pPr>
        <w:pStyle w:val="ListParagraph"/>
        <w:numPr>
          <w:ilvl w:val="0"/>
          <w:numId w:val="3"/>
        </w:numPr>
        <w:spacing w:after="80"/>
      </w:pPr>
      <w:r>
        <w:t xml:space="preserve">Substitutes only ever shown with a real, sourced price</w:t>
      </w:r>
    </w:p>
    <w:p>
      <w:pPr>
        <w:pStyle w:val="ListParagraph"/>
        <w:numPr>
          <w:ilvl w:val="0"/>
          <w:numId w:val="3"/>
        </w:numPr>
        <w:spacing w:after="80"/>
      </w:pPr>
      <w:r>
        <w:t xml:space="preserve">Clear labeling that this is a different product, not the one originally requested</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15: Resale Value Estimator</w:t>
            </w:r>
          </w:p>
          <w:p>
            <w:r>
              <w:rPr>
                <w:i/>
                <w:iCs/>
                <w:color w:val="555555"/>
                <w:sz w:val="20"/>
                <w:szCs w:val="20"/>
              </w:rPr>
              <w:t xml:space="preserve">New — after Phase 13</w:t>
            </w:r>
          </w:p>
        </w:tc>
      </w:tr>
    </w:tbl>
    <w:p>
      <w:pPr>
        <w:spacing w:after="120"/>
      </w:pPr>
      <w:r>
        <w:t xml:space="preserve"/>
      </w:r>
    </w:p>
    <w:p>
      <w:pPr>
        <w:pStyle w:val="Heading3"/>
        <w:spacing w:after="100" w:before="200"/>
      </w:pPr>
      <w:r>
        <w:t xml:space="preserve">What you're doing</w:t>
      </w:r>
    </w:p>
    <w:p>
      <w:pPr>
        <w:spacing w:after="120"/>
      </w:pPr>
      <w:r>
        <w:t xml:space="preserve">For high-value electronics especially, factoring in typical resale value in the destination country, which changes the true cost of an imported item over time.</w:t>
      </w:r>
    </w:p>
    <w:p>
      <w:pPr>
        <w:pStyle w:val="Heading3"/>
        <w:spacing w:after="100" w:before="200"/>
      </w:pPr>
      <w:r>
        <w:t xml:space="preserve">What to build</w:t>
      </w:r>
    </w:p>
    <w:p>
      <w:pPr>
        <w:pStyle w:val="ListParagraph"/>
        <w:numPr>
          <w:ilvl w:val="0"/>
          <w:numId w:val="2"/>
        </w:numPr>
        <w:spacing w:after="80"/>
      </w:pPr>
      <w:r>
        <w:t xml:space="preserve">A resale_reference table populated with typical resale percentages by category and age (e.g. '1-year-old flagship phone retains ~60% in India'), manually researched to start.</w:t>
      </w:r>
    </w:p>
    <w:p>
      <w:pPr>
        <w:pStyle w:val="ListParagraph"/>
        <w:numPr>
          <w:ilvl w:val="0"/>
          <w:numId w:val="2"/>
        </w:numPr>
        <w:spacing w:after="80"/>
      </w:pPr>
      <w:r>
        <w:t xml:space="preserve">Combine this with the Phase 3 true-cost output to show an optional 'effective cost after 1 year of use' figure, clearly labeled as an estimate based on historical resale patterns — never a guaranteed number.</w:t>
      </w:r>
    </w:p>
    <w:p>
      <w:pPr>
        <w:pStyle w:val="Heading3"/>
        <w:spacing w:after="100" w:before="200"/>
      </w:pPr>
      <w:r>
        <w:t xml:space="preserve">Phase 15 checklist</w:t>
      </w:r>
    </w:p>
    <w:p>
      <w:pPr>
        <w:pStyle w:val="ListParagraph"/>
        <w:numPr>
          <w:ilvl w:val="0"/>
          <w:numId w:val="3"/>
        </w:numPr>
        <w:spacing w:after="80"/>
      </w:pPr>
      <w:r>
        <w:t xml:space="preserve">resale_reference populated for top tracked categories</w:t>
      </w:r>
    </w:p>
    <w:p>
      <w:pPr>
        <w:pStyle w:val="ListParagraph"/>
        <w:numPr>
          <w:ilvl w:val="0"/>
          <w:numId w:val="3"/>
        </w:numPr>
        <w:spacing w:after="80"/>
      </w:pPr>
      <w:r>
        <w:t xml:space="preserve">Resale-adjusted figure always labeled as an estimate, never shown as fact</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16: Browser Extension / Embeddable Widget</w:t>
            </w:r>
          </w:p>
          <w:p>
            <w:r>
              <w:rPr>
                <w:i/>
                <w:iCs/>
                <w:color w:val="555555"/>
                <w:sz w:val="20"/>
                <w:szCs w:val="20"/>
              </w:rPr>
              <w:t xml:space="preserve">New — pulled forward from the original Phase 10 demo idea</w:t>
            </w:r>
          </w:p>
        </w:tc>
      </w:tr>
    </w:tbl>
    <w:p>
      <w:pPr>
        <w:spacing w:after="120"/>
      </w:pPr>
      <w:r>
        <w:t xml:space="preserve"/>
      </w:r>
    </w:p>
    <w:p>
      <w:pPr>
        <w:pStyle w:val="Heading3"/>
        <w:spacing w:after="100" w:before="200"/>
      </w:pPr>
      <w:r>
        <w:t xml:space="preserve">What you're doing</w:t>
      </w:r>
    </w:p>
    <w:p>
      <w:pPr>
        <w:spacing w:after="120"/>
      </w:pPr>
      <w:r>
        <w:t xml:space="preserve">Building a small, polished demo integration that shows 'best card for this page' directly on a real product listing — a far stronger proof of concept than a slide deck.</w:t>
      </w:r>
    </w:p>
    <w:p>
      <w:pPr>
        <w:pStyle w:val="Heading3"/>
        <w:spacing w:after="100" w:before="200"/>
      </w:pPr>
      <w:r>
        <w:t xml:space="preserve">What to build</w:t>
      </w:r>
    </w:p>
    <w:p>
      <w:pPr>
        <w:pStyle w:val="ListParagraph"/>
        <w:numPr>
          <w:ilvl w:val="0"/>
          <w:numId w:val="2"/>
        </w:numPr>
        <w:spacing w:after="80"/>
      </w:pPr>
      <w:r>
        <w:t xml:space="preserve">A lightweight browser extension (free to build and distribute) that detects a product page and calls your /compare endpoint.</w:t>
      </w:r>
    </w:p>
    <w:p>
      <w:pPr>
        <w:pStyle w:val="ListParagraph"/>
        <w:numPr>
          <w:ilvl w:val="0"/>
          <w:numId w:val="2"/>
        </w:numPr>
        <w:spacing w:after="80"/>
      </w:pPr>
      <w:r>
        <w:t xml:space="preserve">An overlay badge showing the best card and net price for that exact page, styled with the same design system from Phase 8.</w:t>
      </w:r>
    </w:p>
    <w:p>
      <w:pPr>
        <w:pStyle w:val="ListParagraph"/>
        <w:numPr>
          <w:ilvl w:val="0"/>
          <w:numId w:val="2"/>
        </w:numPr>
        <w:spacing w:after="80"/>
      </w:pPr>
      <w:r>
        <w:t xml:space="preserve">An embeddable widget version of the same thing, for a merchant or partner site to embed directly.</w:t>
      </w:r>
    </w:p>
    <w:p>
      <w:pPr>
        <w:pStyle w:val="Heading3"/>
        <w:spacing w:after="100" w:before="200"/>
      </w:pPr>
      <w:r>
        <w:t xml:space="preserve">Phase 16 checklist</w:t>
      </w:r>
    </w:p>
    <w:p>
      <w:pPr>
        <w:pStyle w:val="ListParagraph"/>
        <w:numPr>
          <w:ilvl w:val="0"/>
          <w:numId w:val="3"/>
        </w:numPr>
        <w:spacing w:after="80"/>
      </w:pPr>
      <w:r>
        <w:t xml:space="preserve">Extension correctly detects at least 3 major e-commerce site layouts</w:t>
      </w:r>
    </w:p>
    <w:p>
      <w:pPr>
        <w:pStyle w:val="ListParagraph"/>
        <w:numPr>
          <w:ilvl w:val="0"/>
          <w:numId w:val="3"/>
        </w:numPr>
        <w:spacing w:after="80"/>
      </w:pPr>
      <w:r>
        <w:t xml:space="preserve">Overlay badge uses the same design tokens as the main product, not a generic style</w:t>
      </w:r>
    </w:p>
    <w:p>
      <w:r>
        <w:br w:type="page"/>
      </w:r>
    </w:p>
    <w:tbl>
      <w:tblPr>
        <w:tblW w:type="pct" w:w="100%"/>
        <w:tblBorders>
          <w:top w:val="single" w:color="0B1220" w:sz="8"/>
          <w:left w:val="single" w:color="0B1220" w:sz="8"/>
          <w:bottom w:val="single" w:color="0B1220" w:sz="8"/>
          <w:right w:val="single" w:color="0B1220" w:sz="8"/>
          <w:insideH w:val="single" w:color="auto" w:sz="4"/>
          <w:insideV w:val="single" w:color="auto" w:sz="4"/>
        </w:tblBorders>
      </w:tblPr>
      <w:tblGrid>
        <w:gridCol w:w="100"/>
      </w:tblGrid>
      <w:tr>
        <w:tc>
          <w:tcPr>
            <w:shd w:fill="EFE9DA" w:val="clear"/>
            <w:tcMar>
              <w:top w:type="dxa" w:w="150"/>
              <w:left w:type="dxa" w:w="200"/>
              <w:bottom w:type="dxa" w:w="150"/>
              <w:right w:type="dxa" w:w="200"/>
            </w:tcMar>
          </w:tcPr>
          <w:p>
            <w:r>
              <w:rPr>
                <w:b/>
                <w:bCs/>
                <w:color w:val="0B1220"/>
                <w:sz w:val="26"/>
                <w:szCs w:val="26"/>
              </w:rPr>
              <w:t xml:space="preserve">PHASE 17: Public Trust &amp; Accuracy Dashboard</w:t>
            </w:r>
          </w:p>
          <w:p>
            <w:r>
              <w:rPr>
                <w:i/>
                <w:iCs/>
                <w:color w:val="555555"/>
                <w:sz w:val="20"/>
                <w:szCs w:val="20"/>
              </w:rPr>
              <w:t xml:space="preserve">New — after Phase 9</w:t>
            </w:r>
          </w:p>
        </w:tc>
      </w:tr>
    </w:tbl>
    <w:p>
      <w:pPr>
        <w:spacing w:after="120"/>
      </w:pPr>
      <w:r>
        <w:t xml:space="preserve"/>
      </w:r>
    </w:p>
    <w:p>
      <w:pPr>
        <w:pStyle w:val="Heading3"/>
        <w:spacing w:after="100" w:before="200"/>
      </w:pPr>
      <w:r>
        <w:t xml:space="preserve">What you're doing</w:t>
      </w:r>
    </w:p>
    <w:p>
      <w:pPr>
        <w:spacing w:after="120"/>
      </w:pPr>
      <w:r>
        <w:t xml:space="preserve">Publishing an anonymized version of your Phase 9 accuracy log publicly — for a money-comparison tool, a visible accuracy track record is one of the most convincing things you can show a company evaluating you.</w:t>
      </w:r>
    </w:p>
    <w:p>
      <w:pPr>
        <w:pStyle w:val="Heading3"/>
        <w:spacing w:after="100" w:before="200"/>
      </w:pPr>
      <w:r>
        <w:t xml:space="preserve">What to build</w:t>
      </w:r>
    </w:p>
    <w:p>
      <w:pPr>
        <w:pStyle w:val="ListParagraph"/>
        <w:numPr>
          <w:ilvl w:val="0"/>
          <w:numId w:val="2"/>
        </w:numPr>
        <w:spacing w:after="80"/>
      </w:pPr>
      <w:r>
        <w:t xml:space="preserve">A public page showing aggregate accuracy stats: number of tests run, percentage of prices confirmed accurate, percentage of card offers confirmed valid.</w:t>
      </w:r>
    </w:p>
    <w:p>
      <w:pPr>
        <w:pStyle w:val="ListParagraph"/>
        <w:numPr>
          <w:ilvl w:val="0"/>
          <w:numId w:val="2"/>
        </w:numPr>
        <w:spacing w:after="80"/>
      </w:pPr>
      <w:r>
        <w:t xml:space="preserve">No individual user data shown — aggregate numbers only, refreshed periodically from the Phase 9 log.</w:t>
      </w:r>
    </w:p>
    <w:p>
      <w:pPr>
        <w:pStyle w:val="Heading3"/>
        <w:spacing w:after="100" w:before="200"/>
      </w:pPr>
      <w:r>
        <w:t xml:space="preserve">Phase 17 checklist</w:t>
      </w:r>
    </w:p>
    <w:p>
      <w:pPr>
        <w:pStyle w:val="ListParagraph"/>
        <w:numPr>
          <w:ilvl w:val="0"/>
          <w:numId w:val="3"/>
        </w:numPr>
        <w:spacing w:after="80"/>
      </w:pPr>
      <w:r>
        <w:t xml:space="preserve">Dashboard live and refreshed from real accuracy log data</w:t>
      </w:r>
    </w:p>
    <w:p>
      <w:pPr>
        <w:pStyle w:val="ListParagraph"/>
        <w:numPr>
          <w:ilvl w:val="0"/>
          <w:numId w:val="3"/>
        </w:numPr>
        <w:spacing w:after="80"/>
      </w:pPr>
      <w:r>
        <w:t xml:space="preserve">No personally identifiable test data exposed</w:t>
      </w:r>
    </w:p>
    <w:p>
      <w:r>
        <w:br w:type="page"/>
      </w:r>
    </w:p>
    <w:p>
      <w:pPr>
        <w:pStyle w:val="Heading2"/>
        <w:spacing w:after="150" w:before="300"/>
      </w:pPr>
      <w:r>
        <w:t xml:space="preserve">Closing note</w:t>
      </w:r>
    </w:p>
    <w:p>
      <w:pPr>
        <w:spacing w:after="120"/>
      </w:pPr>
      <w:r>
        <w:t xml:space="preserve">The original roadmap's honest warning still applies, and applies even more strongly now that there are 18 phases instead of 11: Phases 2–5 are the data layer, and they are what make every later feature — alerts, resale estimates, the extension, the trust dashboard — actually trustworthy rather than decorative. A striking split-flap ticker over thin or fake data will not survive a company's due diligence any more than a plain one would. Build the boring data foundation first, genuinely well, and let the design system in Phase 8 be the payoff once there's real data underneath it to display.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mbria" w:cs="Cambria" w:eastAsia="Cambria" w:hAnsi="Cambria"/>
      <w:b/>
      <w:bCs/>
      <w:color w:val="0B1220"/>
      <w:sz w:val="34"/>
      <w:szCs w:val="34"/>
    </w:rPr>
  </w:style>
  <w:style w:type="paragraph" w:styleId="Heading2">
    <w:name w:val="Heading 2"/>
    <w:basedOn w:val="Normal"/>
    <w:next w:val="Normal"/>
    <w:qFormat/>
    <w:pPr>
      <w:spacing w:after="120" w:before="260"/>
    </w:pPr>
    <w:rPr>
      <w:rFonts w:ascii="Cambria" w:cs="Cambria" w:eastAsia="Cambria" w:hAnsi="Cambria"/>
      <w:b/>
      <w:bCs/>
      <w:color w:val="0B1220"/>
      <w:sz w:val="28"/>
      <w:szCs w:val="28"/>
    </w:rPr>
  </w:style>
  <w:style w:type="paragraph" w:styleId="Heading3">
    <w:name w:val="Heading 3"/>
    <w:basedOn w:val="Normal"/>
    <w:next w:val="Normal"/>
    <w:qFormat/>
    <w:pPr>
      <w:spacing w:after="100" w:before="200"/>
    </w:pPr>
    <w:rPr>
      <w:rFonts w:ascii="Cambria" w:cs="Cambria" w:eastAsia="Cambria" w:hAnsi="Cambria"/>
      <w:b/>
      <w:bCs/>
      <w:color w:val="9C3F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2026-07-10T05:02:54.296Z</dcterms:created>
  <dcterms:modified xsi:type="dcterms:W3CDTF">2026-07-10T05:02:54.313Z</dcterms:modified>
</cp:coreProperties>
</file>

<file path=docProps/custom.xml><?xml version="1.0" encoding="utf-8"?>
<Properties xmlns="http://schemas.openxmlformats.org/officeDocument/2006/custom-properties" xmlns:vt="http://schemas.openxmlformats.org/officeDocument/2006/docPropsVTypes"/>
</file>