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1E3A8A"/>
          <w:sz w:val="56"/>
        </w:rPr>
        <w:t>PREVIA (PVFC)</w:t>
      </w:r>
    </w:p>
    <w:p>
      <w:pPr>
        <w:spacing w:before="0" w:after="320"/>
      </w:pPr>
      <w:r>
        <w:rPr>
          <w:color w:val="475569"/>
          <w:sz w:val="26"/>
        </w:rPr>
        <w:t>Pre-Visit Financial Clearance, Real-Time Eligibility, Multi-Engine OCR &amp; Self-Healing Denial Prevention System</w:t>
      </w:r>
    </w:p>
    <w:tbl>
      <w:tblPr>
        <w:tblW w:type="auto" w:w="0"/>
        <w:jc w:val="center"/>
        <w:tblLook w:firstColumn="1" w:firstRow="1" w:lastColumn="0" w:lastRow="0" w:noHBand="0" w:noVBand="1" w:val="04A0"/>
      </w:tblPr>
      <w:tblGrid>
        <w:gridCol w:w="4968"/>
        <w:gridCol w:w="4968"/>
      </w:tblGrid>
      <w:tr>
        <w:tc>
          <w:tcPr>
            <w:tcW w:type="dxa" w:w="4680"/>
            <w:shd w:fill="F1F5F9"/>
            <w:tcMar>
              <w:top w:w="60" w:type="dxa"/>
              <w:bottom w:w="60" w:type="dxa"/>
              <w:left w:w="100" w:type="dxa"/>
              <w:right w:w="100" w:type="dxa"/>
            </w:tcMar>
          </w:tcPr>
          <w:p>
            <w:r>
              <w:rPr>
                <w:b/>
                <w:color w:val="334155"/>
                <w:sz w:val="17"/>
              </w:rPr>
              <w:t>Document Version: 1.0 (Production Architecture)</w:t>
            </w:r>
          </w:p>
        </w:tc>
        <w:tc>
          <w:tcPr>
            <w:tcW w:type="dxa" w:w="4680"/>
            <w:shd w:fill="F1F5F9"/>
            <w:tcMar>
              <w:top w:w="60" w:type="dxa"/>
              <w:bottom w:w="60" w:type="dxa"/>
              <w:left w:w="100" w:type="dxa"/>
              <w:right w:w="100" w:type="dxa"/>
            </w:tcMar>
          </w:tcPr>
          <w:p>
            <w:r>
              <w:rPr>
                <w:b/>
                <w:color w:val="334155"/>
                <w:sz w:val="17"/>
              </w:rPr>
              <w:t>Architecture Tier: Enterprise Healthcare Monorepo</w:t>
            </w:r>
          </w:p>
        </w:tc>
      </w:tr>
      <w:tr>
        <w:tc>
          <w:tcPr>
            <w:tcW w:type="dxa" w:w="4680"/>
            <w:shd w:fill="F1F5F9"/>
            <w:tcMar>
              <w:top w:w="60" w:type="dxa"/>
              <w:bottom w:w="60" w:type="dxa"/>
              <w:left w:w="100" w:type="dxa"/>
              <w:right w:w="100" w:type="dxa"/>
            </w:tcMar>
          </w:tcPr>
          <w:p>
            <w:r>
              <w:rPr>
                <w:b/>
                <w:color w:val="334155"/>
                <w:sz w:val="17"/>
              </w:rPr>
              <w:t>Primary Backend: FastAPI / Python 3.11+ / SQLAlchemy</w:t>
            </w:r>
          </w:p>
        </w:tc>
        <w:tc>
          <w:tcPr>
            <w:tcW w:type="dxa" w:w="4680"/>
            <w:shd w:fill="F1F5F9"/>
            <w:tcMar>
              <w:top w:w="60" w:type="dxa"/>
              <w:bottom w:w="60" w:type="dxa"/>
              <w:left w:w="100" w:type="dxa"/>
              <w:right w:w="100" w:type="dxa"/>
            </w:tcMar>
          </w:tcPr>
          <w:p>
            <w:r>
              <w:rPr>
                <w:b/>
                <w:color w:val="334155"/>
                <w:sz w:val="17"/>
              </w:rPr>
              <w:t>Primary Frontend: Next.js 16+ Turbopack / Vite 6 SPA</w:t>
            </w:r>
          </w:p>
        </w:tc>
      </w:tr>
    </w:tbl>
    <w:p>
      <w:pPr>
        <w:spacing w:after="240"/>
      </w:pPr>
    </w:p>
    <w:p>
      <w:pPr>
        <w:pStyle w:val="Heading1"/>
        <w:spacing w:before="280" w:after="80"/>
      </w:pPr>
      <w:r>
        <w:rPr>
          <w:b/>
          <w:color w:val="1E3A8A"/>
          <w:sz w:val="36"/>
        </w:rPr>
        <w:t>1. Executive Summary &amp; Architectural Philosophy</w:t>
      </w:r>
    </w:p>
    <w:p>
      <w:pPr>
        <w:spacing w:line="276" w:lineRule="auto"/>
      </w:pPr>
      <w:r>
        <w:t>In traditional healthcare Revenue Cycle Management (RCM), provider organizations operate in a reactive posture. Claims are generated post-service, transmitted via EDI 837 batches, and adjudicated weeks later by commercial or government payers. Industry data demonstrates that over 70% of claim denials—such as missing prior authorizations (CARC CO-197), terminated policy coverage (CO-27), or demographic/member ID mismatches (CO-16)—stem from preventable breakdowns during pre-registration and intake. By the time an electronic remittance advice (ERA 835) arrives with a denial, the cost of rework, appeals, and write-offs averages $118 per claim.</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180" w:type="dxa"/>
              <w:right w:w="180" w:type="dxa"/>
            </w:tcMar>
            <w:tcBorders>
              <w:top w:val="none"/>
              <w:left w:val="single" w:sz="24" w:space="0" w:color="1D4ED8"/>
              <w:bottom w:val="none"/>
              <w:right w:val="none"/>
            </w:tcBorders>
          </w:tcPr>
          <w:p>
            <w:pPr>
              <w:spacing w:before="40" w:after="40" w:line="276" w:lineRule="auto"/>
            </w:pPr>
            <w:r>
              <w:rPr>
                <w:b/>
                <w:color w:val="1E3A8A"/>
                <w:sz w:val="21"/>
              </w:rPr>
              <w:t>📌 The Previa Core Philosophy</w:t>
              <w:br/>
            </w:r>
            <w:r>
              <w:rPr>
                <w:color w:val="334155"/>
                <w:sz w:val="19"/>
              </w:rPr>
              <w:t>"Do not wait for an eligibility problem or document variance to become a claim denial 45 days after service. Detect, resolve, and autonomously self-heal the breakdown upstream during the pre-visit window."</w:t>
            </w:r>
          </w:p>
        </w:tc>
      </w:tr>
    </w:tbl>
    <w:p>
      <w:pPr>
        <w:spacing w:after="80"/>
      </w:pPr>
    </w:p>
    <w:p>
      <w:pPr>
        <w:spacing w:line="276" w:lineRule="auto"/>
      </w:pPr>
      <w:r>
        <w:t>Previa (PVFC) is built on three core pillars of operational excellence:</w:t>
        <w:br/>
        <w:t>1. Shift-Left Clearance: Real-time 270/271 electronic eligibility sweeps, coverage verifications, and prior authorization checks executed 72 hours and 24 hours prior to appointment time.</w:t>
        <w:br/>
        <w:t>2. Multi-Engine Document Ingestion: High-accuracy OCR extraction of insurance cards, Explanation of Benefits (EOB), and prior auth approvals with geometric layout analysis and automatic person-code suffix reconciliation.</w:t>
        <w:br/>
        <w:t>3. Closed-Loop Self-Healing RCM: Automated error clustering, payer rule drift detection, and pre-submission guards that fix root causes before claim generation with cryptographic audit trails and 1-click rollback.</w:t>
      </w:r>
    </w:p>
    <w:p>
      <w:pPr>
        <w:pStyle w:val="Heading1"/>
        <w:spacing w:before="280" w:after="80"/>
      </w:pPr>
      <w:r>
        <w:rPr>
          <w:b/>
          <w:color w:val="1E3A8A"/>
          <w:sz w:val="36"/>
        </w:rPr>
        <w:t>2. Multi-Engine Document OCR &amp; Intelligent Extraction Pipeline</w:t>
      </w:r>
    </w:p>
    <w:p>
      <w:pPr>
        <w:spacing w:line="276" w:lineRule="auto"/>
      </w:pPr>
      <w:r>
        <w:t>The OCR and document intelligence subsystem (app/services/ocr_service.py) handles arbitrary unstructured and semi-structured documents, including two-sided insurance cards, EOB remittance notices, and Prior Authorization determination letters.</w:t>
      </w:r>
    </w:p>
    <w:p>
      <w:pPr>
        <w:pStyle w:val="Heading2"/>
        <w:spacing w:before="200" w:after="80"/>
      </w:pPr>
      <w:r>
        <w:rPr>
          <w:b/>
          <w:color w:val="2563EB"/>
          <w:sz w:val="28"/>
        </w:rPr>
        <w:t>2.1 Hybrid Optical &amp; Vector Text Extraction Architecture</w:t>
      </w:r>
    </w:p>
    <w:p>
      <w:pPr>
        <w:spacing w:line="276" w:lineRule="auto"/>
      </w:pPr>
      <w:r>
        <w:t>To achieve industry-leading extraction fidelity across clean digital PDFs, scanned faxes, and skewed mobile camera photos, Previa executes a layered, multi-engine extraction cascade:</w:t>
      </w:r>
    </w:p>
    <w:tbl>
      <w:tblPr>
        <w:tblW w:type="auto" w:w="0"/>
        <w:jc w:val="center"/>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20" w:type="dxa"/>
              <w:right w:w="120" w:type="dxa"/>
            </w:tcMar>
          </w:tcPr>
          <w:p>
            <w:pPr>
              <w:jc w:val="left"/>
            </w:pPr>
            <w:r>
              <w:rPr>
                <w:b/>
                <w:color w:val="FFFFFF"/>
                <w:sz w:val="19"/>
              </w:rPr>
              <w:t>Extraction Engine</w:t>
            </w:r>
          </w:p>
        </w:tc>
        <w:tc>
          <w:tcPr>
            <w:tcW w:type="dxa" w:w="2448"/>
            <w:shd w:fill="1E3A8A"/>
            <w:tcMar>
              <w:top w:w="100" w:type="dxa"/>
              <w:bottom w:w="100" w:type="dxa"/>
              <w:left w:w="120" w:type="dxa"/>
              <w:right w:w="120" w:type="dxa"/>
            </w:tcMar>
          </w:tcPr>
          <w:p>
            <w:pPr>
              <w:jc w:val="left"/>
            </w:pPr>
            <w:r>
              <w:rPr>
                <w:b/>
                <w:color w:val="FFFFFF"/>
                <w:sz w:val="19"/>
              </w:rPr>
              <w:t>Processing Method</w:t>
            </w:r>
          </w:p>
        </w:tc>
        <w:tc>
          <w:tcPr>
            <w:tcW w:type="dxa" w:w="2592"/>
            <w:shd w:fill="1E3A8A"/>
            <w:tcMar>
              <w:top w:w="100" w:type="dxa"/>
              <w:bottom w:w="100" w:type="dxa"/>
              <w:left w:w="120" w:type="dxa"/>
              <w:right w:w="120" w:type="dxa"/>
            </w:tcMar>
          </w:tcPr>
          <w:p>
            <w:pPr>
              <w:jc w:val="left"/>
            </w:pPr>
            <w:r>
              <w:rPr>
                <w:b/>
                <w:color w:val="FFFFFF"/>
                <w:sz w:val="19"/>
              </w:rPr>
              <w:t>Key Capabilities</w:t>
            </w:r>
          </w:p>
        </w:tc>
        <w:tc>
          <w:tcPr>
            <w:tcW w:type="dxa" w:w="2160"/>
            <w:shd w:fill="1E3A8A"/>
            <w:tcMar>
              <w:top w:w="100" w:type="dxa"/>
              <w:bottom w:w="100" w:type="dxa"/>
              <w:left w:w="120" w:type="dxa"/>
              <w:right w:w="120" w:type="dxa"/>
            </w:tcMar>
          </w:tcPr>
          <w:p>
            <w:pPr>
              <w:jc w:val="left"/>
            </w:pPr>
            <w:r>
              <w:rPr>
                <w:b/>
                <w:color w:val="FFFFFF"/>
                <w:sz w:val="19"/>
              </w:rPr>
              <w:t>Target Artifacts</w:t>
            </w:r>
          </w:p>
        </w:tc>
      </w:tr>
      <w:tr>
        <w:tc>
          <w:tcPr>
            <w:tcW w:type="dxa" w:w="2160"/>
            <w:shd w:fill="FFFFFF"/>
            <w:tcMar>
              <w:top w:w="80" w:type="dxa"/>
              <w:bottom w:w="80" w:type="dxa"/>
              <w:left w:w="120" w:type="dxa"/>
              <w:right w:w="120" w:type="dxa"/>
            </w:tcMar>
          </w:tcPr>
          <w:p>
            <w:pPr>
              <w:jc w:val="left"/>
            </w:pPr>
            <w:r>
              <w:rPr>
                <w:color w:val="1E293B"/>
                <w:sz w:val="18"/>
              </w:rPr>
              <w:t>PyMuPDF (fitz)</w:t>
            </w:r>
          </w:p>
        </w:tc>
        <w:tc>
          <w:tcPr>
            <w:tcW w:type="dxa" w:w="2448"/>
            <w:shd w:fill="FFFFFF"/>
            <w:tcMar>
              <w:top w:w="80" w:type="dxa"/>
              <w:bottom w:w="80" w:type="dxa"/>
              <w:left w:w="120" w:type="dxa"/>
              <w:right w:w="120" w:type="dxa"/>
            </w:tcMar>
          </w:tcPr>
          <w:p>
            <w:pPr>
              <w:jc w:val="left"/>
            </w:pPr>
            <w:r>
              <w:rPr>
                <w:color w:val="1E293B"/>
                <w:sz w:val="18"/>
              </w:rPr>
              <w:t>Direct vector stream extraction &amp; word bbox rendering</w:t>
            </w:r>
          </w:p>
        </w:tc>
        <w:tc>
          <w:tcPr>
            <w:tcW w:type="dxa" w:w="2592"/>
            <w:shd w:fill="FFFFFF"/>
            <w:tcMar>
              <w:top w:w="80" w:type="dxa"/>
              <w:bottom w:w="80" w:type="dxa"/>
              <w:left w:w="120" w:type="dxa"/>
              <w:right w:w="120" w:type="dxa"/>
            </w:tcMar>
          </w:tcPr>
          <w:p>
            <w:pPr>
              <w:jc w:val="left"/>
            </w:pPr>
            <w:r>
              <w:rPr>
                <w:color w:val="1E293B"/>
                <w:sz w:val="18"/>
              </w:rPr>
              <w:t>Sub-millisecond text extraction, exact spatial bounding coordinates</w:t>
            </w:r>
          </w:p>
        </w:tc>
        <w:tc>
          <w:tcPr>
            <w:tcW w:type="dxa" w:w="2160"/>
            <w:shd w:fill="FFFFFF"/>
            <w:tcMar>
              <w:top w:w="80" w:type="dxa"/>
              <w:bottom w:w="80" w:type="dxa"/>
              <w:left w:w="120" w:type="dxa"/>
              <w:right w:w="120" w:type="dxa"/>
            </w:tcMar>
          </w:tcPr>
          <w:p>
            <w:pPr>
              <w:jc w:val="left"/>
            </w:pPr>
            <w:r>
              <w:rPr>
                <w:color w:val="1E293B"/>
                <w:sz w:val="18"/>
              </w:rPr>
              <w:t>Digital PDF Cards, EOB PDFs, Auth Letters</w:t>
            </w:r>
          </w:p>
        </w:tc>
      </w:tr>
      <w:tr>
        <w:tc>
          <w:tcPr>
            <w:tcW w:type="dxa" w:w="2160"/>
            <w:shd w:fill="F8FAFC"/>
            <w:tcMar>
              <w:top w:w="80" w:type="dxa"/>
              <w:bottom w:w="80" w:type="dxa"/>
              <w:left w:w="120" w:type="dxa"/>
              <w:right w:w="120" w:type="dxa"/>
            </w:tcMar>
          </w:tcPr>
          <w:p>
            <w:pPr>
              <w:jc w:val="left"/>
            </w:pPr>
            <w:r>
              <w:rPr>
                <w:color w:val="1E293B"/>
                <w:sz w:val="18"/>
              </w:rPr>
              <w:t>Tesseract OCR (v5.x)</w:t>
            </w:r>
          </w:p>
        </w:tc>
        <w:tc>
          <w:tcPr>
            <w:tcW w:type="dxa" w:w="2448"/>
            <w:shd w:fill="F8FAFC"/>
            <w:tcMar>
              <w:top w:w="80" w:type="dxa"/>
              <w:bottom w:w="80" w:type="dxa"/>
              <w:left w:w="120" w:type="dxa"/>
              <w:right w:w="120" w:type="dxa"/>
            </w:tcMar>
          </w:tcPr>
          <w:p>
            <w:pPr>
              <w:jc w:val="left"/>
            </w:pPr>
            <w:r>
              <w:rPr>
                <w:color w:val="1E293B"/>
                <w:sz w:val="18"/>
              </w:rPr>
              <w:t>LSTM neural optical character recognition</w:t>
            </w:r>
          </w:p>
        </w:tc>
        <w:tc>
          <w:tcPr>
            <w:tcW w:type="dxa" w:w="2592"/>
            <w:shd w:fill="F8FAFC"/>
            <w:tcMar>
              <w:top w:w="80" w:type="dxa"/>
              <w:bottom w:w="80" w:type="dxa"/>
              <w:left w:w="120" w:type="dxa"/>
              <w:right w:w="120" w:type="dxa"/>
            </w:tcMar>
          </w:tcPr>
          <w:p>
            <w:pPr>
              <w:jc w:val="left"/>
            </w:pPr>
            <w:r>
              <w:rPr>
                <w:color w:val="1E293B"/>
                <w:sz w:val="18"/>
              </w:rPr>
              <w:t>Multi-language character recognition, noise-resilient text detection</w:t>
            </w:r>
          </w:p>
        </w:tc>
        <w:tc>
          <w:tcPr>
            <w:tcW w:type="dxa" w:w="2160"/>
            <w:shd w:fill="F8FAFC"/>
            <w:tcMar>
              <w:top w:w="80" w:type="dxa"/>
              <w:bottom w:w="80" w:type="dxa"/>
              <w:left w:w="120" w:type="dxa"/>
              <w:right w:w="120" w:type="dxa"/>
            </w:tcMar>
          </w:tcPr>
          <w:p>
            <w:pPr>
              <w:jc w:val="left"/>
            </w:pPr>
            <w:r>
              <w:rPr>
                <w:color w:val="1E293B"/>
                <w:sz w:val="18"/>
              </w:rPr>
              <w:t>Scanned physical cards, rasterized faxes, photo uploads</w:t>
            </w:r>
          </w:p>
        </w:tc>
      </w:tr>
      <w:tr>
        <w:tc>
          <w:tcPr>
            <w:tcW w:type="dxa" w:w="2160"/>
            <w:shd w:fill="FFFFFF"/>
            <w:tcMar>
              <w:top w:w="80" w:type="dxa"/>
              <w:bottom w:w="80" w:type="dxa"/>
              <w:left w:w="120" w:type="dxa"/>
              <w:right w:w="120" w:type="dxa"/>
            </w:tcMar>
          </w:tcPr>
          <w:p>
            <w:pPr>
              <w:jc w:val="left"/>
            </w:pPr>
            <w:r>
              <w:rPr>
                <w:color w:val="1E293B"/>
                <w:sz w:val="18"/>
              </w:rPr>
              <w:t>Pillow / OpenCV Preprocessing</w:t>
            </w:r>
          </w:p>
        </w:tc>
        <w:tc>
          <w:tcPr>
            <w:tcW w:type="dxa" w:w="2448"/>
            <w:shd w:fill="FFFFFF"/>
            <w:tcMar>
              <w:top w:w="80" w:type="dxa"/>
              <w:bottom w:w="80" w:type="dxa"/>
              <w:left w:w="120" w:type="dxa"/>
              <w:right w:w="120" w:type="dxa"/>
            </w:tcMar>
          </w:tcPr>
          <w:p>
            <w:pPr>
              <w:jc w:val="left"/>
            </w:pPr>
            <w:r>
              <w:rPr>
                <w:color w:val="1E293B"/>
                <w:sz w:val="18"/>
              </w:rPr>
              <w:t>Grayscale, adaptive thresholding, contrast normalization</w:t>
            </w:r>
          </w:p>
        </w:tc>
        <w:tc>
          <w:tcPr>
            <w:tcW w:type="dxa" w:w="2592"/>
            <w:shd w:fill="FFFFFF"/>
            <w:tcMar>
              <w:top w:w="80" w:type="dxa"/>
              <w:bottom w:w="80" w:type="dxa"/>
              <w:left w:w="120" w:type="dxa"/>
              <w:right w:w="120" w:type="dxa"/>
            </w:tcMar>
          </w:tcPr>
          <w:p>
            <w:pPr>
              <w:jc w:val="left"/>
            </w:pPr>
            <w:r>
              <w:rPr>
                <w:color w:val="1E293B"/>
                <w:sz w:val="18"/>
              </w:rPr>
              <w:t>Deskewing, shadow removal, morphological closing of card borders</w:t>
            </w:r>
          </w:p>
        </w:tc>
        <w:tc>
          <w:tcPr>
            <w:tcW w:type="dxa" w:w="2160"/>
            <w:shd w:fill="FFFFFF"/>
            <w:tcMar>
              <w:top w:w="80" w:type="dxa"/>
              <w:bottom w:w="80" w:type="dxa"/>
              <w:left w:w="120" w:type="dxa"/>
              <w:right w:w="120" w:type="dxa"/>
            </w:tcMar>
          </w:tcPr>
          <w:p>
            <w:pPr>
              <w:jc w:val="left"/>
            </w:pPr>
            <w:r>
              <w:rPr>
                <w:color w:val="1E293B"/>
                <w:sz w:val="18"/>
              </w:rPr>
              <w:t>Noisy camera photos, low-contrast insurance cards</w:t>
            </w:r>
          </w:p>
        </w:tc>
      </w:tr>
      <w:tr>
        <w:tc>
          <w:tcPr>
            <w:tcW w:type="dxa" w:w="2160"/>
            <w:shd w:fill="F8FAFC"/>
            <w:tcMar>
              <w:top w:w="80" w:type="dxa"/>
              <w:bottom w:w="80" w:type="dxa"/>
              <w:left w:w="120" w:type="dxa"/>
              <w:right w:w="120" w:type="dxa"/>
            </w:tcMar>
          </w:tcPr>
          <w:p>
            <w:pPr>
              <w:jc w:val="left"/>
            </w:pPr>
            <w:r>
              <w:rPr>
                <w:color w:val="1E293B"/>
                <w:sz w:val="18"/>
              </w:rPr>
              <w:t>Adaptive Regex Parser</w:t>
            </w:r>
          </w:p>
        </w:tc>
        <w:tc>
          <w:tcPr>
            <w:tcW w:type="dxa" w:w="2448"/>
            <w:shd w:fill="F8FAFC"/>
            <w:tcMar>
              <w:top w:w="80" w:type="dxa"/>
              <w:bottom w:w="80" w:type="dxa"/>
              <w:left w:w="120" w:type="dxa"/>
              <w:right w:w="120" w:type="dxa"/>
            </w:tcMar>
          </w:tcPr>
          <w:p>
            <w:pPr>
              <w:jc w:val="left"/>
            </w:pPr>
            <w:r>
              <w:rPr>
                <w:color w:val="1E293B"/>
                <w:sz w:val="18"/>
              </w:rPr>
              <w:t>Layout-aware multi-line regex &amp; fuzzy alias matching</w:t>
            </w:r>
          </w:p>
        </w:tc>
        <w:tc>
          <w:tcPr>
            <w:tcW w:type="dxa" w:w="2592"/>
            <w:shd w:fill="F8FAFC"/>
            <w:tcMar>
              <w:top w:w="80" w:type="dxa"/>
              <w:bottom w:w="80" w:type="dxa"/>
              <w:left w:w="120" w:type="dxa"/>
              <w:right w:w="120" w:type="dxa"/>
            </w:tcMar>
          </w:tcPr>
          <w:p>
            <w:pPr>
              <w:jc w:val="left"/>
            </w:pPr>
            <w:r>
              <w:rPr>
                <w:color w:val="1E293B"/>
                <w:sz w:val="18"/>
              </w:rPr>
              <w:t>Resolves multi-word labels ('MEMBER ID', 'GROUP #', 'CO-PAY')</w:t>
            </w:r>
          </w:p>
        </w:tc>
        <w:tc>
          <w:tcPr>
            <w:tcW w:type="dxa" w:w="2160"/>
            <w:shd w:fill="F8FAFC"/>
            <w:tcMar>
              <w:top w:w="80" w:type="dxa"/>
              <w:bottom w:w="80" w:type="dxa"/>
              <w:left w:w="120" w:type="dxa"/>
              <w:right w:w="120" w:type="dxa"/>
            </w:tcMar>
          </w:tcPr>
          <w:p>
            <w:pPr>
              <w:jc w:val="left"/>
            </w:pPr>
            <w:r>
              <w:rPr>
                <w:color w:val="1E293B"/>
                <w:sz w:val="18"/>
              </w:rPr>
              <w:t>Extracted token stream from all OCR engines</w:t>
            </w:r>
          </w:p>
        </w:tc>
      </w:tr>
    </w:tbl>
    <w:p>
      <w:pPr>
        <w:spacing w:after="160"/>
      </w:pPr>
    </w:p>
    <w:p>
      <w:pPr>
        <w:pStyle w:val="Heading2"/>
        <w:spacing w:before="200" w:after="80"/>
      </w:pPr>
      <w:r>
        <w:rPr>
          <w:b/>
          <w:color w:val="2563EB"/>
          <w:sz w:val="28"/>
        </w:rPr>
        <w:t>2.2 Field-Level Coordinate &amp; Layout Analysis</w:t>
      </w:r>
    </w:p>
    <w:p>
      <w:pPr>
        <w:spacing w:line="276" w:lineRule="auto"/>
      </w:pPr>
      <w:r>
        <w:t>Standard OCR tools return flat string blobs that lose structural context. Previa introduces UnifiedOcrResult containing unified lines and words with normalized bounding box geometry [ymin, xmin, ymax, xmax] relative to page dimensions. When identifying key-value pairs (e.g. 'MEMBER ID: BCBS-9823101-01'), the engine conducts a 3-tier spatial analysis:</w:t>
        <w:br/>
        <w:t>• Tier 1 (Inline Remainder): Inspects trailing characters immediately following the matched label prefix on the identical line.</w:t>
        <w:br/>
        <w:t>• Tier 2 (Next Line Lookahead): Evaluates the immediately adjacent line located directly below the label within an allowed vertical delta (dy &lt;= 0.08).</w:t>
        <w:br/>
        <w:t>• Tier 3 (Same-Y Horizontal Bounding): Scans rightward bounding boxes possessing overlapping vertical ranges (|ymin_lbl - ymin_val| &lt;= 0.03).</w:t>
      </w:r>
    </w:p>
    <w:p>
      <w:pPr>
        <w:pStyle w:val="Heading2"/>
        <w:spacing w:before="200" w:after="80"/>
      </w:pPr>
      <w:r>
        <w:rPr>
          <w:b/>
          <w:color w:val="2563EB"/>
          <w:sz w:val="28"/>
        </w:rPr>
        <w:t>2.3 Automatic Person-Code Suffix Synchronization</w:t>
      </w:r>
    </w:p>
    <w:p>
      <w:pPr>
        <w:spacing w:line="276" w:lineRule="auto"/>
      </w:pPr>
      <w:r>
        <w:t>A notorious driver of CARC CO-16 denials is member ID person-code suffix omission. Hospital EHR master indices frequently record base subscriber IDs (e.g., 'UHC-7712399'), while the physical card carried by a dependent explicitly appends a person code suffix (e.g., '-01' for subscriber, '-02' for spouse). Previa's OCR pipeline detects trailing suffix patterns (e.g., re.search(r'[-/](0[1-9]|[1-9])$', extracted_id)) and automatically triggers an Identity Resolution audit event, enabling 1-click synchronization into the pre-service clearance stream without destructive database writes.</w:t>
      </w:r>
    </w:p>
    <w:p>
      <w:pPr>
        <w:pStyle w:val="Heading1"/>
        <w:spacing w:before="280" w:after="80"/>
      </w:pPr>
      <w:r>
        <w:rPr>
          <w:b/>
          <w:color w:val="1E3A8A"/>
          <w:sz w:val="36"/>
        </w:rPr>
        <w:t>3. Real-Time Eligibility &amp; Claim Evaluation Engine</w:t>
      </w:r>
    </w:p>
    <w:p>
      <w:pPr>
        <w:spacing w:line="276" w:lineRule="auto"/>
      </w:pPr>
      <w:r>
        <w:t>The Claim Evaluation &amp; Financial Clearance Engine (app/services/clearance_service.py &amp; ml_service.py) transforms disparate eligibility records, clinical CPT procedure codes, and payer coverage rules into deterministic financial assessments and actionable clearance designations.</w:t>
      </w:r>
    </w:p>
    <w:p>
      <w:pPr>
        <w:pStyle w:val="Heading2"/>
        <w:spacing w:before="200" w:after="80"/>
      </w:pPr>
      <w:r>
        <w:rPr>
          <w:b/>
          <w:color w:val="2563EB"/>
          <w:sz w:val="28"/>
        </w:rPr>
        <w:t>3.1 Real-Time 270/271 Eligibility &amp; Benefit Verification</w:t>
      </w:r>
    </w:p>
    <w:p>
      <w:pPr>
        <w:spacing w:line="276" w:lineRule="auto"/>
      </w:pPr>
      <w:r>
        <w:t>The system executes electronic benefit inquiry simulations modeling HIPAA EDI 270/271 transactions against major payer gateways (Blue Cross Blue Shield, UnitedHealthcare, Aetna, Cigna, Humana, Star Health). The engine evaluates:</w:t>
        <w:br/>
        <w:t>• Policy Temporal Status: Verifies that appointment_date falls strictly within [effective_date, expiration_date].</w:t>
        <w:br/>
        <w:t>• Network Participation: Determines whether the scheduled rendering physician and facility are contracted in-network.</w:t>
        <w:br/>
        <w:t>• Procedural Coverage &amp; Medical Necessity: Validates whether scheduled CPT codes (e.g. 72148 MRI Lumbar Spine, 27447 Knee Arthroplasty) are standard covered benefits.</w:t>
      </w:r>
    </w:p>
    <w:p>
      <w:pPr>
        <w:pStyle w:val="Heading2"/>
        <w:spacing w:before="200" w:after="80"/>
      </w:pPr>
      <w:r>
        <w:rPr>
          <w:b/>
          <w:color w:val="2563EB"/>
          <w:sz w:val="28"/>
        </w:rPr>
        <w:t>3.2 The 72-Hour Mandatory Prior Authorization Gate</w:t>
      </w:r>
    </w:p>
    <w:p>
      <w:pPr>
        <w:spacing w:line="276" w:lineRule="auto"/>
      </w:pPr>
      <w:r>
        <w:t>High-tech imaging, specialized surgeries, and biological therapies mandate prior authorization (PA). Previa's clearance engine maintains deterministic payer prior auth tables. If an encounter requires PA and no active authorization number is recorded within 72 hours of the appointment, the clearance state is strictly locked to HIGH_RISK, generating an automated provider escalation task.</w:t>
      </w:r>
    </w:p>
    <w:p>
      <w:pPr>
        <w:pStyle w:val="Heading2"/>
        <w:spacing w:before="200" w:after="80"/>
      </w:pPr>
      <w:r>
        <w:rPr>
          <w:b/>
          <w:color w:val="2563EB"/>
          <w:sz w:val="28"/>
        </w:rPr>
        <w:t>3.3 Deterministic Patient Responsibility Mathematical Formula</w:t>
      </w:r>
    </w:p>
    <w:p>
      <w:pPr>
        <w:spacing w:line="276" w:lineRule="auto"/>
      </w:pPr>
      <w:r>
        <w:t>Patient out-of-pocket responsibility is calculated using pure mathematical determinism to ensure 100% auditability and compliance with No Surprises Act regulations:</w:t>
      </w:r>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180" w:type="dxa"/>
              <w:right w:w="180" w:type="dxa"/>
            </w:tcMar>
            <w:tcBorders>
              <w:top w:val="none"/>
              <w:left w:val="single" w:sz="24" w:space="0" w:color="16A34A"/>
              <w:bottom w:val="none"/>
              <w:right w:val="none"/>
            </w:tcBorders>
          </w:tcPr>
          <w:p>
            <w:pPr>
              <w:spacing w:before="40" w:after="40" w:line="276" w:lineRule="auto"/>
            </w:pPr>
            <w:r>
              <w:rPr>
                <w:b/>
                <w:color w:val="1E3A8A"/>
                <w:sz w:val="21"/>
              </w:rPr>
              <w:t>📌 Patient Responsibility Calculation Formula</w:t>
              <w:br/>
            </w:r>
            <w:r>
              <w:rPr>
                <w:color w:val="334155"/>
                <w:sz w:val="19"/>
              </w:rPr>
              <w:t>Estimated Patient Responsibility = Copay + min(Remaining Deductible, Allowable Service Cost) + max(0, Allowable Service Cost - Remaining Deductible) * Coinsurance Percentage</w:t>
              <w:br/>
              <w:br/>
              <w:t>Example (MRI Lumbar Spine - $1,450.00 Cost, $350.00 Remaining Deductible, 20% Coinsurance, $0 Copay):</w:t>
              <w:br/>
              <w:t>• Deductible Portion: min($350.00, $1,450.00) = $350.00</w:t>
              <w:br/>
              <w:t>• Coinsurance Portion: ($1,450.00 - $350.00) * 0.20 = $1,100.00 * 0.20 = $220.00</w:t>
              <w:br/>
              <w:t>• Total Estimated Out-of-Pocket = $0.00 + $350.00 + $220.00 = $570.00</w:t>
            </w:r>
          </w:p>
        </w:tc>
      </w:tr>
    </w:tbl>
    <w:p>
      <w:pPr>
        <w:spacing w:after="80"/>
      </w:pPr>
    </w:p>
    <w:p>
      <w:pPr>
        <w:pStyle w:val="Heading2"/>
        <w:spacing w:before="200" w:after="80"/>
      </w:pPr>
      <w:r>
        <w:rPr>
          <w:b/>
          <w:color w:val="2563EB"/>
          <w:sz w:val="28"/>
        </w:rPr>
        <w:t>3.4 Explainable Weighted Risk Scoring Model (0–100)</w:t>
      </w:r>
    </w:p>
    <w:p>
      <w:pPr>
        <w:spacing w:line="276" w:lineRule="auto"/>
      </w:pPr>
      <w:r>
        <w:t>Unlike black-box neural networks that cannot be audited by hospital billing directors, Previa calculates risk scores using an explainable, additive multi-factor framework where every point is attributed to a transparent clinical or administrative root cause:</w:t>
      </w:r>
    </w:p>
    <w:tbl>
      <w:tblPr>
        <w:tblW w:type="auto" w:w="0"/>
        <w:jc w:val="center"/>
        <w:tblLook w:firstColumn="1" w:firstRow="1" w:lastColumn="0" w:lastRow="0" w:noHBand="0" w:noVBand="1" w:val="04A0"/>
      </w:tblPr>
      <w:tblGrid>
        <w:gridCol w:w="2484"/>
        <w:gridCol w:w="2484"/>
        <w:gridCol w:w="2484"/>
        <w:gridCol w:w="2484"/>
      </w:tblGrid>
      <w:tr>
        <w:tc>
          <w:tcPr>
            <w:tcW w:type="dxa" w:w="2592"/>
            <w:shd w:fill="1E3A8A"/>
            <w:tcMar>
              <w:top w:w="100" w:type="dxa"/>
              <w:bottom w:w="100" w:type="dxa"/>
              <w:left w:w="120" w:type="dxa"/>
              <w:right w:w="120" w:type="dxa"/>
            </w:tcMar>
          </w:tcPr>
          <w:p>
            <w:pPr>
              <w:jc w:val="left"/>
            </w:pPr>
            <w:r>
              <w:rPr>
                <w:b/>
                <w:color w:val="FFFFFF"/>
                <w:sz w:val="19"/>
              </w:rPr>
              <w:t>Risk Factor</w:t>
            </w:r>
          </w:p>
        </w:tc>
        <w:tc>
          <w:tcPr>
            <w:tcW w:type="dxa" w:w="1440"/>
            <w:shd w:fill="1E3A8A"/>
            <w:tcMar>
              <w:top w:w="100" w:type="dxa"/>
              <w:bottom w:w="100" w:type="dxa"/>
              <w:left w:w="120" w:type="dxa"/>
              <w:right w:w="120" w:type="dxa"/>
            </w:tcMar>
          </w:tcPr>
          <w:p>
            <w:pPr>
              <w:jc w:val="left"/>
            </w:pPr>
            <w:r>
              <w:rPr>
                <w:b/>
                <w:color w:val="FFFFFF"/>
                <w:sz w:val="19"/>
              </w:rPr>
              <w:t>Score Weight</w:t>
            </w:r>
          </w:p>
        </w:tc>
        <w:tc>
          <w:tcPr>
            <w:tcW w:type="dxa" w:w="2592"/>
            <w:shd w:fill="1E3A8A"/>
            <w:tcMar>
              <w:top w:w="100" w:type="dxa"/>
              <w:bottom w:w="100" w:type="dxa"/>
              <w:left w:w="120" w:type="dxa"/>
              <w:right w:w="120" w:type="dxa"/>
            </w:tcMar>
          </w:tcPr>
          <w:p>
            <w:pPr>
              <w:jc w:val="left"/>
            </w:pPr>
            <w:r>
              <w:rPr>
                <w:b/>
                <w:color w:val="FFFFFF"/>
                <w:sz w:val="19"/>
              </w:rPr>
              <w:t>Severity Level</w:t>
            </w:r>
          </w:p>
        </w:tc>
        <w:tc>
          <w:tcPr>
            <w:tcW w:type="dxa" w:w="2736"/>
            <w:shd w:fill="1E3A8A"/>
            <w:tcMar>
              <w:top w:w="100" w:type="dxa"/>
              <w:bottom w:w="100" w:type="dxa"/>
              <w:left w:w="120" w:type="dxa"/>
              <w:right w:w="120" w:type="dxa"/>
            </w:tcMar>
          </w:tcPr>
          <w:p>
            <w:pPr>
              <w:jc w:val="left"/>
            </w:pPr>
            <w:r>
              <w:rPr>
                <w:b/>
                <w:color w:val="FFFFFF"/>
                <w:sz w:val="19"/>
              </w:rPr>
              <w:t>Operational Impact / Root Cause</w:t>
            </w:r>
          </w:p>
        </w:tc>
      </w:tr>
      <w:tr>
        <w:tc>
          <w:tcPr>
            <w:tcW w:type="dxa" w:w="2592"/>
            <w:shd w:fill="FFFFFF"/>
            <w:tcMar>
              <w:top w:w="80" w:type="dxa"/>
              <w:bottom w:w="80" w:type="dxa"/>
              <w:left w:w="120" w:type="dxa"/>
              <w:right w:w="120" w:type="dxa"/>
            </w:tcMar>
          </w:tcPr>
          <w:p>
            <w:pPr>
              <w:jc w:val="left"/>
            </w:pPr>
            <w:r>
              <w:rPr>
                <w:color w:val="1E293B"/>
                <w:sz w:val="18"/>
              </w:rPr>
              <w:t>Policy Terminated / Inactive</w:t>
            </w:r>
          </w:p>
        </w:tc>
        <w:tc>
          <w:tcPr>
            <w:tcW w:type="dxa" w:w="1440"/>
            <w:shd w:fill="FFFFFF"/>
            <w:tcMar>
              <w:top w:w="80" w:type="dxa"/>
              <w:bottom w:w="80" w:type="dxa"/>
              <w:left w:w="120" w:type="dxa"/>
              <w:right w:w="120" w:type="dxa"/>
            </w:tcMar>
          </w:tcPr>
          <w:p>
            <w:pPr>
              <w:jc w:val="left"/>
            </w:pPr>
            <w:r>
              <w:rPr>
                <w:color w:val="1E293B"/>
                <w:sz w:val="18"/>
              </w:rPr>
              <w:t>+50 Points</w:t>
            </w:r>
          </w:p>
        </w:tc>
        <w:tc>
          <w:tcPr>
            <w:tcW w:type="dxa" w:w="2592"/>
            <w:shd w:fill="FFFFFF"/>
            <w:tcMar>
              <w:top w:w="80" w:type="dxa"/>
              <w:bottom w:w="80" w:type="dxa"/>
              <w:left w:w="120" w:type="dxa"/>
              <w:right w:w="120" w:type="dxa"/>
            </w:tcMar>
          </w:tcPr>
          <w:p>
            <w:pPr>
              <w:jc w:val="left"/>
            </w:pPr>
            <w:r>
              <w:rPr>
                <w:color w:val="1E293B"/>
                <w:sz w:val="18"/>
              </w:rPr>
              <w:t>CRITICAL</w:t>
            </w:r>
          </w:p>
        </w:tc>
        <w:tc>
          <w:tcPr>
            <w:tcW w:type="dxa" w:w="2736"/>
            <w:shd w:fill="FFFFFF"/>
            <w:tcMar>
              <w:top w:w="80" w:type="dxa"/>
              <w:bottom w:w="80" w:type="dxa"/>
              <w:left w:w="120" w:type="dxa"/>
              <w:right w:w="120" w:type="dxa"/>
            </w:tcMar>
          </w:tcPr>
          <w:p>
            <w:pPr>
              <w:jc w:val="left"/>
            </w:pPr>
            <w:r>
              <w:rPr>
                <w:color w:val="1E293B"/>
                <w:sz w:val="18"/>
              </w:rPr>
              <w:t>Guaranteed CO-27 claim rejection if submitted</w:t>
            </w:r>
          </w:p>
        </w:tc>
      </w:tr>
      <w:tr>
        <w:tc>
          <w:tcPr>
            <w:tcW w:type="dxa" w:w="2592"/>
            <w:shd w:fill="F8FAFC"/>
            <w:tcMar>
              <w:top w:w="80" w:type="dxa"/>
              <w:bottom w:w="80" w:type="dxa"/>
              <w:left w:w="120" w:type="dxa"/>
              <w:right w:w="120" w:type="dxa"/>
            </w:tcMar>
          </w:tcPr>
          <w:p>
            <w:pPr>
              <w:jc w:val="left"/>
            </w:pPr>
            <w:r>
              <w:rPr>
                <w:color w:val="1E293B"/>
                <w:sz w:val="18"/>
              </w:rPr>
              <w:t>Missing Mandatory Prior Auth</w:t>
            </w:r>
          </w:p>
        </w:tc>
        <w:tc>
          <w:tcPr>
            <w:tcW w:type="dxa" w:w="1440"/>
            <w:shd w:fill="F8FAFC"/>
            <w:tcMar>
              <w:top w:w="80" w:type="dxa"/>
              <w:bottom w:w="80" w:type="dxa"/>
              <w:left w:w="120" w:type="dxa"/>
              <w:right w:w="120" w:type="dxa"/>
            </w:tcMar>
          </w:tcPr>
          <w:p>
            <w:pPr>
              <w:jc w:val="left"/>
            </w:pPr>
            <w:r>
              <w:rPr>
                <w:color w:val="1E293B"/>
                <w:sz w:val="18"/>
              </w:rPr>
              <w:t>+40 Points</w:t>
            </w:r>
          </w:p>
        </w:tc>
        <w:tc>
          <w:tcPr>
            <w:tcW w:type="dxa" w:w="2592"/>
            <w:shd w:fill="F8FAFC"/>
            <w:tcMar>
              <w:top w:w="80" w:type="dxa"/>
              <w:bottom w:w="80" w:type="dxa"/>
              <w:left w:w="120" w:type="dxa"/>
              <w:right w:w="120" w:type="dxa"/>
            </w:tcMar>
          </w:tcPr>
          <w:p>
            <w:pPr>
              <w:jc w:val="left"/>
            </w:pPr>
            <w:r>
              <w:rPr>
                <w:color w:val="1E293B"/>
                <w:sz w:val="18"/>
              </w:rPr>
              <w:t>CRITICAL</w:t>
            </w:r>
          </w:p>
        </w:tc>
        <w:tc>
          <w:tcPr>
            <w:tcW w:type="dxa" w:w="2736"/>
            <w:shd w:fill="F8FAFC"/>
            <w:tcMar>
              <w:top w:w="80" w:type="dxa"/>
              <w:bottom w:w="80" w:type="dxa"/>
              <w:left w:w="120" w:type="dxa"/>
              <w:right w:w="120" w:type="dxa"/>
            </w:tcMar>
          </w:tcPr>
          <w:p>
            <w:pPr>
              <w:jc w:val="left"/>
            </w:pPr>
            <w:r>
              <w:rPr>
                <w:color w:val="1E293B"/>
                <w:sz w:val="18"/>
              </w:rPr>
              <w:t>Guaranteed CO-197 non-covered service denial</w:t>
            </w:r>
          </w:p>
        </w:tc>
      </w:tr>
      <w:tr>
        <w:tc>
          <w:tcPr>
            <w:tcW w:type="dxa" w:w="2592"/>
            <w:shd w:fill="FFFFFF"/>
            <w:tcMar>
              <w:top w:w="80" w:type="dxa"/>
              <w:bottom w:w="80" w:type="dxa"/>
              <w:left w:w="120" w:type="dxa"/>
              <w:right w:w="120" w:type="dxa"/>
            </w:tcMar>
          </w:tcPr>
          <w:p>
            <w:pPr>
              <w:jc w:val="left"/>
            </w:pPr>
            <w:r>
              <w:rPr>
                <w:color w:val="1E293B"/>
                <w:sz w:val="18"/>
              </w:rPr>
              <w:t>Member ID / Suffix Mismatch</w:t>
            </w:r>
          </w:p>
        </w:tc>
        <w:tc>
          <w:tcPr>
            <w:tcW w:type="dxa" w:w="1440"/>
            <w:shd w:fill="FFFFFF"/>
            <w:tcMar>
              <w:top w:w="80" w:type="dxa"/>
              <w:bottom w:w="80" w:type="dxa"/>
              <w:left w:w="120" w:type="dxa"/>
              <w:right w:w="120" w:type="dxa"/>
            </w:tcMar>
          </w:tcPr>
          <w:p>
            <w:pPr>
              <w:jc w:val="left"/>
            </w:pPr>
            <w:r>
              <w:rPr>
                <w:color w:val="1E293B"/>
                <w:sz w:val="18"/>
              </w:rPr>
              <w:t>+25 Points</w:t>
            </w:r>
          </w:p>
        </w:tc>
        <w:tc>
          <w:tcPr>
            <w:tcW w:type="dxa" w:w="2592"/>
            <w:shd w:fill="FFFFFF"/>
            <w:tcMar>
              <w:top w:w="80" w:type="dxa"/>
              <w:bottom w:w="80" w:type="dxa"/>
              <w:left w:w="120" w:type="dxa"/>
              <w:right w:w="120" w:type="dxa"/>
            </w:tcMar>
          </w:tcPr>
          <w:p>
            <w:pPr>
              <w:jc w:val="left"/>
            </w:pPr>
            <w:r>
              <w:rPr>
                <w:color w:val="1E293B"/>
                <w:sz w:val="18"/>
              </w:rPr>
              <w:t>HIGH</w:t>
            </w:r>
          </w:p>
        </w:tc>
        <w:tc>
          <w:tcPr>
            <w:tcW w:type="dxa" w:w="2736"/>
            <w:shd w:fill="FFFFFF"/>
            <w:tcMar>
              <w:top w:w="80" w:type="dxa"/>
              <w:bottom w:w="80" w:type="dxa"/>
              <w:left w:w="120" w:type="dxa"/>
              <w:right w:w="120" w:type="dxa"/>
            </w:tcMar>
          </w:tcPr>
          <w:p>
            <w:pPr>
              <w:jc w:val="left"/>
            </w:pPr>
            <w:r>
              <w:rPr>
                <w:color w:val="1E293B"/>
                <w:sz w:val="18"/>
              </w:rPr>
              <w:t>Causes CO-16 electronic clearinghouse rejection</w:t>
            </w:r>
          </w:p>
        </w:tc>
      </w:tr>
      <w:tr>
        <w:tc>
          <w:tcPr>
            <w:tcW w:type="dxa" w:w="2592"/>
            <w:shd w:fill="F8FAFC"/>
            <w:tcMar>
              <w:top w:w="80" w:type="dxa"/>
              <w:bottom w:w="80" w:type="dxa"/>
              <w:left w:w="120" w:type="dxa"/>
              <w:right w:w="120" w:type="dxa"/>
            </w:tcMar>
          </w:tcPr>
          <w:p>
            <w:pPr>
              <w:jc w:val="left"/>
            </w:pPr>
            <w:r>
              <w:rPr>
                <w:color w:val="1E293B"/>
                <w:sz w:val="18"/>
              </w:rPr>
              <w:t>Out-of-Network Provider Tier</w:t>
            </w:r>
          </w:p>
        </w:tc>
        <w:tc>
          <w:tcPr>
            <w:tcW w:type="dxa" w:w="1440"/>
            <w:shd w:fill="F8FAFC"/>
            <w:tcMar>
              <w:top w:w="80" w:type="dxa"/>
              <w:bottom w:w="80" w:type="dxa"/>
              <w:left w:w="120" w:type="dxa"/>
              <w:right w:w="120" w:type="dxa"/>
            </w:tcMar>
          </w:tcPr>
          <w:p>
            <w:pPr>
              <w:jc w:val="left"/>
            </w:pPr>
            <w:r>
              <w:rPr>
                <w:color w:val="1E293B"/>
                <w:sz w:val="18"/>
              </w:rPr>
              <w:t>+20 Points</w:t>
            </w:r>
          </w:p>
        </w:tc>
        <w:tc>
          <w:tcPr>
            <w:tcW w:type="dxa" w:w="2592"/>
            <w:shd w:fill="F8FAFC"/>
            <w:tcMar>
              <w:top w:w="80" w:type="dxa"/>
              <w:bottom w:w="80" w:type="dxa"/>
              <w:left w:w="120" w:type="dxa"/>
              <w:right w:w="120" w:type="dxa"/>
            </w:tcMar>
          </w:tcPr>
          <w:p>
            <w:pPr>
              <w:jc w:val="left"/>
            </w:pPr>
            <w:r>
              <w:rPr>
                <w:color w:val="1E293B"/>
                <w:sz w:val="18"/>
              </w:rPr>
              <w:t>MEDIUM</w:t>
            </w:r>
          </w:p>
        </w:tc>
        <w:tc>
          <w:tcPr>
            <w:tcW w:type="dxa" w:w="2736"/>
            <w:shd w:fill="F8FAFC"/>
            <w:tcMar>
              <w:top w:w="80" w:type="dxa"/>
              <w:bottom w:w="80" w:type="dxa"/>
              <w:left w:w="120" w:type="dxa"/>
              <w:right w:w="120" w:type="dxa"/>
            </w:tcMar>
          </w:tcPr>
          <w:p>
            <w:pPr>
              <w:jc w:val="left"/>
            </w:pPr>
            <w:r>
              <w:rPr>
                <w:color w:val="1E293B"/>
                <w:sz w:val="18"/>
              </w:rPr>
              <w:t>High patient out-of-pocket balance or balance billing risk</w:t>
            </w:r>
          </w:p>
        </w:tc>
      </w:tr>
      <w:tr>
        <w:tc>
          <w:tcPr>
            <w:tcW w:type="dxa" w:w="2592"/>
            <w:shd w:fill="FFFFFF"/>
            <w:tcMar>
              <w:top w:w="80" w:type="dxa"/>
              <w:bottom w:w="80" w:type="dxa"/>
              <w:left w:w="120" w:type="dxa"/>
              <w:right w:w="120" w:type="dxa"/>
            </w:tcMar>
          </w:tcPr>
          <w:p>
            <w:pPr>
              <w:jc w:val="left"/>
            </w:pPr>
            <w:r>
              <w:rPr>
                <w:color w:val="1E293B"/>
                <w:sz w:val="18"/>
              </w:rPr>
              <w:t>Policy Expiring in &lt; 30 Days</w:t>
            </w:r>
          </w:p>
        </w:tc>
        <w:tc>
          <w:tcPr>
            <w:tcW w:type="dxa" w:w="1440"/>
            <w:shd w:fill="FFFFFF"/>
            <w:tcMar>
              <w:top w:w="80" w:type="dxa"/>
              <w:bottom w:w="80" w:type="dxa"/>
              <w:left w:w="120" w:type="dxa"/>
              <w:right w:w="120" w:type="dxa"/>
            </w:tcMar>
          </w:tcPr>
          <w:p>
            <w:pPr>
              <w:jc w:val="left"/>
            </w:pPr>
            <w:r>
              <w:rPr>
                <w:color w:val="1E293B"/>
                <w:sz w:val="18"/>
              </w:rPr>
              <w:t>+10 Points</w:t>
            </w:r>
          </w:p>
        </w:tc>
        <w:tc>
          <w:tcPr>
            <w:tcW w:type="dxa" w:w="2592"/>
            <w:shd w:fill="FFFFFF"/>
            <w:tcMar>
              <w:top w:w="80" w:type="dxa"/>
              <w:bottom w:w="80" w:type="dxa"/>
              <w:left w:w="120" w:type="dxa"/>
              <w:right w:w="120" w:type="dxa"/>
            </w:tcMar>
          </w:tcPr>
          <w:p>
            <w:pPr>
              <w:jc w:val="left"/>
            </w:pPr>
            <w:r>
              <w:rPr>
                <w:color w:val="1E293B"/>
                <w:sz w:val="18"/>
              </w:rPr>
              <w:t>LOW</w:t>
            </w:r>
          </w:p>
        </w:tc>
        <w:tc>
          <w:tcPr>
            <w:tcW w:type="dxa" w:w="2736"/>
            <w:shd w:fill="FFFFFF"/>
            <w:tcMar>
              <w:top w:w="80" w:type="dxa"/>
              <w:bottom w:w="80" w:type="dxa"/>
              <w:left w:w="120" w:type="dxa"/>
              <w:right w:w="120" w:type="dxa"/>
            </w:tcMar>
          </w:tcPr>
          <w:p>
            <w:pPr>
              <w:jc w:val="left"/>
            </w:pPr>
            <w:r>
              <w:rPr>
                <w:color w:val="1E293B"/>
                <w:sz w:val="18"/>
              </w:rPr>
              <w:t>Risk of retroactive termination before billing cycle</w:t>
            </w:r>
          </w:p>
        </w:tc>
      </w:tr>
      <w:tr>
        <w:tc>
          <w:tcPr>
            <w:tcW w:type="dxa" w:w="2592"/>
            <w:shd w:fill="F8FAFC"/>
            <w:tcMar>
              <w:top w:w="80" w:type="dxa"/>
              <w:bottom w:w="80" w:type="dxa"/>
              <w:left w:w="120" w:type="dxa"/>
              <w:right w:w="120" w:type="dxa"/>
            </w:tcMar>
          </w:tcPr>
          <w:p>
            <w:pPr>
              <w:jc w:val="left"/>
            </w:pPr>
            <w:r>
              <w:rPr>
                <w:color w:val="1E293B"/>
                <w:sz w:val="18"/>
              </w:rPr>
              <w:t>Low Financial Responsibility Ratio</w:t>
            </w:r>
          </w:p>
        </w:tc>
        <w:tc>
          <w:tcPr>
            <w:tcW w:type="dxa" w:w="1440"/>
            <w:shd w:fill="F8FAFC"/>
            <w:tcMar>
              <w:top w:w="80" w:type="dxa"/>
              <w:bottom w:w="80" w:type="dxa"/>
              <w:left w:w="120" w:type="dxa"/>
              <w:right w:w="120" w:type="dxa"/>
            </w:tcMar>
          </w:tcPr>
          <w:p>
            <w:pPr>
              <w:jc w:val="left"/>
            </w:pPr>
            <w:r>
              <w:rPr>
                <w:color w:val="1E293B"/>
                <w:sz w:val="18"/>
              </w:rPr>
              <w:t>-10 Points</w:t>
            </w:r>
          </w:p>
        </w:tc>
        <w:tc>
          <w:tcPr>
            <w:tcW w:type="dxa" w:w="2592"/>
            <w:shd w:fill="F8FAFC"/>
            <w:tcMar>
              <w:top w:w="80" w:type="dxa"/>
              <w:bottom w:w="80" w:type="dxa"/>
              <w:left w:w="120" w:type="dxa"/>
              <w:right w:w="120" w:type="dxa"/>
            </w:tcMar>
          </w:tcPr>
          <w:p>
            <w:pPr>
              <w:jc w:val="left"/>
            </w:pPr>
            <w:r>
              <w:rPr>
                <w:color w:val="1E293B"/>
                <w:sz w:val="18"/>
              </w:rPr>
              <w:t>FAVORABLE</w:t>
            </w:r>
          </w:p>
        </w:tc>
        <w:tc>
          <w:tcPr>
            <w:tcW w:type="dxa" w:w="2736"/>
            <w:shd w:fill="F8FAFC"/>
            <w:tcMar>
              <w:top w:w="80" w:type="dxa"/>
              <w:bottom w:w="80" w:type="dxa"/>
              <w:left w:w="120" w:type="dxa"/>
              <w:right w:w="120" w:type="dxa"/>
            </w:tcMar>
          </w:tcPr>
          <w:p>
            <w:pPr>
              <w:jc w:val="left"/>
            </w:pPr>
            <w:r>
              <w:rPr>
                <w:color w:val="1E293B"/>
                <w:sz w:val="18"/>
              </w:rPr>
              <w:t>Active in-network coverage with confirmed pre-auth</w:t>
            </w:r>
          </w:p>
        </w:tc>
      </w:tr>
    </w:tbl>
    <w:p>
      <w:pPr>
        <w:spacing w:after="160"/>
      </w:pPr>
    </w:p>
    <w:p>
      <w:pPr>
        <w:pStyle w:val="Heading2"/>
        <w:spacing w:before="200" w:after="80"/>
      </w:pPr>
      <w:r>
        <w:rPr>
          <w:b/>
          <w:color w:val="2563EB"/>
          <w:sz w:val="28"/>
        </w:rPr>
        <w:t>3.5 Canonical Clearance Status Triaging</w:t>
      </w:r>
    </w:p>
    <w:p>
      <w:pPr>
        <w:spacing w:line="276" w:lineRule="auto"/>
      </w:pPr>
      <w:r>
        <w:t>Based on risk score and verification blockers, encounters are categorized into three canonical operational states:</w:t>
        <w:br/>
        <w:t>• CLEARED (Score 0–39): All verification gates passed. Patient is fast-tracked for seamless arrival and check-in.</w:t>
        <w:br/>
        <w:t>• NEEDS_ACTION (Score 40–69): Patient is eligible, but actionable administrative tasks exist (e.g., 1-click OCR suffix sync, copay collection).</w:t>
        <w:br/>
        <w:t>• HIGH_RISK (Score 70–100): Critical blocker detected (terminated insurance, missing prior authorization). Fast check-in blocked; escalated to pre-service RCM.</w:t>
      </w:r>
    </w:p>
    <w:p>
      <w:pPr>
        <w:pStyle w:val="Heading1"/>
        <w:spacing w:before="280" w:after="80"/>
      </w:pPr>
      <w:r>
        <w:rPr>
          <w:b/>
          <w:color w:val="1E3A8A"/>
          <w:sz w:val="36"/>
        </w:rPr>
        <w:t>4. Closed-Loop Self-Healing RCM &amp; Denial Prevention Engine</w:t>
      </w:r>
    </w:p>
    <w:p>
      <w:pPr>
        <w:spacing w:line="276" w:lineRule="auto"/>
      </w:pPr>
      <w:r>
        <w:t>The RCM Self-Healing Subsystem (app/services/self_healing/) represents Previa's most transformative architectural capability. Rather than repeatedly flagging the same denial errors to human operators, the system identifies systematic patterns across claims, deploys automated upstream normalization rules, and verifies claim integrity prior to clearinghouse submission.</w:t>
      </w:r>
    </w:p>
    <w:p>
      <w:pPr>
        <w:pStyle w:val="Heading2"/>
        <w:spacing w:before="200" w:after="80"/>
      </w:pPr>
      <w:r>
        <w:rPr>
          <w:b/>
          <w:color w:val="2563EB"/>
          <w:sz w:val="28"/>
        </w:rPr>
        <w:t>4.1 Error Clustering &amp; Problem Hotspot Aggregation</w:t>
      </w:r>
    </w:p>
    <w:p>
      <w:pPr>
        <w:spacing w:line="276" w:lineRule="auto"/>
      </w:pPr>
      <w:r>
        <w:t>The Error Clustering Engine (error_clustering.py) continuously analyzes historical and pending claims. It aggregates recurring rejections into high-impact Problem Clusters based on Claim Adjustment Reason Codes (CARC), Remittance Advice Remark Codes (RARC), and field discrepancies. Priority scores (0–100) are computed dynamically using financial impact, recurrence frequency, and fix preventability.</w:t>
      </w:r>
    </w:p>
    <w:tbl>
      <w:tblPr>
        <w:tblW w:type="auto" w:w="0"/>
        <w:jc w:val="center"/>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20" w:type="dxa"/>
              <w:right w:w="120" w:type="dxa"/>
            </w:tcMar>
          </w:tcPr>
          <w:p>
            <w:pPr>
              <w:jc w:val="left"/>
            </w:pPr>
            <w:r>
              <w:rPr>
                <w:b/>
                <w:color w:val="FFFFFF"/>
                <w:sz w:val="19"/>
              </w:rPr>
              <w:t>Problem ID &amp; Code</w:t>
            </w:r>
          </w:p>
        </w:tc>
        <w:tc>
          <w:tcPr>
            <w:tcW w:type="dxa" w:w="2016"/>
            <w:shd w:fill="1E3A8A"/>
            <w:tcMar>
              <w:top w:w="100" w:type="dxa"/>
              <w:bottom w:w="100" w:type="dxa"/>
              <w:left w:w="120" w:type="dxa"/>
              <w:right w:w="120" w:type="dxa"/>
            </w:tcMar>
          </w:tcPr>
          <w:p>
            <w:pPr>
              <w:jc w:val="left"/>
            </w:pPr>
            <w:r>
              <w:rPr>
                <w:b/>
                <w:color w:val="FFFFFF"/>
                <w:sz w:val="19"/>
              </w:rPr>
              <w:t>Category</w:t>
            </w:r>
          </w:p>
        </w:tc>
        <w:tc>
          <w:tcPr>
            <w:tcW w:type="dxa" w:w="2592"/>
            <w:shd w:fill="1E3A8A"/>
            <w:tcMar>
              <w:top w:w="100" w:type="dxa"/>
              <w:bottom w:w="100" w:type="dxa"/>
              <w:left w:w="120" w:type="dxa"/>
              <w:right w:w="120" w:type="dxa"/>
            </w:tcMar>
          </w:tcPr>
          <w:p>
            <w:pPr>
              <w:jc w:val="left"/>
            </w:pPr>
            <w:r>
              <w:rPr>
                <w:b/>
                <w:color w:val="FFFFFF"/>
                <w:sz w:val="19"/>
              </w:rPr>
              <w:t>Root Cause Analysis</w:t>
            </w:r>
          </w:p>
        </w:tc>
        <w:tc>
          <w:tcPr>
            <w:tcW w:type="dxa" w:w="2592"/>
            <w:shd w:fill="1E3A8A"/>
            <w:tcMar>
              <w:top w:w="100" w:type="dxa"/>
              <w:bottom w:w="100" w:type="dxa"/>
              <w:left w:w="120" w:type="dxa"/>
              <w:right w:w="120" w:type="dxa"/>
            </w:tcMar>
          </w:tcPr>
          <w:p>
            <w:pPr>
              <w:jc w:val="left"/>
            </w:pPr>
            <w:r>
              <w:rPr>
                <w:b/>
                <w:color w:val="FFFFFF"/>
                <w:sz w:val="19"/>
              </w:rPr>
              <w:t>Self-Healing Automated Action</w:t>
            </w:r>
          </w:p>
        </w:tc>
      </w:tr>
      <w:tr>
        <w:tc>
          <w:tcPr>
            <w:tcW w:type="dxa" w:w="2160"/>
            <w:shd w:fill="FFFFFF"/>
            <w:tcMar>
              <w:top w:w="80" w:type="dxa"/>
              <w:bottom w:w="80" w:type="dxa"/>
              <w:left w:w="120" w:type="dxa"/>
              <w:right w:w="120" w:type="dxa"/>
            </w:tcMar>
          </w:tcPr>
          <w:p>
            <w:pPr>
              <w:jc w:val="left"/>
            </w:pPr>
            <w:r>
              <w:rPr>
                <w:color w:val="1E293B"/>
                <w:sz w:val="18"/>
              </w:rPr>
              <w:t>PROB-ID-260</w:t>
              <w:br/>
              <w:t>ERR-ID-NORM</w:t>
            </w:r>
          </w:p>
        </w:tc>
        <w:tc>
          <w:tcPr>
            <w:tcW w:type="dxa" w:w="2016"/>
            <w:shd w:fill="FFFFFF"/>
            <w:tcMar>
              <w:top w:w="80" w:type="dxa"/>
              <w:bottom w:w="80" w:type="dxa"/>
              <w:left w:w="120" w:type="dxa"/>
              <w:right w:w="120" w:type="dxa"/>
            </w:tcMar>
          </w:tcPr>
          <w:p>
            <w:pPr>
              <w:jc w:val="left"/>
            </w:pPr>
            <w:r>
              <w:rPr>
                <w:color w:val="1E293B"/>
                <w:sz w:val="18"/>
              </w:rPr>
              <w:t>Patient Identity Mismatch</w:t>
            </w:r>
          </w:p>
        </w:tc>
        <w:tc>
          <w:tcPr>
            <w:tcW w:type="dxa" w:w="2592"/>
            <w:shd w:fill="FFFFFF"/>
            <w:tcMar>
              <w:top w:w="80" w:type="dxa"/>
              <w:bottom w:w="80" w:type="dxa"/>
              <w:left w:w="120" w:type="dxa"/>
              <w:right w:w="120" w:type="dxa"/>
            </w:tcMar>
          </w:tcPr>
          <w:p>
            <w:pPr>
              <w:jc w:val="left"/>
            </w:pPr>
            <w:r>
              <w:rPr>
                <w:color w:val="1E293B"/>
                <w:sz w:val="18"/>
              </w:rPr>
              <w:t>Payer EDI mandates abbreviated initials ('S ROY') vs EHR full legal names</w:t>
            </w:r>
          </w:p>
        </w:tc>
        <w:tc>
          <w:tcPr>
            <w:tcW w:type="dxa" w:w="2592"/>
            <w:shd w:fill="FFFFFF"/>
            <w:tcMar>
              <w:top w:w="80" w:type="dxa"/>
              <w:bottom w:w="80" w:type="dxa"/>
              <w:left w:w="120" w:type="dxa"/>
              <w:right w:w="120" w:type="dxa"/>
            </w:tcMar>
          </w:tcPr>
          <w:p>
            <w:pPr>
              <w:jc w:val="left"/>
            </w:pPr>
            <w:r>
              <w:rPr>
                <w:color w:val="1E293B"/>
                <w:sz w:val="18"/>
              </w:rPr>
              <w:t>Automated deterministic name normalization on EDI 837 claim stream</w:t>
            </w:r>
          </w:p>
        </w:tc>
      </w:tr>
      <w:tr>
        <w:tc>
          <w:tcPr>
            <w:tcW w:type="dxa" w:w="2160"/>
            <w:shd w:fill="F8FAFC"/>
            <w:tcMar>
              <w:top w:w="80" w:type="dxa"/>
              <w:bottom w:w="80" w:type="dxa"/>
              <w:left w:w="120" w:type="dxa"/>
              <w:right w:w="120" w:type="dxa"/>
            </w:tcMar>
          </w:tcPr>
          <w:p>
            <w:pPr>
              <w:jc w:val="left"/>
            </w:pPr>
            <w:r>
              <w:rPr>
                <w:color w:val="1E293B"/>
                <w:sz w:val="18"/>
              </w:rPr>
              <w:t>PROB-AUTH-204</w:t>
              <w:br/>
              <w:t>CO-197</w:t>
            </w:r>
          </w:p>
        </w:tc>
        <w:tc>
          <w:tcPr>
            <w:tcW w:type="dxa" w:w="2016"/>
            <w:shd w:fill="F8FAFC"/>
            <w:tcMar>
              <w:top w:w="80" w:type="dxa"/>
              <w:bottom w:w="80" w:type="dxa"/>
              <w:left w:w="120" w:type="dxa"/>
              <w:right w:w="120" w:type="dxa"/>
            </w:tcMar>
          </w:tcPr>
          <w:p>
            <w:pPr>
              <w:jc w:val="left"/>
            </w:pPr>
            <w:r>
              <w:rPr>
                <w:color w:val="1E293B"/>
                <w:sz w:val="18"/>
              </w:rPr>
              <w:t>Authorization Workflow</w:t>
            </w:r>
          </w:p>
        </w:tc>
        <w:tc>
          <w:tcPr>
            <w:tcW w:type="dxa" w:w="2592"/>
            <w:shd w:fill="F8FAFC"/>
            <w:tcMar>
              <w:top w:w="80" w:type="dxa"/>
              <w:bottom w:w="80" w:type="dxa"/>
              <w:left w:w="120" w:type="dxa"/>
              <w:right w:w="120" w:type="dxa"/>
            </w:tcMar>
          </w:tcPr>
          <w:p>
            <w:pPr>
              <w:jc w:val="left"/>
            </w:pPr>
            <w:r>
              <w:rPr>
                <w:color w:val="1E293B"/>
                <w:sz w:val="18"/>
              </w:rPr>
              <w:t>High-tech MRI/CT ordered without prior auth gateway check</w:t>
            </w:r>
          </w:p>
        </w:tc>
        <w:tc>
          <w:tcPr>
            <w:tcW w:type="dxa" w:w="2592"/>
            <w:shd w:fill="F8FAFC"/>
            <w:tcMar>
              <w:top w:w="80" w:type="dxa"/>
              <w:bottom w:w="80" w:type="dxa"/>
              <w:left w:w="120" w:type="dxa"/>
              <w:right w:w="120" w:type="dxa"/>
            </w:tcMar>
          </w:tcPr>
          <w:p>
            <w:pPr>
              <w:jc w:val="left"/>
            </w:pPr>
            <w:r>
              <w:rPr>
                <w:color w:val="1E293B"/>
                <w:sz w:val="18"/>
              </w:rPr>
              <w:t>Enforce 72-hour pre-service electronic PA gate &amp; alert rendering provider</w:t>
            </w:r>
          </w:p>
        </w:tc>
      </w:tr>
      <w:tr>
        <w:tc>
          <w:tcPr>
            <w:tcW w:type="dxa" w:w="2160"/>
            <w:shd w:fill="FFFFFF"/>
            <w:tcMar>
              <w:top w:w="80" w:type="dxa"/>
              <w:bottom w:w="80" w:type="dxa"/>
              <w:left w:w="120" w:type="dxa"/>
              <w:right w:w="120" w:type="dxa"/>
            </w:tcMar>
          </w:tcPr>
          <w:p>
            <w:pPr>
              <w:jc w:val="left"/>
            </w:pPr>
            <w:r>
              <w:rPr>
                <w:color w:val="1E293B"/>
                <w:sz w:val="18"/>
              </w:rPr>
              <w:t>PROB-MOD-149</w:t>
              <w:br/>
              <w:t>ERR-MOD-DRIFT</w:t>
            </w:r>
          </w:p>
        </w:tc>
        <w:tc>
          <w:tcPr>
            <w:tcW w:type="dxa" w:w="2016"/>
            <w:shd w:fill="FFFFFF"/>
            <w:tcMar>
              <w:top w:w="80" w:type="dxa"/>
              <w:bottom w:w="80" w:type="dxa"/>
              <w:left w:w="120" w:type="dxa"/>
              <w:right w:w="120" w:type="dxa"/>
            </w:tcMar>
          </w:tcPr>
          <w:p>
            <w:pPr>
              <w:jc w:val="left"/>
            </w:pPr>
            <w:r>
              <w:rPr>
                <w:color w:val="1E293B"/>
                <w:sz w:val="18"/>
              </w:rPr>
              <w:t>Payer Modifier Rules</w:t>
            </w:r>
          </w:p>
        </w:tc>
        <w:tc>
          <w:tcPr>
            <w:tcW w:type="dxa" w:w="2592"/>
            <w:shd w:fill="FFFFFF"/>
            <w:tcMar>
              <w:top w:w="80" w:type="dxa"/>
              <w:bottom w:w="80" w:type="dxa"/>
              <w:left w:w="120" w:type="dxa"/>
              <w:right w:w="120" w:type="dxa"/>
            </w:tcMar>
          </w:tcPr>
          <w:p>
            <w:pPr>
              <w:jc w:val="left"/>
            </w:pPr>
            <w:r>
              <w:rPr>
                <w:color w:val="1E293B"/>
                <w:sz w:val="18"/>
              </w:rPr>
              <w:t>Payer silently updated Modifier 25 rule on same-day minor procedures</w:t>
            </w:r>
          </w:p>
        </w:tc>
        <w:tc>
          <w:tcPr>
            <w:tcW w:type="dxa" w:w="2592"/>
            <w:shd w:fill="FFFFFF"/>
            <w:tcMar>
              <w:top w:w="80" w:type="dxa"/>
              <w:bottom w:w="80" w:type="dxa"/>
              <w:left w:w="120" w:type="dxa"/>
              <w:right w:w="120" w:type="dxa"/>
            </w:tcMar>
          </w:tcPr>
          <w:p>
            <w:pPr>
              <w:jc w:val="left"/>
            </w:pPr>
            <w:r>
              <w:rPr>
                <w:color w:val="1E293B"/>
                <w:sz w:val="18"/>
              </w:rPr>
              <w:t>Auto-update claim validation rule to append Modifier 25 for affected payer</w:t>
            </w:r>
          </w:p>
        </w:tc>
      </w:tr>
      <w:tr>
        <w:tc>
          <w:tcPr>
            <w:tcW w:type="dxa" w:w="2160"/>
            <w:shd w:fill="F8FAFC"/>
            <w:tcMar>
              <w:top w:w="80" w:type="dxa"/>
              <w:bottom w:w="80" w:type="dxa"/>
              <w:left w:w="120" w:type="dxa"/>
              <w:right w:w="120" w:type="dxa"/>
            </w:tcMar>
          </w:tcPr>
          <w:p>
            <w:pPr>
              <w:jc w:val="left"/>
            </w:pPr>
            <w:r>
              <w:rPr>
                <w:color w:val="1E293B"/>
                <w:sz w:val="18"/>
              </w:rPr>
              <w:t>PROB-ELIG-95</w:t>
              <w:br/>
              <w:t>CO-27</w:t>
            </w:r>
          </w:p>
        </w:tc>
        <w:tc>
          <w:tcPr>
            <w:tcW w:type="dxa" w:w="2016"/>
            <w:shd w:fill="F8FAFC"/>
            <w:tcMar>
              <w:top w:w="80" w:type="dxa"/>
              <w:bottom w:w="80" w:type="dxa"/>
              <w:left w:w="120" w:type="dxa"/>
              <w:right w:w="120" w:type="dxa"/>
            </w:tcMar>
          </w:tcPr>
          <w:p>
            <w:pPr>
              <w:jc w:val="left"/>
            </w:pPr>
            <w:r>
              <w:rPr>
                <w:color w:val="1E293B"/>
                <w:sz w:val="18"/>
              </w:rPr>
              <w:t>Terminated Coverage</w:t>
            </w:r>
          </w:p>
        </w:tc>
        <w:tc>
          <w:tcPr>
            <w:tcW w:type="dxa" w:w="2592"/>
            <w:shd w:fill="F8FAFC"/>
            <w:tcMar>
              <w:top w:w="80" w:type="dxa"/>
              <w:bottom w:w="80" w:type="dxa"/>
              <w:left w:w="120" w:type="dxa"/>
              <w:right w:w="120" w:type="dxa"/>
            </w:tcMar>
          </w:tcPr>
          <w:p>
            <w:pPr>
              <w:jc w:val="left"/>
            </w:pPr>
            <w:r>
              <w:rPr>
                <w:color w:val="1E293B"/>
                <w:sz w:val="18"/>
              </w:rPr>
              <w:t>Patients verified at Day 1 lost coverage at month-end prior to Day 28 visit</w:t>
            </w:r>
          </w:p>
        </w:tc>
        <w:tc>
          <w:tcPr>
            <w:tcW w:type="dxa" w:w="2592"/>
            <w:shd w:fill="F8FAFC"/>
            <w:tcMar>
              <w:top w:w="80" w:type="dxa"/>
              <w:bottom w:w="80" w:type="dxa"/>
              <w:left w:w="120" w:type="dxa"/>
              <w:right w:w="120" w:type="dxa"/>
            </w:tcMar>
          </w:tcPr>
          <w:p>
            <w:pPr>
              <w:jc w:val="left"/>
            </w:pPr>
            <w:r>
              <w:rPr>
                <w:color w:val="1E293B"/>
                <w:sz w:val="18"/>
              </w:rPr>
              <w:t>Trigger automated 24-hour pre-encounter batch 270 re-verification sweep</w:t>
            </w:r>
          </w:p>
        </w:tc>
      </w:tr>
    </w:tbl>
    <w:p>
      <w:pPr>
        <w:spacing w:after="160"/>
      </w:pPr>
    </w:p>
    <w:p>
      <w:pPr>
        <w:pStyle w:val="Heading2"/>
        <w:spacing w:before="200" w:after="80"/>
      </w:pPr>
      <w:r>
        <w:rPr>
          <w:b/>
          <w:color w:val="2563EB"/>
          <w:sz w:val="28"/>
        </w:rPr>
        <w:t>4.2 Payer Rule Drift Detection</w:t>
      </w:r>
    </w:p>
    <w:p>
      <w:pPr>
        <w:spacing w:line="276" w:lineRule="auto"/>
      </w:pPr>
      <w:r>
        <w:t>Health plans regularly update adjudication policies without formal notification to providers. Previa's Rule Drift Detector (rule_drift_detector.py) identifies statistical spikes in specific denial codes for specific payer-CPT combinations. When confidence exceeds 95% (e.g., UnitedHealthcare rejecting CPT 29881 without Modifier 25), the engine creates a PayerRuleDriftRecord and deploys an upstream pre-submission validation guard.</w:t>
      </w:r>
    </w:p>
    <w:p>
      <w:pPr>
        <w:pStyle w:val="Heading2"/>
        <w:spacing w:before="200" w:after="80"/>
      </w:pPr>
      <w:r>
        <w:rPr>
          <w:b/>
          <w:color w:val="2563EB"/>
          <w:sz w:val="28"/>
        </w:rPr>
        <w:t>4.3 Three-Way Decision Engine &amp; Safety Boundary</w:t>
      </w:r>
    </w:p>
    <w:p>
      <w:pPr>
        <w:spacing w:line="276" w:lineRule="auto"/>
      </w:pPr>
      <w:r>
        <w:t>To ensure patient safety and clinical integrity, Previa enforces a strict Deterministic Safety Boundary:</w:t>
        <w:br/>
        <w:t>1. SAFE_AUTO_FIX (Confidence &gt;= 0.95): Administrative formatting, trailing suffix synchronization, and EDI abbreviation normalization are safely resolved automatically.</w:t>
        <w:br/>
        <w:t>2. REQUIRES_OPERATOR (Confidence &lt; 0.95 or Clinical): Missing clinical documentation, medical necessity disputes, and prior auth creations are routed to staff worklists.</w:t>
        <w:br/>
        <w:t>3. BLOCK_SUBMISSION: Encounters with guaranteed termination denials (CO-27) are intercepted and prevented from entering clearinghouse queues.</w:t>
      </w:r>
    </w:p>
    <w:p>
      <w:pPr>
        <w:pStyle w:val="Heading2"/>
        <w:spacing w:before="200" w:after="80"/>
      </w:pPr>
      <w:r>
        <w:rPr>
          <w:b/>
          <w:color w:val="2563EB"/>
          <w:sz w:val="28"/>
        </w:rPr>
        <w:t>4.4 Immutable Audit Trails &amp; 1-Click Rollback</w:t>
      </w:r>
    </w:p>
    <w:p>
      <w:pPr>
        <w:spacing w:line="276" w:lineRule="auto"/>
      </w:pPr>
      <w:r>
        <w:t>Every self-healing operation generates an immutable SelfHealAuditEvent record containing:</w:t>
        <w:br/>
        <w:t>• Event ID &amp; Timestamp (UTC)</w:t>
        <w:br/>
        <w:t>• Claim ID and Patient ID</w:t>
        <w:br/>
        <w:t>• Original Value vs Corrected Value</w:t>
        <w:br/>
        <w:t>• Rule Used &amp; Machine Learning Confidence Score</w:t>
        <w:br/>
        <w:t>• Rollback Status ('ACTIVE' vs 'ROLLED_BACK')</w:t>
        <w:br/>
        <w:br/>
        <w:t>Billing managers can inspect any automated correction in the UI and trigger a 1-Click Rollback, instantly restoring original values and logging the reversal.</w:t>
      </w:r>
    </w:p>
    <w:p>
      <w:pPr>
        <w:pStyle w:val="Heading1"/>
        <w:spacing w:before="280" w:after="80"/>
      </w:pPr>
      <w:r>
        <w:rPr>
          <w:b/>
          <w:color w:val="1E3A8A"/>
          <w:sz w:val="36"/>
        </w:rPr>
        <w:t>5. Frontend Architecture &amp; Operational Workflows</w:t>
      </w:r>
    </w:p>
    <w:p>
      <w:pPr>
        <w:spacing w:line="276" w:lineRule="auto"/>
      </w:pPr>
      <w:r>
        <w:t>The frontend is engineered as a modern, dual-target interface supporting both Next.js 16+ (App Router with Turbopack) and Vite 6+ SPA mode. Key operational workflows include:</w:t>
        <w:br/>
        <w:t>• Multi-Tenant Healthcare Workspaces: Allows seamless switching between hospital profiles (Apex Memorial, Apollo Enterprise, Max Healthcare, Fortis Health) and Clean Slate zero-record intake mode.</w:t>
        <w:br/>
        <w:t>• Priority Clearance Queues: Real-time worklists grouped by clearance status with instant search, payer filtering, and 1-click OCR field synchronization.</w:t>
        <w:br/>
        <w:t>• Interactive Patient Dossier: Comprehensive 360-degree patient financial views displaying active insurance cards, eligibility breakdown, auth status, and historical remittance advice.</w:t>
        <w:br/>
        <w:t>• Denial Analytics &amp; Before/After ROI Dashboards: Dynamic Recharts visualizations quantifying prevented denial dollars, average days in A/R reduction, and automated clean-claim rates.</w:t>
      </w:r>
    </w:p>
    <w:p>
      <w:pPr>
        <w:pStyle w:val="Heading1"/>
        <w:spacing w:before="280" w:after="80"/>
      </w:pPr>
      <w:r>
        <w:rPr>
          <w:b/>
          <w:color w:val="1E3A8A"/>
          <w:sz w:val="36"/>
        </w:rPr>
        <w:t>6. Technical Specifications &amp; Canonical Data Models</w:t>
      </w:r>
    </w:p>
    <w:p>
      <w:pPr>
        <w:spacing w:line="276" w:lineRule="auto"/>
      </w:pPr>
      <w:r>
        <w:t>Previa enforces 13 validated JSON Schemas located in the contracts/ directory as the single source of truth across all subsystems:</w:t>
      </w:r>
    </w:p>
    <w:tbl>
      <w:tblPr>
        <w:tblW w:type="auto" w:w="0"/>
        <w:jc w:val="center"/>
        <w:tblLook w:firstColumn="1" w:firstRow="1" w:lastColumn="0" w:lastRow="0" w:noHBand="0" w:noVBand="1" w:val="04A0"/>
      </w:tblPr>
      <w:tblGrid>
        <w:gridCol w:w="3312"/>
        <w:gridCol w:w="3312"/>
        <w:gridCol w:w="3312"/>
      </w:tblGrid>
      <w:tr>
        <w:tc>
          <w:tcPr>
            <w:tcW w:type="dxa" w:w="2592"/>
            <w:shd w:fill="1E3A8A"/>
            <w:tcMar>
              <w:top w:w="100" w:type="dxa"/>
              <w:bottom w:w="100" w:type="dxa"/>
              <w:left w:w="120" w:type="dxa"/>
              <w:right w:w="120" w:type="dxa"/>
            </w:tcMar>
          </w:tcPr>
          <w:p>
            <w:pPr>
              <w:jc w:val="left"/>
            </w:pPr>
            <w:r>
              <w:rPr>
                <w:b/>
                <w:color w:val="FFFFFF"/>
                <w:sz w:val="19"/>
              </w:rPr>
              <w:t>Schema / Entity</w:t>
            </w:r>
          </w:p>
        </w:tc>
        <w:tc>
          <w:tcPr>
            <w:tcW w:type="dxa" w:w="2592"/>
            <w:shd w:fill="1E3A8A"/>
            <w:tcMar>
              <w:top w:w="100" w:type="dxa"/>
              <w:bottom w:w="100" w:type="dxa"/>
              <w:left w:w="120" w:type="dxa"/>
              <w:right w:w="120" w:type="dxa"/>
            </w:tcMar>
          </w:tcPr>
          <w:p>
            <w:pPr>
              <w:jc w:val="left"/>
            </w:pPr>
            <w:r>
              <w:rPr>
                <w:b/>
                <w:color w:val="FFFFFF"/>
                <w:sz w:val="19"/>
              </w:rPr>
              <w:t>Primary Database Model</w:t>
            </w:r>
          </w:p>
        </w:tc>
        <w:tc>
          <w:tcPr>
            <w:tcW w:type="dxa" w:w="4176"/>
            <w:shd w:fill="1E3A8A"/>
            <w:tcMar>
              <w:top w:w="100" w:type="dxa"/>
              <w:bottom w:w="100" w:type="dxa"/>
              <w:left w:w="120" w:type="dxa"/>
              <w:right w:w="120" w:type="dxa"/>
            </w:tcMar>
          </w:tcPr>
          <w:p>
            <w:pPr>
              <w:jc w:val="left"/>
            </w:pPr>
            <w:r>
              <w:rPr>
                <w:b/>
                <w:color w:val="FFFFFF"/>
                <w:sz w:val="19"/>
              </w:rPr>
              <w:t>Core Fields &amp; Enums</w:t>
            </w:r>
          </w:p>
        </w:tc>
      </w:tr>
      <w:tr>
        <w:tc>
          <w:tcPr>
            <w:tcW w:type="dxa" w:w="2592"/>
            <w:shd w:fill="FFFFFF"/>
            <w:tcMar>
              <w:top w:w="80" w:type="dxa"/>
              <w:bottom w:w="80" w:type="dxa"/>
              <w:left w:w="120" w:type="dxa"/>
              <w:right w:w="120" w:type="dxa"/>
            </w:tcMar>
          </w:tcPr>
          <w:p>
            <w:pPr>
              <w:jc w:val="left"/>
            </w:pPr>
            <w:r>
              <w:rPr>
                <w:color w:val="1E293B"/>
                <w:sz w:val="18"/>
              </w:rPr>
              <w:t>patient.schema.json</w:t>
            </w:r>
          </w:p>
        </w:tc>
        <w:tc>
          <w:tcPr>
            <w:tcW w:type="dxa" w:w="2592"/>
            <w:shd w:fill="FFFFFF"/>
            <w:tcMar>
              <w:top w:w="80" w:type="dxa"/>
              <w:bottom w:w="80" w:type="dxa"/>
              <w:left w:w="120" w:type="dxa"/>
              <w:right w:w="120" w:type="dxa"/>
            </w:tcMar>
          </w:tcPr>
          <w:p>
            <w:pPr>
              <w:jc w:val="left"/>
            </w:pPr>
            <w:r>
              <w:rPr>
                <w:color w:val="1E293B"/>
                <w:sz w:val="18"/>
              </w:rPr>
              <w:t>Patient</w:t>
            </w:r>
          </w:p>
        </w:tc>
        <w:tc>
          <w:tcPr>
            <w:tcW w:type="dxa" w:w="4176"/>
            <w:shd w:fill="FFFFFF"/>
            <w:tcMar>
              <w:top w:w="80" w:type="dxa"/>
              <w:bottom w:w="80" w:type="dxa"/>
              <w:left w:w="120" w:type="dxa"/>
              <w:right w:w="120" w:type="dxa"/>
            </w:tcMar>
          </w:tcPr>
          <w:p>
            <w:pPr>
              <w:jc w:val="left"/>
            </w:pPr>
            <w:r>
              <w:rPr>
                <w:color w:val="1E293B"/>
                <w:sz w:val="18"/>
              </w:rPr>
              <w:t>id, first_name, last_name, dob, phone, email, address</w:t>
            </w:r>
          </w:p>
        </w:tc>
      </w:tr>
      <w:tr>
        <w:tc>
          <w:tcPr>
            <w:tcW w:type="dxa" w:w="2592"/>
            <w:shd w:fill="F8FAFC"/>
            <w:tcMar>
              <w:top w:w="80" w:type="dxa"/>
              <w:bottom w:w="80" w:type="dxa"/>
              <w:left w:w="120" w:type="dxa"/>
              <w:right w:w="120" w:type="dxa"/>
            </w:tcMar>
          </w:tcPr>
          <w:p>
            <w:pPr>
              <w:jc w:val="left"/>
            </w:pPr>
            <w:r>
              <w:rPr>
                <w:color w:val="1E293B"/>
                <w:sz w:val="18"/>
              </w:rPr>
              <w:t>insurance.schema.json</w:t>
            </w:r>
          </w:p>
        </w:tc>
        <w:tc>
          <w:tcPr>
            <w:tcW w:type="dxa" w:w="2592"/>
            <w:shd w:fill="F8FAFC"/>
            <w:tcMar>
              <w:top w:w="80" w:type="dxa"/>
              <w:bottom w:w="80" w:type="dxa"/>
              <w:left w:w="120" w:type="dxa"/>
              <w:right w:w="120" w:type="dxa"/>
            </w:tcMar>
          </w:tcPr>
          <w:p>
            <w:pPr>
              <w:jc w:val="left"/>
            </w:pPr>
            <w:r>
              <w:rPr>
                <w:color w:val="1E293B"/>
                <w:sz w:val="18"/>
              </w:rPr>
              <w:t>InsurancePolicy</w:t>
            </w:r>
          </w:p>
        </w:tc>
        <w:tc>
          <w:tcPr>
            <w:tcW w:type="dxa" w:w="4176"/>
            <w:shd w:fill="F8FAFC"/>
            <w:tcMar>
              <w:top w:w="80" w:type="dxa"/>
              <w:bottom w:w="80" w:type="dxa"/>
              <w:left w:w="120" w:type="dxa"/>
              <w:right w:w="120" w:type="dxa"/>
            </w:tcMar>
          </w:tcPr>
          <w:p>
            <w:pPr>
              <w:jc w:val="left"/>
            </w:pPr>
            <w:r>
              <w:rPr>
                <w:color w:val="1E293B"/>
                <w:sz w:val="18"/>
              </w:rPr>
              <w:t>id, patient_id, payer_id, payer_name, member_id, group_number, policy_status (ACTIVE/INACTIVE/TERMINATED), deductible, copay</w:t>
            </w:r>
          </w:p>
        </w:tc>
      </w:tr>
      <w:tr>
        <w:tc>
          <w:tcPr>
            <w:tcW w:type="dxa" w:w="2592"/>
            <w:shd w:fill="FFFFFF"/>
            <w:tcMar>
              <w:top w:w="80" w:type="dxa"/>
              <w:bottom w:w="80" w:type="dxa"/>
              <w:left w:w="120" w:type="dxa"/>
              <w:right w:w="120" w:type="dxa"/>
            </w:tcMar>
          </w:tcPr>
          <w:p>
            <w:pPr>
              <w:jc w:val="left"/>
            </w:pPr>
            <w:r>
              <w:rPr>
                <w:color w:val="1E293B"/>
                <w:sz w:val="18"/>
              </w:rPr>
              <w:t>appointment.schema.json</w:t>
            </w:r>
          </w:p>
        </w:tc>
        <w:tc>
          <w:tcPr>
            <w:tcW w:type="dxa" w:w="2592"/>
            <w:shd w:fill="FFFFFF"/>
            <w:tcMar>
              <w:top w:w="80" w:type="dxa"/>
              <w:bottom w:w="80" w:type="dxa"/>
              <w:left w:w="120" w:type="dxa"/>
              <w:right w:w="120" w:type="dxa"/>
            </w:tcMar>
          </w:tcPr>
          <w:p>
            <w:pPr>
              <w:jc w:val="left"/>
            </w:pPr>
            <w:r>
              <w:rPr>
                <w:color w:val="1E293B"/>
                <w:sz w:val="18"/>
              </w:rPr>
              <w:t>Appointment</w:t>
            </w:r>
          </w:p>
        </w:tc>
        <w:tc>
          <w:tcPr>
            <w:tcW w:type="dxa" w:w="4176"/>
            <w:shd w:fill="FFFFFF"/>
            <w:tcMar>
              <w:top w:w="80" w:type="dxa"/>
              <w:bottom w:w="80" w:type="dxa"/>
              <w:left w:w="120" w:type="dxa"/>
              <w:right w:w="120" w:type="dxa"/>
            </w:tcMar>
          </w:tcPr>
          <w:p>
            <w:pPr>
              <w:jc w:val="left"/>
            </w:pPr>
            <w:r>
              <w:rPr>
                <w:color w:val="1E293B"/>
                <w:sz w:val="18"/>
              </w:rPr>
              <w:t>id, patient_id, appointment_datetime, department, provider_name, cpt_code, service_description, estimated_cost</w:t>
            </w:r>
          </w:p>
        </w:tc>
      </w:tr>
      <w:tr>
        <w:tc>
          <w:tcPr>
            <w:tcW w:type="dxa" w:w="2592"/>
            <w:shd w:fill="F8FAFC"/>
            <w:tcMar>
              <w:top w:w="80" w:type="dxa"/>
              <w:bottom w:w="80" w:type="dxa"/>
              <w:left w:w="120" w:type="dxa"/>
              <w:right w:w="120" w:type="dxa"/>
            </w:tcMar>
          </w:tcPr>
          <w:p>
            <w:pPr>
              <w:jc w:val="left"/>
            </w:pPr>
            <w:r>
              <w:rPr>
                <w:color w:val="1E293B"/>
                <w:sz w:val="18"/>
              </w:rPr>
              <w:t>clearance.schema.json</w:t>
            </w:r>
          </w:p>
        </w:tc>
        <w:tc>
          <w:tcPr>
            <w:tcW w:type="dxa" w:w="2592"/>
            <w:shd w:fill="F8FAFC"/>
            <w:tcMar>
              <w:top w:w="80" w:type="dxa"/>
              <w:bottom w:w="80" w:type="dxa"/>
              <w:left w:w="120" w:type="dxa"/>
              <w:right w:w="120" w:type="dxa"/>
            </w:tcMar>
          </w:tcPr>
          <w:p>
            <w:pPr>
              <w:jc w:val="left"/>
            </w:pPr>
            <w:r>
              <w:rPr>
                <w:color w:val="1E293B"/>
                <w:sz w:val="18"/>
              </w:rPr>
              <w:t>ClearanceRecord</w:t>
            </w:r>
          </w:p>
        </w:tc>
        <w:tc>
          <w:tcPr>
            <w:tcW w:type="dxa" w:w="4176"/>
            <w:shd w:fill="F8FAFC"/>
            <w:tcMar>
              <w:top w:w="80" w:type="dxa"/>
              <w:bottom w:w="80" w:type="dxa"/>
              <w:left w:w="120" w:type="dxa"/>
              <w:right w:w="120" w:type="dxa"/>
            </w:tcMar>
          </w:tcPr>
          <w:p>
            <w:pPr>
              <w:jc w:val="left"/>
            </w:pPr>
            <w:r>
              <w:rPr>
                <w:color w:val="1E293B"/>
                <w:sz w:val="18"/>
              </w:rPr>
              <w:t>id, patient_id, appointment_id, clearance_status (CLEARED/NEEDS_ACTION/HIGH_RISK), risk_score (0-100), primary_blocker, estimated_patient_responsibility</w:t>
            </w:r>
          </w:p>
        </w:tc>
      </w:tr>
      <w:tr>
        <w:tc>
          <w:tcPr>
            <w:tcW w:type="dxa" w:w="2592"/>
            <w:shd w:fill="FFFFFF"/>
            <w:tcMar>
              <w:top w:w="80" w:type="dxa"/>
              <w:bottom w:w="80" w:type="dxa"/>
              <w:left w:w="120" w:type="dxa"/>
              <w:right w:w="120" w:type="dxa"/>
            </w:tcMar>
          </w:tcPr>
          <w:p>
            <w:pPr>
              <w:jc w:val="left"/>
            </w:pPr>
            <w:r>
              <w:rPr>
                <w:color w:val="1E293B"/>
                <w:sz w:val="18"/>
              </w:rPr>
              <w:t>self_heal.schema.json</w:t>
            </w:r>
          </w:p>
        </w:tc>
        <w:tc>
          <w:tcPr>
            <w:tcW w:type="dxa" w:w="2592"/>
            <w:shd w:fill="FFFFFF"/>
            <w:tcMar>
              <w:top w:w="80" w:type="dxa"/>
              <w:bottom w:w="80" w:type="dxa"/>
              <w:left w:w="120" w:type="dxa"/>
              <w:right w:w="120" w:type="dxa"/>
            </w:tcMar>
          </w:tcPr>
          <w:p>
            <w:pPr>
              <w:jc w:val="left"/>
            </w:pPr>
            <w:r>
              <w:rPr>
                <w:color w:val="1E293B"/>
                <w:sz w:val="18"/>
              </w:rPr>
              <w:t>SelfHealProblem / AuditEvent</w:t>
            </w:r>
          </w:p>
        </w:tc>
        <w:tc>
          <w:tcPr>
            <w:tcW w:type="dxa" w:w="4176"/>
            <w:shd w:fill="FFFFFF"/>
            <w:tcMar>
              <w:top w:w="80" w:type="dxa"/>
              <w:bottom w:w="80" w:type="dxa"/>
              <w:left w:w="120" w:type="dxa"/>
              <w:right w:w="120" w:type="dxa"/>
            </w:tcMar>
          </w:tcPr>
          <w:p>
            <w:pPr>
              <w:jc w:val="left"/>
            </w:pPr>
            <w:r>
              <w:rPr>
                <w:color w:val="1E293B"/>
                <w:sz w:val="18"/>
              </w:rPr>
              <w:t>id, error_category, frequency, financial_impact, decision_type (SAFE_AUTO_FIX/REQUIRES_OPERATOR), rollback_status</w:t>
            </w:r>
          </w:p>
        </w:tc>
      </w:tr>
      <w:tr>
        <w:tc>
          <w:tcPr>
            <w:tcW w:type="dxa" w:w="2592"/>
            <w:shd w:fill="F8FAFC"/>
            <w:tcMar>
              <w:top w:w="80" w:type="dxa"/>
              <w:bottom w:w="80" w:type="dxa"/>
              <w:left w:w="120" w:type="dxa"/>
              <w:right w:w="120" w:type="dxa"/>
            </w:tcMar>
          </w:tcPr>
          <w:p>
            <w:pPr>
              <w:jc w:val="left"/>
            </w:pPr>
            <w:r>
              <w:rPr>
                <w:color w:val="1E293B"/>
                <w:sz w:val="18"/>
              </w:rPr>
              <w:t>denial.schema.json</w:t>
            </w:r>
          </w:p>
        </w:tc>
        <w:tc>
          <w:tcPr>
            <w:tcW w:type="dxa" w:w="2592"/>
            <w:shd w:fill="F8FAFC"/>
            <w:tcMar>
              <w:top w:w="80" w:type="dxa"/>
              <w:bottom w:w="80" w:type="dxa"/>
              <w:left w:w="120" w:type="dxa"/>
              <w:right w:w="120" w:type="dxa"/>
            </w:tcMar>
          </w:tcPr>
          <w:p>
            <w:pPr>
              <w:jc w:val="left"/>
            </w:pPr>
            <w:r>
              <w:rPr>
                <w:color w:val="1E293B"/>
                <w:sz w:val="18"/>
              </w:rPr>
              <w:t>DenialRecord</w:t>
            </w:r>
          </w:p>
        </w:tc>
        <w:tc>
          <w:tcPr>
            <w:tcW w:type="dxa" w:w="4176"/>
            <w:shd w:fill="F8FAFC"/>
            <w:tcMar>
              <w:top w:w="80" w:type="dxa"/>
              <w:bottom w:w="80" w:type="dxa"/>
              <w:left w:w="120" w:type="dxa"/>
              <w:right w:w="120" w:type="dxa"/>
            </w:tcMar>
          </w:tcPr>
          <w:p>
            <w:pPr>
              <w:jc w:val="left"/>
            </w:pPr>
            <w:r>
              <w:rPr>
                <w:color w:val="1E293B"/>
                <w:sz w:val="18"/>
              </w:rPr>
              <w:t>id, carc_code (CO-197/CO-27/CO-16), category, count, preventable_percentage, total_dollar_impact, root_cause</w:t>
            </w:r>
          </w:p>
        </w:tc>
      </w:tr>
    </w:tbl>
    <w:p>
      <w:pPr>
        <w:spacing w:after="280"/>
      </w:pP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180" w:type="dxa"/>
              <w:right w:w="180" w:type="dxa"/>
            </w:tcMar>
            <w:tcBorders>
              <w:top w:val="none"/>
              <w:left w:val="single" w:sz="24" w:space="0" w:color="475569"/>
              <w:bottom w:val="none"/>
              <w:right w:val="none"/>
            </w:tcBorders>
          </w:tcPr>
          <w:p>
            <w:pPr>
              <w:spacing w:before="40" w:after="40" w:line="276" w:lineRule="auto"/>
            </w:pPr>
            <w:r>
              <w:rPr>
                <w:b/>
                <w:color w:val="1E3A8A"/>
                <w:sz w:val="21"/>
              </w:rPr>
              <w:t>📌 System Verification &amp; Compliance Note</w:t>
              <w:br/>
            </w:r>
            <w:r>
              <w:rPr>
                <w:color w:val="334155"/>
                <w:sz w:val="19"/>
              </w:rPr>
              <w:t>Previa (PVFC) is architected for strict HIPAA compliance utilizing 100% synthetic mock patient data. All 13 canonical contract schemas pass automated JSON validation (scripts/validate_contracts.py). Production deployment is fully supported on Render (render.yaml) and Vercel (vercel.json).</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 xml:space="preserve">Previa: Pre-Visit Financial Clearance &amp; Closed-Loop Self-Healing RCM Platform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6"/>
      </w:rPr>
      <w:t>Previa (PVFC) System Architecture &amp; Feature Deep Dive | Confidential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