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4DADD" w14:textId="77777777" w:rsidR="00A73B91" w:rsidRDefault="00000000">
      <w:pPr>
        <w:spacing w:before="2400" w:after="240"/>
        <w:rPr>
          <w:rFonts w:hint="eastAsia"/>
        </w:rPr>
      </w:pPr>
      <w:r>
        <w:rPr>
          <w:b/>
          <w:color w:val="1F497D"/>
          <w:sz w:val="52"/>
        </w:rPr>
        <w:t>Azure Cloud Fundamentals and Data Pipeline Implementation using ADF</w:t>
      </w:r>
      <w:r>
        <w:rPr>
          <w:b/>
          <w:color w:val="1F497D"/>
          <w:sz w:val="52"/>
        </w:rPr>
        <w:br/>
      </w:r>
    </w:p>
    <w:p w14:paraId="0F69ED37" w14:textId="77777777" w:rsidR="00F44D84" w:rsidRDefault="00F44D84">
      <w:pPr>
        <w:spacing w:line="312" w:lineRule="auto"/>
        <w:rPr>
          <w:color w:val="5A6B82"/>
          <w:sz w:val="28"/>
        </w:rPr>
      </w:pPr>
    </w:p>
    <w:p w14:paraId="31DA1731" w14:textId="77777777" w:rsidR="00F44D84" w:rsidRDefault="00F44D84">
      <w:pPr>
        <w:spacing w:line="312" w:lineRule="auto"/>
        <w:rPr>
          <w:color w:val="5A6B82"/>
          <w:sz w:val="28"/>
        </w:rPr>
      </w:pPr>
    </w:p>
    <w:p w14:paraId="3CBF71E1" w14:textId="77777777" w:rsidR="00F44D84" w:rsidRDefault="00F44D84">
      <w:pPr>
        <w:spacing w:line="312" w:lineRule="auto"/>
        <w:rPr>
          <w:color w:val="5A6B82"/>
          <w:sz w:val="28"/>
        </w:rPr>
      </w:pPr>
    </w:p>
    <w:p w14:paraId="7E125BDC" w14:textId="0D135AA3" w:rsidR="00A73B91" w:rsidRDefault="00000000">
      <w:pPr>
        <w:spacing w:line="312" w:lineRule="auto"/>
        <w:rPr>
          <w:rFonts w:hint="eastAsia"/>
        </w:rPr>
      </w:pPr>
      <w:r>
        <w:rPr>
          <w:b/>
          <w:color w:val="1F497D"/>
        </w:rPr>
        <w:t xml:space="preserve">Name: </w:t>
      </w:r>
      <w:r>
        <w:t>Shlok Kushwaha</w:t>
      </w:r>
      <w:r>
        <w:br/>
      </w:r>
      <w:r>
        <w:rPr>
          <w:b/>
          <w:color w:val="1F497D"/>
        </w:rPr>
        <w:t xml:space="preserve">Course: </w:t>
      </w:r>
      <w:r>
        <w:t>B.Tech Computer Science &amp; Engineering</w:t>
      </w:r>
      <w:r>
        <w:br/>
      </w:r>
      <w:r>
        <w:rPr>
          <w:b/>
          <w:color w:val="1F497D"/>
        </w:rPr>
        <w:t xml:space="preserve">Date: </w:t>
      </w:r>
      <w:r w:rsidR="00F44D84">
        <w:t xml:space="preserve">13 </w:t>
      </w:r>
      <w:r w:rsidR="00F44D84">
        <w:t>June</w:t>
      </w:r>
      <w:r>
        <w:t xml:space="preserve"> 2026</w:t>
      </w:r>
      <w:r>
        <w:br/>
      </w:r>
    </w:p>
    <w:p w14:paraId="215B0ADF" w14:textId="77777777" w:rsidR="00A73B91" w:rsidRDefault="00000000">
      <w:pPr>
        <w:rPr>
          <w:rFonts w:hint="eastAsia"/>
        </w:rPr>
      </w:pPr>
      <w:r>
        <w:br w:type="page"/>
      </w:r>
    </w:p>
    <w:p w14:paraId="3CBCE1E8" w14:textId="77777777" w:rsidR="00A73B91" w:rsidRDefault="00000000">
      <w:pPr>
        <w:pStyle w:val="Heading1"/>
        <w:pBdr>
          <w:bottom w:val="single" w:sz="12" w:space="4" w:color="1F497D"/>
        </w:pBdr>
        <w:spacing w:before="280" w:after="120"/>
      </w:pPr>
      <w:r>
        <w:lastRenderedPageBreak/>
        <w:t>Task 1: Resource Group Creation</w:t>
      </w:r>
    </w:p>
    <w:p w14:paraId="35335367" w14:textId="77777777" w:rsidR="00A73B91" w:rsidRDefault="00000000">
      <w:pPr>
        <w:rPr>
          <w:rFonts w:hint="eastAsia"/>
        </w:rPr>
      </w:pPr>
      <w:r>
        <w:rPr>
          <w:b/>
        </w:rPr>
        <w:t xml:space="preserve">Objective: </w:t>
      </w:r>
      <w:r>
        <w:t>Create a Resource Group in Azure to isolate and manage all corresponding deployment resources logically.</w:t>
      </w:r>
      <w:r>
        <w:br/>
      </w:r>
      <w:r>
        <w:br/>
      </w:r>
      <w:r>
        <w:rPr>
          <w:b/>
        </w:rPr>
        <w:t xml:space="preserve">Description: </w:t>
      </w:r>
      <w:r>
        <w:t xml:space="preserve">Created a targeted cloud resource architecture sandbox by initializing a Resource Group named </w:t>
      </w:r>
      <w:r>
        <w:rPr>
          <w:b/>
        </w:rPr>
        <w:t>shlok-adf-rg</w:t>
      </w:r>
      <w:r>
        <w:t xml:space="preserve"> deployment structured natively within the Central India data center region.</w:t>
      </w:r>
    </w:p>
    <w:tbl>
      <w:tblPr>
        <w:tblW w:w="0" w:type="auto"/>
        <w:jc w:val="center"/>
        <w:tblLayout w:type="fixed"/>
        <w:tblLook w:val="04A0" w:firstRow="1" w:lastRow="0" w:firstColumn="1" w:lastColumn="0" w:noHBand="0" w:noVBand="1"/>
      </w:tblPr>
      <w:tblGrid>
        <w:gridCol w:w="8640"/>
      </w:tblGrid>
      <w:tr w:rsidR="00A73B91" w14:paraId="3E39607A" w14:textId="77777777">
        <w:trPr>
          <w:jc w:val="center"/>
        </w:trPr>
        <w:tc>
          <w:tcPr>
            <w:tcW w:w="8640" w:type="dxa"/>
            <w:tcBorders>
              <w:top w:val="dashed" w:sz="6" w:space="0" w:color="A0ABBA"/>
              <w:left w:val="dashed" w:sz="6" w:space="0" w:color="A0ABBA"/>
              <w:bottom w:val="dashed" w:sz="6" w:space="0" w:color="A0ABBA"/>
              <w:right w:val="dashed" w:sz="6" w:space="0" w:color="A0ABBA"/>
            </w:tcBorders>
            <w:shd w:val="clear" w:color="auto" w:fill="F2F4F7"/>
            <w:tcMar>
              <w:top w:w="280" w:type="dxa"/>
              <w:left w:w="280" w:type="dxa"/>
              <w:bottom w:w="280" w:type="dxa"/>
              <w:right w:w="280" w:type="dxa"/>
            </w:tcMar>
          </w:tcPr>
          <w:p w14:paraId="6909D2F1" w14:textId="6D82BA38" w:rsidR="00FD055A" w:rsidRPr="00FD055A" w:rsidRDefault="00FD055A" w:rsidP="00FD055A">
            <w:pPr>
              <w:spacing w:before="240" w:after="240"/>
              <w:jc w:val="center"/>
              <w:rPr>
                <w:lang w:val="en-IN"/>
              </w:rPr>
            </w:pPr>
            <w:r w:rsidRPr="00FD055A">
              <w:rPr>
                <w:lang w:val="en-IN"/>
              </w:rPr>
              <w:drawing>
                <wp:inline distT="0" distB="0" distL="0" distR="0" wp14:anchorId="3F1D7B23" wp14:editId="740B387B">
                  <wp:extent cx="5130800" cy="2424430"/>
                  <wp:effectExtent l="0" t="0" r="0" b="0"/>
                  <wp:docPr id="1679885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0800" cy="2424430"/>
                          </a:xfrm>
                          <a:prstGeom prst="rect">
                            <a:avLst/>
                          </a:prstGeom>
                          <a:noFill/>
                          <a:ln>
                            <a:noFill/>
                          </a:ln>
                        </pic:spPr>
                      </pic:pic>
                    </a:graphicData>
                  </a:graphic>
                </wp:inline>
              </w:drawing>
            </w:r>
          </w:p>
          <w:p w14:paraId="0D137342" w14:textId="68EF09CB" w:rsidR="00A73B91" w:rsidRDefault="00A73B91">
            <w:pPr>
              <w:spacing w:before="240" w:after="240"/>
              <w:jc w:val="center"/>
              <w:rPr>
                <w:rFonts w:hint="eastAsia"/>
              </w:rPr>
            </w:pPr>
          </w:p>
        </w:tc>
      </w:tr>
    </w:tbl>
    <w:p w14:paraId="3A36F652" w14:textId="77777777" w:rsidR="00A73B91" w:rsidRDefault="00A73B91">
      <w:pPr>
        <w:spacing w:after="160"/>
        <w:rPr>
          <w:rFonts w:hint="eastAsia"/>
        </w:rPr>
      </w:pPr>
    </w:p>
    <w:p w14:paraId="699484FF" w14:textId="77777777" w:rsidR="00A73B91" w:rsidRDefault="00000000">
      <w:pPr>
        <w:pStyle w:val="Heading1"/>
        <w:pBdr>
          <w:bottom w:val="single" w:sz="12" w:space="4" w:color="1F497D"/>
        </w:pBdr>
        <w:spacing w:before="280" w:after="120"/>
      </w:pPr>
      <w:r>
        <w:t>Task 2: Storage Setup</w:t>
      </w:r>
    </w:p>
    <w:p w14:paraId="01BF2958" w14:textId="77777777" w:rsidR="00A73B91" w:rsidRDefault="00000000">
      <w:pPr>
        <w:rPr>
          <w:rFonts w:hint="eastAsia"/>
        </w:rPr>
      </w:pPr>
      <w:r>
        <w:rPr>
          <w:b/>
        </w:rPr>
        <w:t xml:space="preserve">Objective: </w:t>
      </w:r>
      <w:r>
        <w:t>Provision an enterprise-tier Storage Account and blob object structure for persistent file host management.</w:t>
      </w:r>
      <w:r>
        <w:br/>
      </w:r>
      <w:r>
        <w:br/>
      </w:r>
      <w:r>
        <w:rPr>
          <w:b/>
        </w:rPr>
        <w:t xml:space="preserve">Description: </w:t>
      </w:r>
      <w:r>
        <w:t xml:space="preserve">Created an Azure Storage Account deployment instance. Inside this storage resource context, established a secure Blob Container named </w:t>
      </w:r>
      <w:r>
        <w:rPr>
          <w:b/>
        </w:rPr>
        <w:t>source-container</w:t>
      </w:r>
      <w:r>
        <w:t xml:space="preserve"> and successfully initialized runtime data structures by uploading the file asset source payload: </w:t>
      </w:r>
      <w:r>
        <w:rPr>
          <w:i/>
        </w:rPr>
        <w:t>Sample-Superstore.csv</w:t>
      </w:r>
      <w:r>
        <w:t>.</w:t>
      </w:r>
    </w:p>
    <w:tbl>
      <w:tblPr>
        <w:tblW w:w="0" w:type="auto"/>
        <w:jc w:val="center"/>
        <w:tblLayout w:type="fixed"/>
        <w:tblLook w:val="04A0" w:firstRow="1" w:lastRow="0" w:firstColumn="1" w:lastColumn="0" w:noHBand="0" w:noVBand="1"/>
      </w:tblPr>
      <w:tblGrid>
        <w:gridCol w:w="8640"/>
      </w:tblGrid>
      <w:tr w:rsidR="00A73B91" w14:paraId="6376A4DF" w14:textId="77777777">
        <w:trPr>
          <w:jc w:val="center"/>
        </w:trPr>
        <w:tc>
          <w:tcPr>
            <w:tcW w:w="8640" w:type="dxa"/>
            <w:tcBorders>
              <w:top w:val="dashed" w:sz="6" w:space="0" w:color="A0ABBA"/>
              <w:left w:val="dashed" w:sz="6" w:space="0" w:color="A0ABBA"/>
              <w:bottom w:val="dashed" w:sz="6" w:space="0" w:color="A0ABBA"/>
              <w:right w:val="dashed" w:sz="6" w:space="0" w:color="A0ABBA"/>
            </w:tcBorders>
            <w:shd w:val="clear" w:color="auto" w:fill="F2F4F7"/>
            <w:tcMar>
              <w:top w:w="280" w:type="dxa"/>
              <w:left w:w="280" w:type="dxa"/>
              <w:bottom w:w="280" w:type="dxa"/>
              <w:right w:w="280" w:type="dxa"/>
            </w:tcMar>
          </w:tcPr>
          <w:p w14:paraId="453CD40F" w14:textId="159956EB" w:rsidR="00FD055A" w:rsidRPr="00FD055A" w:rsidRDefault="00000000" w:rsidP="00FD055A">
            <w:pPr>
              <w:spacing w:before="240" w:after="240"/>
              <w:jc w:val="center"/>
              <w:rPr>
                <w:b/>
                <w:color w:val="5A6B82"/>
                <w:sz w:val="20"/>
                <w:lang w:val="en-IN"/>
              </w:rPr>
            </w:pPr>
            <w:r>
              <w:rPr>
                <w:sz w:val="48"/>
              </w:rPr>
              <w:lastRenderedPageBreak/>
              <w:t>🖼️</w:t>
            </w:r>
            <w:r>
              <w:rPr>
                <w:sz w:val="48"/>
              </w:rPr>
              <w:br/>
            </w:r>
            <w:r w:rsidR="00FD055A" w:rsidRPr="00FD055A">
              <w:rPr>
                <w:b/>
                <w:color w:val="5A6B82"/>
                <w:sz w:val="20"/>
                <w:lang w:val="en-IN"/>
              </w:rPr>
              <w:drawing>
                <wp:inline distT="0" distB="0" distL="0" distR="0" wp14:anchorId="772E45E8" wp14:editId="29856A07">
                  <wp:extent cx="5130800" cy="2333625"/>
                  <wp:effectExtent l="0" t="0" r="0" b="9525"/>
                  <wp:docPr id="1102230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0800" cy="2333625"/>
                          </a:xfrm>
                          <a:prstGeom prst="rect">
                            <a:avLst/>
                          </a:prstGeom>
                          <a:noFill/>
                          <a:ln>
                            <a:noFill/>
                          </a:ln>
                        </pic:spPr>
                      </pic:pic>
                    </a:graphicData>
                  </a:graphic>
                </wp:inline>
              </w:drawing>
            </w:r>
          </w:p>
          <w:p w14:paraId="1DA1CE5E" w14:textId="569462A6" w:rsidR="00A73B91" w:rsidRDefault="00A73B91">
            <w:pPr>
              <w:spacing w:before="240" w:after="240"/>
              <w:jc w:val="center"/>
              <w:rPr>
                <w:rFonts w:hint="eastAsia"/>
              </w:rPr>
            </w:pPr>
          </w:p>
        </w:tc>
      </w:tr>
    </w:tbl>
    <w:p w14:paraId="599FDCBF" w14:textId="77777777" w:rsidR="00A73B91" w:rsidRDefault="00A73B91">
      <w:pPr>
        <w:spacing w:after="160"/>
        <w:rPr>
          <w:rFonts w:hint="eastAsia"/>
        </w:rPr>
      </w:pPr>
    </w:p>
    <w:p w14:paraId="64E46E24" w14:textId="77777777" w:rsidR="00A73B91" w:rsidRDefault="00000000">
      <w:pPr>
        <w:pStyle w:val="Heading1"/>
        <w:pBdr>
          <w:bottom w:val="single" w:sz="12" w:space="4" w:color="1F497D"/>
        </w:pBdr>
        <w:spacing w:before="280" w:after="120"/>
      </w:pPr>
      <w:r>
        <w:t>Task 3: Azure Data Factory Basics</w:t>
      </w:r>
    </w:p>
    <w:p w14:paraId="2A62445B" w14:textId="77777777" w:rsidR="00A73B91" w:rsidRDefault="00000000">
      <w:pPr>
        <w:rPr>
          <w:rFonts w:hint="eastAsia"/>
        </w:rPr>
      </w:pPr>
      <w:r>
        <w:rPr>
          <w:b/>
        </w:rPr>
        <w:t xml:space="preserve">Objective: </w:t>
      </w:r>
      <w:r>
        <w:t>Configure underlying operational baseline layers inside ADF including API link integration abstractions and structured datasets.</w:t>
      </w:r>
      <w:r>
        <w:br/>
      </w:r>
      <w:r>
        <w:br/>
      </w:r>
    </w:p>
    <w:p w14:paraId="16E51268" w14:textId="77777777" w:rsidR="00A73B91" w:rsidRDefault="00000000">
      <w:pPr>
        <w:rPr>
          <w:rFonts w:hint="eastAsia"/>
        </w:rPr>
      </w:pPr>
      <w:r>
        <w:rPr>
          <w:b/>
        </w:rPr>
        <w:t>1. Linked Service Configuration</w:t>
      </w:r>
      <w:r>
        <w:rPr>
          <w:b/>
        </w:rPr>
        <w:br/>
      </w:r>
      <w:r>
        <w:rPr>
          <w:i/>
        </w:rPr>
        <w:t xml:space="preserve">Description: </w:t>
      </w:r>
      <w:r>
        <w:t xml:space="preserve">Configured and validated an integration adapter layer named </w:t>
      </w:r>
      <w:r>
        <w:rPr>
          <w:b/>
        </w:rPr>
        <w:t>LS_BlobStorage</w:t>
      </w:r>
      <w:r>
        <w:t xml:space="preserve"> acting as the secure authentication bridge tunnel to securely bind Azure Data Factory to the storage backend container space.</w:t>
      </w:r>
    </w:p>
    <w:tbl>
      <w:tblPr>
        <w:tblW w:w="0" w:type="auto"/>
        <w:jc w:val="center"/>
        <w:tblLayout w:type="fixed"/>
        <w:tblLook w:val="04A0" w:firstRow="1" w:lastRow="0" w:firstColumn="1" w:lastColumn="0" w:noHBand="0" w:noVBand="1"/>
      </w:tblPr>
      <w:tblGrid>
        <w:gridCol w:w="8640"/>
      </w:tblGrid>
      <w:tr w:rsidR="00A73B91" w14:paraId="2C8965F6" w14:textId="77777777">
        <w:trPr>
          <w:jc w:val="center"/>
        </w:trPr>
        <w:tc>
          <w:tcPr>
            <w:tcW w:w="8640" w:type="dxa"/>
            <w:tcBorders>
              <w:top w:val="dashed" w:sz="6" w:space="0" w:color="A0ABBA"/>
              <w:left w:val="dashed" w:sz="6" w:space="0" w:color="A0ABBA"/>
              <w:bottom w:val="dashed" w:sz="6" w:space="0" w:color="A0ABBA"/>
              <w:right w:val="dashed" w:sz="6" w:space="0" w:color="A0ABBA"/>
            </w:tcBorders>
            <w:shd w:val="clear" w:color="auto" w:fill="F2F4F7"/>
            <w:tcMar>
              <w:top w:w="280" w:type="dxa"/>
              <w:left w:w="280" w:type="dxa"/>
              <w:bottom w:w="280" w:type="dxa"/>
              <w:right w:w="280" w:type="dxa"/>
            </w:tcMar>
          </w:tcPr>
          <w:p w14:paraId="3FB567D4" w14:textId="68617D36" w:rsidR="00FD055A" w:rsidRPr="00FD055A" w:rsidRDefault="00FD055A" w:rsidP="00FD055A">
            <w:pPr>
              <w:spacing w:before="240" w:after="240"/>
              <w:jc w:val="center"/>
              <w:rPr>
                <w:lang w:val="en-IN"/>
              </w:rPr>
            </w:pPr>
            <w:r w:rsidRPr="00FD055A">
              <w:rPr>
                <w:lang w:val="en-IN"/>
              </w:rPr>
              <w:lastRenderedPageBreak/>
              <w:drawing>
                <wp:inline distT="0" distB="0" distL="0" distR="0" wp14:anchorId="5547D4A4" wp14:editId="3712D426">
                  <wp:extent cx="5130800" cy="2472055"/>
                  <wp:effectExtent l="0" t="0" r="0" b="4445"/>
                  <wp:docPr id="11471679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0800" cy="2472055"/>
                          </a:xfrm>
                          <a:prstGeom prst="rect">
                            <a:avLst/>
                          </a:prstGeom>
                          <a:noFill/>
                          <a:ln>
                            <a:noFill/>
                          </a:ln>
                        </pic:spPr>
                      </pic:pic>
                    </a:graphicData>
                  </a:graphic>
                </wp:inline>
              </w:drawing>
            </w:r>
          </w:p>
          <w:p w14:paraId="6CFFCDDC" w14:textId="53BD12F4" w:rsidR="00A73B91" w:rsidRDefault="00A73B91">
            <w:pPr>
              <w:spacing w:before="240" w:after="240"/>
              <w:jc w:val="center"/>
              <w:rPr>
                <w:rFonts w:hint="eastAsia"/>
              </w:rPr>
            </w:pPr>
          </w:p>
        </w:tc>
      </w:tr>
    </w:tbl>
    <w:p w14:paraId="2E195DB8" w14:textId="77777777" w:rsidR="00A73B91" w:rsidRDefault="00A73B91">
      <w:pPr>
        <w:spacing w:after="160"/>
        <w:rPr>
          <w:rFonts w:hint="eastAsia"/>
        </w:rPr>
      </w:pPr>
    </w:p>
    <w:p w14:paraId="1E2D1D09" w14:textId="77777777" w:rsidR="00A73B91" w:rsidRDefault="00000000">
      <w:pPr>
        <w:rPr>
          <w:rFonts w:hint="eastAsia"/>
        </w:rPr>
      </w:pPr>
      <w:r>
        <w:rPr>
          <w:b/>
        </w:rPr>
        <w:t>2. Source Dataset Definition (DS_Source)</w:t>
      </w:r>
      <w:r>
        <w:rPr>
          <w:b/>
        </w:rPr>
        <w:br/>
      </w:r>
      <w:r>
        <w:rPr>
          <w:i/>
        </w:rPr>
        <w:t xml:space="preserve">Description: </w:t>
      </w:r>
      <w:r>
        <w:t>Initialized structural metadata map abstraction targeting the inbound raw CSV spreadsheet context stored within the storage infrastructure layer.</w:t>
      </w:r>
    </w:p>
    <w:tbl>
      <w:tblPr>
        <w:tblW w:w="0" w:type="auto"/>
        <w:jc w:val="center"/>
        <w:tblLayout w:type="fixed"/>
        <w:tblLook w:val="04A0" w:firstRow="1" w:lastRow="0" w:firstColumn="1" w:lastColumn="0" w:noHBand="0" w:noVBand="1"/>
      </w:tblPr>
      <w:tblGrid>
        <w:gridCol w:w="8640"/>
      </w:tblGrid>
      <w:tr w:rsidR="00A73B91" w14:paraId="2808D040" w14:textId="77777777">
        <w:trPr>
          <w:jc w:val="center"/>
        </w:trPr>
        <w:tc>
          <w:tcPr>
            <w:tcW w:w="8640" w:type="dxa"/>
            <w:tcBorders>
              <w:top w:val="dashed" w:sz="6" w:space="0" w:color="A0ABBA"/>
              <w:left w:val="dashed" w:sz="6" w:space="0" w:color="A0ABBA"/>
              <w:bottom w:val="dashed" w:sz="6" w:space="0" w:color="A0ABBA"/>
              <w:right w:val="dashed" w:sz="6" w:space="0" w:color="A0ABBA"/>
            </w:tcBorders>
            <w:shd w:val="clear" w:color="auto" w:fill="F2F4F7"/>
            <w:tcMar>
              <w:top w:w="280" w:type="dxa"/>
              <w:left w:w="280" w:type="dxa"/>
              <w:bottom w:w="280" w:type="dxa"/>
              <w:right w:w="280" w:type="dxa"/>
            </w:tcMar>
          </w:tcPr>
          <w:p w14:paraId="4BF31156" w14:textId="5263EF3F" w:rsidR="00FD055A" w:rsidRPr="00FD055A" w:rsidRDefault="00FD055A" w:rsidP="00FD055A">
            <w:pPr>
              <w:spacing w:before="240" w:after="240"/>
              <w:jc w:val="center"/>
              <w:rPr>
                <w:lang w:val="en-IN"/>
              </w:rPr>
            </w:pPr>
            <w:r w:rsidRPr="00FD055A">
              <w:rPr>
                <w:lang w:val="en-IN"/>
              </w:rPr>
              <w:drawing>
                <wp:inline distT="0" distB="0" distL="0" distR="0" wp14:anchorId="3CF2DC1D" wp14:editId="23BADAAD">
                  <wp:extent cx="5130800" cy="2492375"/>
                  <wp:effectExtent l="0" t="0" r="0" b="3175"/>
                  <wp:docPr id="2464835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0800" cy="2492375"/>
                          </a:xfrm>
                          <a:prstGeom prst="rect">
                            <a:avLst/>
                          </a:prstGeom>
                          <a:noFill/>
                          <a:ln>
                            <a:noFill/>
                          </a:ln>
                        </pic:spPr>
                      </pic:pic>
                    </a:graphicData>
                  </a:graphic>
                </wp:inline>
              </w:drawing>
            </w:r>
          </w:p>
          <w:p w14:paraId="43BF96CB" w14:textId="305D6166" w:rsidR="00A73B91" w:rsidRDefault="00A73B91">
            <w:pPr>
              <w:spacing w:before="240" w:after="240"/>
              <w:jc w:val="center"/>
              <w:rPr>
                <w:rFonts w:hint="eastAsia"/>
              </w:rPr>
            </w:pPr>
          </w:p>
        </w:tc>
      </w:tr>
    </w:tbl>
    <w:p w14:paraId="7529ED4E" w14:textId="77777777" w:rsidR="00A73B91" w:rsidRDefault="00A73B91">
      <w:pPr>
        <w:spacing w:after="160"/>
        <w:rPr>
          <w:rFonts w:hint="eastAsia"/>
        </w:rPr>
      </w:pPr>
    </w:p>
    <w:p w14:paraId="6481C32B" w14:textId="77777777" w:rsidR="00A73B91" w:rsidRDefault="00000000">
      <w:pPr>
        <w:rPr>
          <w:rFonts w:hint="eastAsia"/>
        </w:rPr>
      </w:pPr>
      <w:r>
        <w:rPr>
          <w:b/>
        </w:rPr>
        <w:t>3. Destination Dataset Definition (DS_Destination)</w:t>
      </w:r>
      <w:r>
        <w:rPr>
          <w:b/>
        </w:rPr>
        <w:br/>
      </w:r>
      <w:r>
        <w:rPr>
          <w:i/>
        </w:rPr>
        <w:t xml:space="preserve">Description: </w:t>
      </w:r>
      <w:r>
        <w:t>Configured logical physical destination model pointing cleanly towards outbound sink target storage location parameters.</w:t>
      </w:r>
    </w:p>
    <w:tbl>
      <w:tblPr>
        <w:tblW w:w="0" w:type="auto"/>
        <w:jc w:val="center"/>
        <w:tblLayout w:type="fixed"/>
        <w:tblLook w:val="04A0" w:firstRow="1" w:lastRow="0" w:firstColumn="1" w:lastColumn="0" w:noHBand="0" w:noVBand="1"/>
      </w:tblPr>
      <w:tblGrid>
        <w:gridCol w:w="8640"/>
      </w:tblGrid>
      <w:tr w:rsidR="00A73B91" w14:paraId="04214344" w14:textId="77777777">
        <w:trPr>
          <w:jc w:val="center"/>
        </w:trPr>
        <w:tc>
          <w:tcPr>
            <w:tcW w:w="8640" w:type="dxa"/>
            <w:tcBorders>
              <w:top w:val="dashed" w:sz="6" w:space="0" w:color="A0ABBA"/>
              <w:left w:val="dashed" w:sz="6" w:space="0" w:color="A0ABBA"/>
              <w:bottom w:val="dashed" w:sz="6" w:space="0" w:color="A0ABBA"/>
              <w:right w:val="dashed" w:sz="6" w:space="0" w:color="A0ABBA"/>
            </w:tcBorders>
            <w:shd w:val="clear" w:color="auto" w:fill="F2F4F7"/>
            <w:tcMar>
              <w:top w:w="280" w:type="dxa"/>
              <w:left w:w="280" w:type="dxa"/>
              <w:bottom w:w="280" w:type="dxa"/>
              <w:right w:w="280" w:type="dxa"/>
            </w:tcMar>
          </w:tcPr>
          <w:p w14:paraId="69D46ED2" w14:textId="7FFAA189" w:rsidR="00FD055A" w:rsidRPr="00FD055A" w:rsidRDefault="00FD055A" w:rsidP="00FD055A">
            <w:pPr>
              <w:spacing w:before="240" w:after="240"/>
              <w:jc w:val="center"/>
              <w:rPr>
                <w:lang w:val="en-IN"/>
              </w:rPr>
            </w:pPr>
            <w:r w:rsidRPr="00FD055A">
              <w:rPr>
                <w:lang w:val="en-IN"/>
              </w:rPr>
              <w:drawing>
                <wp:inline distT="0" distB="0" distL="0" distR="0" wp14:anchorId="56613253" wp14:editId="023D2D2C">
                  <wp:extent cx="5130800" cy="2503170"/>
                  <wp:effectExtent l="0" t="0" r="0" b="0"/>
                  <wp:docPr id="12974847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30800" cy="2503170"/>
                          </a:xfrm>
                          <a:prstGeom prst="rect">
                            <a:avLst/>
                          </a:prstGeom>
                          <a:noFill/>
                          <a:ln>
                            <a:noFill/>
                          </a:ln>
                        </pic:spPr>
                      </pic:pic>
                    </a:graphicData>
                  </a:graphic>
                </wp:inline>
              </w:drawing>
            </w:r>
          </w:p>
          <w:p w14:paraId="61292FF2" w14:textId="083C5BCD" w:rsidR="00A73B91" w:rsidRDefault="00A73B91">
            <w:pPr>
              <w:spacing w:before="240" w:after="240"/>
              <w:jc w:val="center"/>
              <w:rPr>
                <w:rFonts w:hint="eastAsia"/>
              </w:rPr>
            </w:pPr>
          </w:p>
        </w:tc>
      </w:tr>
    </w:tbl>
    <w:p w14:paraId="0B1E2DD8" w14:textId="77777777" w:rsidR="00A73B91" w:rsidRDefault="00A73B91">
      <w:pPr>
        <w:spacing w:after="160"/>
        <w:rPr>
          <w:rFonts w:hint="eastAsia"/>
        </w:rPr>
      </w:pPr>
    </w:p>
    <w:p w14:paraId="1FD17C68" w14:textId="77777777" w:rsidR="00A73B91" w:rsidRDefault="00000000">
      <w:pPr>
        <w:rPr>
          <w:rFonts w:hint="eastAsia"/>
        </w:rPr>
      </w:pPr>
      <w:r>
        <w:rPr>
          <w:b/>
        </w:rPr>
        <w:t>4. Get Metadata Activity Implementation</w:t>
      </w:r>
      <w:r>
        <w:rPr>
          <w:b/>
        </w:rPr>
        <w:br/>
      </w:r>
      <w:r>
        <w:rPr>
          <w:i/>
        </w:rPr>
        <w:t xml:space="preserve">Description: </w:t>
      </w:r>
      <w:r>
        <w:t>Designed and deployed an upstream validation gate using the Get Metadata tool parameters to explicitly verify object integrity, path visibility, and dynamic state checks before running execution operations.</w:t>
      </w:r>
    </w:p>
    <w:tbl>
      <w:tblPr>
        <w:tblW w:w="0" w:type="auto"/>
        <w:jc w:val="center"/>
        <w:tblLayout w:type="fixed"/>
        <w:tblLook w:val="04A0" w:firstRow="1" w:lastRow="0" w:firstColumn="1" w:lastColumn="0" w:noHBand="0" w:noVBand="1"/>
      </w:tblPr>
      <w:tblGrid>
        <w:gridCol w:w="8640"/>
      </w:tblGrid>
      <w:tr w:rsidR="00A73B91" w14:paraId="4FDA8F68" w14:textId="77777777">
        <w:trPr>
          <w:jc w:val="center"/>
        </w:trPr>
        <w:tc>
          <w:tcPr>
            <w:tcW w:w="8640" w:type="dxa"/>
            <w:tcBorders>
              <w:top w:val="dashed" w:sz="6" w:space="0" w:color="A0ABBA"/>
              <w:left w:val="dashed" w:sz="6" w:space="0" w:color="A0ABBA"/>
              <w:bottom w:val="dashed" w:sz="6" w:space="0" w:color="A0ABBA"/>
              <w:right w:val="dashed" w:sz="6" w:space="0" w:color="A0ABBA"/>
            </w:tcBorders>
            <w:shd w:val="clear" w:color="auto" w:fill="F2F4F7"/>
            <w:tcMar>
              <w:top w:w="280" w:type="dxa"/>
              <w:left w:w="280" w:type="dxa"/>
              <w:bottom w:w="280" w:type="dxa"/>
              <w:right w:w="280" w:type="dxa"/>
            </w:tcMar>
          </w:tcPr>
          <w:p w14:paraId="18196992" w14:textId="4F1DF9F8" w:rsidR="00FD055A" w:rsidRPr="00FD055A" w:rsidRDefault="00FD055A" w:rsidP="00FD055A">
            <w:pPr>
              <w:spacing w:before="240" w:after="240"/>
              <w:jc w:val="center"/>
              <w:rPr>
                <w:lang w:val="en-IN"/>
              </w:rPr>
            </w:pPr>
            <w:r w:rsidRPr="00FD055A">
              <w:rPr>
                <w:lang w:val="en-IN"/>
              </w:rPr>
              <w:lastRenderedPageBreak/>
              <w:drawing>
                <wp:inline distT="0" distB="0" distL="0" distR="0" wp14:anchorId="7DFAC30B" wp14:editId="007978DA">
                  <wp:extent cx="5130800" cy="2509520"/>
                  <wp:effectExtent l="0" t="0" r="0" b="5080"/>
                  <wp:docPr id="3875962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0800" cy="2509520"/>
                          </a:xfrm>
                          <a:prstGeom prst="rect">
                            <a:avLst/>
                          </a:prstGeom>
                          <a:noFill/>
                          <a:ln>
                            <a:noFill/>
                          </a:ln>
                        </pic:spPr>
                      </pic:pic>
                    </a:graphicData>
                  </a:graphic>
                </wp:inline>
              </w:drawing>
            </w:r>
          </w:p>
          <w:p w14:paraId="429E5974" w14:textId="32C12995" w:rsidR="00A73B91" w:rsidRDefault="00A73B91">
            <w:pPr>
              <w:spacing w:before="240" w:after="240"/>
              <w:jc w:val="center"/>
              <w:rPr>
                <w:rFonts w:hint="eastAsia"/>
              </w:rPr>
            </w:pPr>
          </w:p>
        </w:tc>
      </w:tr>
    </w:tbl>
    <w:p w14:paraId="0EBC6193" w14:textId="77777777" w:rsidR="00A73B91" w:rsidRDefault="00A73B91">
      <w:pPr>
        <w:spacing w:after="160"/>
        <w:rPr>
          <w:rFonts w:hint="eastAsia"/>
        </w:rPr>
      </w:pPr>
    </w:p>
    <w:p w14:paraId="6BF8013E" w14:textId="77777777" w:rsidR="00A73B91" w:rsidRDefault="00000000">
      <w:pPr>
        <w:pStyle w:val="Heading1"/>
        <w:pBdr>
          <w:bottom w:val="single" w:sz="12" w:space="4" w:color="1F497D"/>
        </w:pBdr>
        <w:spacing w:before="280" w:after="120"/>
      </w:pPr>
      <w:r>
        <w:t>Task 4: Pipeline Development</w:t>
      </w:r>
    </w:p>
    <w:p w14:paraId="2454943F" w14:textId="77777777" w:rsidR="00A73B91" w:rsidRDefault="00000000">
      <w:pPr>
        <w:rPr>
          <w:rFonts w:hint="eastAsia"/>
        </w:rPr>
      </w:pPr>
      <w:r>
        <w:rPr>
          <w:b/>
        </w:rPr>
        <w:t xml:space="preserve">Objective: </w:t>
      </w:r>
      <w:r>
        <w:t>Design an automated ETL workspace orchestration sequence to control complex linear data operations seamlessly.</w:t>
      </w:r>
      <w:r>
        <w:br/>
      </w:r>
      <w:r>
        <w:br/>
      </w:r>
      <w:r>
        <w:rPr>
          <w:b/>
        </w:rPr>
        <w:t xml:space="preserve">Description: </w:t>
      </w:r>
      <w:r>
        <w:t xml:space="preserve">Assembled an operational data movement pipeline workspace flow environment. The system layout brings together all essential extraction modules sequentially: validation metrics are captured through the </w:t>
      </w:r>
      <w:r>
        <w:rPr>
          <w:b/>
        </w:rPr>
        <w:t>Get Metadata Activity</w:t>
      </w:r>
      <w:r>
        <w:t xml:space="preserve">, which feeds forward into the core file-transfer processing engine via the </w:t>
      </w:r>
      <w:r>
        <w:rPr>
          <w:b/>
        </w:rPr>
        <w:t>Copy Data Activity</w:t>
      </w:r>
      <w:r>
        <w:t xml:space="preserve">. This manages the smooth movement of data between the defined </w:t>
      </w:r>
      <w:r>
        <w:rPr>
          <w:i/>
        </w:rPr>
        <w:t>Source Dataset</w:t>
      </w:r>
      <w:r>
        <w:t xml:space="preserve"> and its final target layout within the </w:t>
      </w:r>
      <w:r>
        <w:rPr>
          <w:i/>
        </w:rPr>
        <w:t>Destination Dataset</w:t>
      </w:r>
      <w:r>
        <w:t>.</w:t>
      </w:r>
    </w:p>
    <w:tbl>
      <w:tblPr>
        <w:tblW w:w="0" w:type="auto"/>
        <w:jc w:val="center"/>
        <w:tblLayout w:type="fixed"/>
        <w:tblLook w:val="04A0" w:firstRow="1" w:lastRow="0" w:firstColumn="1" w:lastColumn="0" w:noHBand="0" w:noVBand="1"/>
      </w:tblPr>
      <w:tblGrid>
        <w:gridCol w:w="8640"/>
      </w:tblGrid>
      <w:tr w:rsidR="00A73B91" w14:paraId="2265E437" w14:textId="77777777">
        <w:trPr>
          <w:jc w:val="center"/>
        </w:trPr>
        <w:tc>
          <w:tcPr>
            <w:tcW w:w="8640" w:type="dxa"/>
            <w:tcBorders>
              <w:top w:val="dashed" w:sz="6" w:space="0" w:color="A0ABBA"/>
              <w:left w:val="dashed" w:sz="6" w:space="0" w:color="A0ABBA"/>
              <w:bottom w:val="dashed" w:sz="6" w:space="0" w:color="A0ABBA"/>
              <w:right w:val="dashed" w:sz="6" w:space="0" w:color="A0ABBA"/>
            </w:tcBorders>
            <w:shd w:val="clear" w:color="auto" w:fill="F2F4F7"/>
            <w:tcMar>
              <w:top w:w="280" w:type="dxa"/>
              <w:left w:w="280" w:type="dxa"/>
              <w:bottom w:w="280" w:type="dxa"/>
              <w:right w:w="280" w:type="dxa"/>
            </w:tcMar>
          </w:tcPr>
          <w:p w14:paraId="098021A9" w14:textId="0684E3FB" w:rsidR="00FD055A" w:rsidRPr="00FD055A" w:rsidRDefault="00FD055A" w:rsidP="00FD055A">
            <w:pPr>
              <w:spacing w:before="240" w:after="240"/>
              <w:jc w:val="center"/>
              <w:rPr>
                <w:lang w:val="en-IN"/>
              </w:rPr>
            </w:pPr>
            <w:r w:rsidRPr="00FD055A">
              <w:rPr>
                <w:lang w:val="en-IN"/>
              </w:rPr>
              <w:lastRenderedPageBreak/>
              <w:drawing>
                <wp:inline distT="0" distB="0" distL="0" distR="0" wp14:anchorId="0B319DD1" wp14:editId="746FF7DE">
                  <wp:extent cx="5130800" cy="2548255"/>
                  <wp:effectExtent l="0" t="0" r="0" b="4445"/>
                  <wp:docPr id="8646166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0800" cy="2548255"/>
                          </a:xfrm>
                          <a:prstGeom prst="rect">
                            <a:avLst/>
                          </a:prstGeom>
                          <a:noFill/>
                          <a:ln>
                            <a:noFill/>
                          </a:ln>
                        </pic:spPr>
                      </pic:pic>
                    </a:graphicData>
                  </a:graphic>
                </wp:inline>
              </w:drawing>
            </w:r>
          </w:p>
          <w:p w14:paraId="5BC7FDF1" w14:textId="5E3E1FC4" w:rsidR="00A73B91" w:rsidRDefault="00A73B91">
            <w:pPr>
              <w:spacing w:before="240" w:after="240"/>
              <w:jc w:val="center"/>
              <w:rPr>
                <w:rFonts w:hint="eastAsia"/>
              </w:rPr>
            </w:pPr>
          </w:p>
        </w:tc>
      </w:tr>
    </w:tbl>
    <w:p w14:paraId="39F0C768" w14:textId="77777777" w:rsidR="00A73B91" w:rsidRDefault="00A73B91">
      <w:pPr>
        <w:spacing w:after="160"/>
        <w:rPr>
          <w:rFonts w:hint="eastAsia"/>
        </w:rPr>
      </w:pPr>
    </w:p>
    <w:p w14:paraId="651EA7D0" w14:textId="77777777" w:rsidR="00A73B91" w:rsidRDefault="00000000">
      <w:pPr>
        <w:pStyle w:val="Heading1"/>
        <w:pBdr>
          <w:bottom w:val="single" w:sz="12" w:space="4" w:color="1F497D"/>
        </w:pBdr>
        <w:spacing w:before="280" w:after="120"/>
      </w:pPr>
      <w:r>
        <w:t>Task 5: Pipeline Execution</w:t>
      </w:r>
    </w:p>
    <w:p w14:paraId="6418B7E4" w14:textId="77777777" w:rsidR="00A73B91" w:rsidRDefault="00000000">
      <w:pPr>
        <w:rPr>
          <w:rFonts w:hint="eastAsia"/>
        </w:rPr>
      </w:pPr>
      <w:r>
        <w:rPr>
          <w:b/>
        </w:rPr>
        <w:t xml:space="preserve">Objective: </w:t>
      </w:r>
      <w:r>
        <w:t>Trigger live sandbox environment validation runs and track activity outcomes in real time.</w:t>
      </w:r>
      <w:r>
        <w:br/>
      </w:r>
      <w:r>
        <w:br/>
      </w:r>
      <w:r>
        <w:rPr>
          <w:b/>
        </w:rPr>
        <w:t xml:space="preserve">Description: </w:t>
      </w:r>
      <w:r>
        <w:t>Executed the complete end-to-end data processing workflow inside the orchestration runtime engine. The system successfully validated metadata attributes and moved structural payloads from the source blob folder to the targeted landing area without hitting any execution warnings or errors.</w:t>
      </w:r>
    </w:p>
    <w:tbl>
      <w:tblPr>
        <w:tblW w:w="0" w:type="auto"/>
        <w:jc w:val="center"/>
        <w:tblLayout w:type="fixed"/>
        <w:tblLook w:val="04A0" w:firstRow="1" w:lastRow="0" w:firstColumn="1" w:lastColumn="0" w:noHBand="0" w:noVBand="1"/>
      </w:tblPr>
      <w:tblGrid>
        <w:gridCol w:w="8640"/>
      </w:tblGrid>
      <w:tr w:rsidR="00A73B91" w14:paraId="5ACD75CF" w14:textId="77777777">
        <w:trPr>
          <w:jc w:val="center"/>
        </w:trPr>
        <w:tc>
          <w:tcPr>
            <w:tcW w:w="8640" w:type="dxa"/>
            <w:tcBorders>
              <w:top w:val="dashed" w:sz="6" w:space="0" w:color="A0ABBA"/>
              <w:left w:val="dashed" w:sz="6" w:space="0" w:color="A0ABBA"/>
              <w:bottom w:val="dashed" w:sz="6" w:space="0" w:color="A0ABBA"/>
              <w:right w:val="dashed" w:sz="6" w:space="0" w:color="A0ABBA"/>
            </w:tcBorders>
            <w:shd w:val="clear" w:color="auto" w:fill="F2F4F7"/>
            <w:tcMar>
              <w:top w:w="280" w:type="dxa"/>
              <w:left w:w="280" w:type="dxa"/>
              <w:bottom w:w="280" w:type="dxa"/>
              <w:right w:w="280" w:type="dxa"/>
            </w:tcMar>
          </w:tcPr>
          <w:p w14:paraId="2FB7A8AF" w14:textId="3E6FB01A" w:rsidR="00FD055A" w:rsidRPr="00FD055A" w:rsidRDefault="00FD055A" w:rsidP="00FD055A">
            <w:pPr>
              <w:spacing w:before="240" w:after="240"/>
              <w:jc w:val="center"/>
              <w:rPr>
                <w:lang w:val="en-IN"/>
              </w:rPr>
            </w:pPr>
            <w:r w:rsidRPr="00FD055A">
              <w:rPr>
                <w:lang w:val="en-IN"/>
              </w:rPr>
              <w:lastRenderedPageBreak/>
              <w:drawing>
                <wp:inline distT="0" distB="0" distL="0" distR="0" wp14:anchorId="65D822B0" wp14:editId="6D284F1B">
                  <wp:extent cx="5130800" cy="2531110"/>
                  <wp:effectExtent l="0" t="0" r="0" b="2540"/>
                  <wp:docPr id="8932502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0800" cy="2531110"/>
                          </a:xfrm>
                          <a:prstGeom prst="rect">
                            <a:avLst/>
                          </a:prstGeom>
                          <a:noFill/>
                          <a:ln>
                            <a:noFill/>
                          </a:ln>
                        </pic:spPr>
                      </pic:pic>
                    </a:graphicData>
                  </a:graphic>
                </wp:inline>
              </w:drawing>
            </w:r>
          </w:p>
          <w:p w14:paraId="2353A429" w14:textId="054395CA" w:rsidR="00A73B91" w:rsidRDefault="00A73B91">
            <w:pPr>
              <w:spacing w:before="240" w:after="240"/>
              <w:jc w:val="center"/>
              <w:rPr>
                <w:rFonts w:hint="eastAsia"/>
              </w:rPr>
            </w:pPr>
          </w:p>
        </w:tc>
      </w:tr>
    </w:tbl>
    <w:p w14:paraId="172D79E4" w14:textId="77777777" w:rsidR="00A73B91" w:rsidRDefault="00A73B91">
      <w:pPr>
        <w:spacing w:after="160"/>
        <w:rPr>
          <w:rFonts w:hint="eastAsia"/>
        </w:rPr>
      </w:pPr>
    </w:p>
    <w:p w14:paraId="46A9E4B0" w14:textId="77777777" w:rsidR="00A73B91" w:rsidRDefault="00000000">
      <w:pPr>
        <w:pStyle w:val="Heading1"/>
        <w:pBdr>
          <w:bottom w:val="single" w:sz="12" w:space="4" w:color="1F497D"/>
        </w:pBdr>
        <w:spacing w:before="280" w:after="120"/>
      </w:pPr>
      <w:r>
        <w:t>Task 6: Identity and Access Management (IAM) Roles</w:t>
      </w:r>
    </w:p>
    <w:p w14:paraId="7EB70B00" w14:textId="77777777" w:rsidR="00A73B91" w:rsidRDefault="00000000">
      <w:pPr>
        <w:rPr>
          <w:rFonts w:hint="eastAsia"/>
        </w:rPr>
      </w:pPr>
      <w:r>
        <w:rPr>
          <w:b/>
        </w:rPr>
        <w:t xml:space="preserve">Objective: </w:t>
      </w:r>
      <w:r>
        <w:t>Configure role-based access tokens and security boundaries to lock down cross-resource environments safely.</w:t>
      </w:r>
      <w:r>
        <w:br/>
      </w:r>
      <w:r>
        <w:br/>
      </w:r>
      <w:r>
        <w:rPr>
          <w:b/>
        </w:rPr>
        <w:t xml:space="preserve">Description: </w:t>
      </w:r>
      <w:r>
        <w:t>Set up strict security access boundaries by assigning official Role-Based Access Control (RBAC) rules across the storage service space, enabling clean verification for the following identity items:</w:t>
      </w:r>
      <w:r>
        <w:br/>
      </w:r>
      <w:r>
        <w:rPr>
          <w:b/>
        </w:rPr>
        <w:t xml:space="preserve">  • Reader Role: </w:t>
      </w:r>
      <w:r>
        <w:t>Assigned directory-level visibility access boundaries to target user accounts.</w:t>
      </w:r>
      <w:r>
        <w:br/>
      </w:r>
      <w:r>
        <w:rPr>
          <w:b/>
        </w:rPr>
        <w:t xml:space="preserve">  • Contributor Role: </w:t>
      </w:r>
      <w:r>
        <w:t>Granted full active modification rights over the deployment container resource profile.</w:t>
      </w:r>
      <w:r>
        <w:br/>
      </w:r>
      <w:r>
        <w:rPr>
          <w:b/>
        </w:rPr>
        <w:t xml:space="preserve">  • Storage Access Permissions for ADF: </w:t>
      </w:r>
      <w:r>
        <w:t>Assigned Storage Blob Data Contributor access tokens directly to the ADF managed system identity profile, opening up direct pipeline channels.</w:t>
      </w:r>
    </w:p>
    <w:tbl>
      <w:tblPr>
        <w:tblW w:w="0" w:type="auto"/>
        <w:jc w:val="center"/>
        <w:tblLayout w:type="fixed"/>
        <w:tblLook w:val="04A0" w:firstRow="1" w:lastRow="0" w:firstColumn="1" w:lastColumn="0" w:noHBand="0" w:noVBand="1"/>
      </w:tblPr>
      <w:tblGrid>
        <w:gridCol w:w="8640"/>
      </w:tblGrid>
      <w:tr w:rsidR="00A73B91" w14:paraId="3305FB3E" w14:textId="77777777">
        <w:trPr>
          <w:jc w:val="center"/>
        </w:trPr>
        <w:tc>
          <w:tcPr>
            <w:tcW w:w="8640" w:type="dxa"/>
            <w:tcBorders>
              <w:top w:val="dashed" w:sz="6" w:space="0" w:color="A0ABBA"/>
              <w:left w:val="dashed" w:sz="6" w:space="0" w:color="A0ABBA"/>
              <w:bottom w:val="dashed" w:sz="6" w:space="0" w:color="A0ABBA"/>
              <w:right w:val="dashed" w:sz="6" w:space="0" w:color="A0ABBA"/>
            </w:tcBorders>
            <w:shd w:val="clear" w:color="auto" w:fill="F2F4F7"/>
            <w:tcMar>
              <w:top w:w="280" w:type="dxa"/>
              <w:left w:w="280" w:type="dxa"/>
              <w:bottom w:w="280" w:type="dxa"/>
              <w:right w:w="280" w:type="dxa"/>
            </w:tcMar>
          </w:tcPr>
          <w:p w14:paraId="3D6D5EFF" w14:textId="28DEAECC" w:rsidR="00FD055A" w:rsidRPr="00FD055A" w:rsidRDefault="00FD055A" w:rsidP="00FD055A">
            <w:pPr>
              <w:spacing w:before="240" w:after="240"/>
              <w:jc w:val="center"/>
              <w:rPr>
                <w:sz w:val="48"/>
                <w:lang w:val="en-IN"/>
              </w:rPr>
            </w:pPr>
            <w:r w:rsidRPr="00FD055A">
              <w:rPr>
                <w:sz w:val="48"/>
                <w:lang w:val="en-IN"/>
              </w:rPr>
              <w:lastRenderedPageBreak/>
              <w:drawing>
                <wp:inline distT="0" distB="0" distL="0" distR="0" wp14:anchorId="6ABF069B" wp14:editId="22080619">
                  <wp:extent cx="5130800" cy="2468880"/>
                  <wp:effectExtent l="0" t="0" r="0" b="7620"/>
                  <wp:docPr id="6868569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0800" cy="2468880"/>
                          </a:xfrm>
                          <a:prstGeom prst="rect">
                            <a:avLst/>
                          </a:prstGeom>
                          <a:noFill/>
                          <a:ln>
                            <a:noFill/>
                          </a:ln>
                        </pic:spPr>
                      </pic:pic>
                    </a:graphicData>
                  </a:graphic>
                </wp:inline>
              </w:drawing>
            </w:r>
          </w:p>
          <w:p w14:paraId="4F2E01C0" w14:textId="555CF8BB" w:rsidR="00A73B91" w:rsidRDefault="00000000">
            <w:pPr>
              <w:spacing w:before="240" w:after="240"/>
              <w:jc w:val="center"/>
              <w:rPr>
                <w:rFonts w:hint="eastAsia"/>
              </w:rPr>
            </w:pPr>
            <w:proofErr w:type="gramStart"/>
            <w:r>
              <w:rPr>
                <w:b/>
                <w:color w:val="5A6B82"/>
                <w:sz w:val="20"/>
              </w:rPr>
              <w:t>HERE ]</w:t>
            </w:r>
            <w:proofErr w:type="gramEnd"/>
          </w:p>
        </w:tc>
      </w:tr>
    </w:tbl>
    <w:p w14:paraId="078440DC" w14:textId="77777777" w:rsidR="00A73B91" w:rsidRDefault="00A73B91">
      <w:pPr>
        <w:spacing w:after="160"/>
        <w:rPr>
          <w:rFonts w:hint="eastAsia"/>
        </w:rPr>
      </w:pPr>
    </w:p>
    <w:p w14:paraId="77B8E866" w14:textId="77777777" w:rsidR="00A73B91" w:rsidRDefault="00000000">
      <w:pPr>
        <w:pStyle w:val="Heading1"/>
        <w:pBdr>
          <w:bottom w:val="single" w:sz="12" w:space="4" w:color="1F497D"/>
        </w:pBdr>
        <w:spacing w:before="280" w:after="120"/>
      </w:pPr>
      <w:r>
        <w:t>Mini Project: Automated Enterprise Data Pipeline Workflow</w:t>
      </w:r>
    </w:p>
    <w:p w14:paraId="0BB87EE7" w14:textId="77777777" w:rsidR="00A73B91" w:rsidRDefault="00000000">
      <w:pPr>
        <w:rPr>
          <w:rFonts w:hint="eastAsia"/>
        </w:rPr>
      </w:pPr>
      <w:r>
        <w:rPr>
          <w:b/>
        </w:rPr>
        <w:t>Problem Statement:</w:t>
      </w:r>
      <w:r>
        <w:rPr>
          <w:b/>
        </w:rPr>
        <w:br/>
      </w:r>
      <w:r>
        <w:t>Design and implement an automated cloud-based data movement architecture capable of reading large raw comma-separated spreadsheet data from a secure cloud container space, verifying file status metadata, and safely moving the validated output dataset to a dedicated destination folder.</w:t>
      </w:r>
    </w:p>
    <w:p w14:paraId="3FE9227C" w14:textId="77777777" w:rsidR="00A73B91" w:rsidRDefault="00000000">
      <w:pPr>
        <w:rPr>
          <w:rFonts w:hint="eastAsia"/>
        </w:rPr>
      </w:pPr>
      <w:r>
        <w:rPr>
          <w:b/>
        </w:rPr>
        <w:t>System Architecture Layout:</w:t>
      </w:r>
      <w:r>
        <w:rPr>
          <w:b/>
        </w:rPr>
        <w:br/>
      </w:r>
      <w:r>
        <w:t>Blob Storage (Source Context) ──&gt; Get Metadata (File Check) ──&gt; Copy Data (ETL Engine) ──&gt; Blob Storage (Destination Context)</w:t>
      </w:r>
    </w:p>
    <w:p w14:paraId="6DDCBC38" w14:textId="77777777" w:rsidR="00A73B91" w:rsidRDefault="00000000">
      <w:pPr>
        <w:rPr>
          <w:rFonts w:hint="eastAsia"/>
        </w:rPr>
      </w:pPr>
      <w:r>
        <w:rPr>
          <w:b/>
        </w:rPr>
        <w:t>Implementation Steps:</w:t>
      </w:r>
      <w:r>
        <w:rPr>
          <w:b/>
        </w:rPr>
        <w:br/>
      </w:r>
      <w:r>
        <w:t xml:space="preserve">  1. Provisioned an enterprise Azure Storage Account infrastructure model.</w:t>
      </w:r>
      <w:r>
        <w:br/>
        <w:t xml:space="preserve">  2. Uploaded raw database assets (Sample-Superstore.csv) to an isolated source container workspace.</w:t>
      </w:r>
      <w:r>
        <w:br/>
        <w:t xml:space="preserve">  3. Built an authenticated connection pipeline via an ADF Linked Service connection instance.</w:t>
      </w:r>
      <w:r>
        <w:br/>
        <w:t xml:space="preserve">  4. Defined clean schema abstractions for both Source and Destination Dataset frameworks.</w:t>
      </w:r>
      <w:r>
        <w:br/>
        <w:t xml:space="preserve">  5. Added a Get Metadata workflow block to safely analyze asset characteristics beforehand.</w:t>
      </w:r>
      <w:r>
        <w:br/>
        <w:t xml:space="preserve">  6. Linked downstream processing execution steps directly using a custom Copy Data framework.</w:t>
      </w:r>
      <w:r>
        <w:br/>
      </w:r>
      <w:r>
        <w:lastRenderedPageBreak/>
        <w:t xml:space="preserve">  7. Triggered a manual debug test execution to verify pipeline engine operations end-to-end.</w:t>
      </w:r>
      <w:r>
        <w:br/>
      </w:r>
    </w:p>
    <w:p w14:paraId="482DB3FE" w14:textId="77777777" w:rsidR="00A73B91" w:rsidRDefault="00000000">
      <w:pPr>
        <w:rPr>
          <w:rFonts w:hint="eastAsia"/>
        </w:rPr>
      </w:pPr>
      <w:r>
        <w:rPr>
          <w:b/>
        </w:rPr>
        <w:t>Key Results and Key Accomplishments:</w:t>
      </w:r>
      <w:r>
        <w:rPr>
          <w:b/>
        </w:rPr>
        <w:br/>
      </w:r>
      <w:r>
        <w:t xml:space="preserve">  ✔ Source data streams parsed and managed without data loss or corruption.</w:t>
      </w:r>
      <w:r>
        <w:br/>
        <w:t xml:space="preserve">  ✔ Inbound metadata metrics systematically captured, processed, and validated.</w:t>
      </w:r>
      <w:r>
        <w:br/>
        <w:t xml:space="preserve">  ✔ Target system files moved cleanly into destination container environments.</w:t>
      </w:r>
      <w:r>
        <w:br/>
        <w:t xml:space="preserve">  ✔ End-to-end pipeline execution succeeded smoothly with 100% processing efficiency.</w:t>
      </w:r>
      <w:r>
        <w:br/>
      </w:r>
    </w:p>
    <w:p w14:paraId="1C5EF6A9" w14:textId="77777777" w:rsidR="00A73B91" w:rsidRDefault="00000000">
      <w:pPr>
        <w:pStyle w:val="Heading2"/>
        <w:spacing w:before="240" w:after="120"/>
      </w:pPr>
      <w:r>
        <w:t>Project Validation Deliverables Checklist</w:t>
      </w:r>
    </w:p>
    <w:tbl>
      <w:tblPr>
        <w:tblW w:w="0" w:type="auto"/>
        <w:jc w:val="center"/>
        <w:tblLayout w:type="fixed"/>
        <w:tblLook w:val="04A0" w:firstRow="1" w:lastRow="0" w:firstColumn="1" w:lastColumn="0" w:noHBand="0" w:noVBand="1"/>
      </w:tblPr>
      <w:tblGrid>
        <w:gridCol w:w="8640"/>
      </w:tblGrid>
      <w:tr w:rsidR="00A73B91" w14:paraId="0A5FE18E" w14:textId="77777777">
        <w:trPr>
          <w:jc w:val="center"/>
        </w:trPr>
        <w:tc>
          <w:tcPr>
            <w:tcW w:w="8640" w:type="dxa"/>
            <w:tcBorders>
              <w:top w:val="dashed" w:sz="6" w:space="0" w:color="A0ABBA"/>
              <w:left w:val="dashed" w:sz="6" w:space="0" w:color="A0ABBA"/>
              <w:bottom w:val="dashed" w:sz="6" w:space="0" w:color="A0ABBA"/>
              <w:right w:val="dashed" w:sz="6" w:space="0" w:color="A0ABBA"/>
            </w:tcBorders>
            <w:shd w:val="clear" w:color="auto" w:fill="F2F4F7"/>
            <w:tcMar>
              <w:top w:w="280" w:type="dxa"/>
              <w:left w:w="280" w:type="dxa"/>
              <w:bottom w:w="280" w:type="dxa"/>
              <w:right w:w="280" w:type="dxa"/>
            </w:tcMar>
          </w:tcPr>
          <w:p w14:paraId="02296DA4" w14:textId="57C3948E" w:rsidR="00A73B91" w:rsidRDefault="00F44D84">
            <w:pPr>
              <w:spacing w:before="240" w:after="240"/>
              <w:jc w:val="center"/>
              <w:rPr>
                <w:rFonts w:hint="eastAsia"/>
              </w:rPr>
            </w:pPr>
            <w:r w:rsidRPr="00FD055A">
              <w:rPr>
                <w:b/>
                <w:color w:val="5A6B82"/>
                <w:sz w:val="20"/>
                <w:lang w:val="en-IN"/>
              </w:rPr>
              <w:drawing>
                <wp:inline distT="0" distB="0" distL="0" distR="0" wp14:anchorId="0526E50E" wp14:editId="402DF8EB">
                  <wp:extent cx="5130800" cy="2333625"/>
                  <wp:effectExtent l="0" t="0" r="0" b="9525"/>
                  <wp:docPr id="155031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0800" cy="2333625"/>
                          </a:xfrm>
                          <a:prstGeom prst="rect">
                            <a:avLst/>
                          </a:prstGeom>
                          <a:noFill/>
                          <a:ln>
                            <a:noFill/>
                          </a:ln>
                        </pic:spPr>
                      </pic:pic>
                    </a:graphicData>
                  </a:graphic>
                </wp:inline>
              </w:drawing>
            </w:r>
          </w:p>
        </w:tc>
      </w:tr>
    </w:tbl>
    <w:p w14:paraId="1B5CC82D" w14:textId="77777777" w:rsidR="00A73B91" w:rsidRDefault="00A73B91">
      <w:pPr>
        <w:spacing w:after="160"/>
        <w:rPr>
          <w:rFonts w:hint="eastAsia"/>
        </w:rPr>
      </w:pPr>
    </w:p>
    <w:tbl>
      <w:tblPr>
        <w:tblW w:w="0" w:type="auto"/>
        <w:jc w:val="center"/>
        <w:tblLayout w:type="fixed"/>
        <w:tblLook w:val="04A0" w:firstRow="1" w:lastRow="0" w:firstColumn="1" w:lastColumn="0" w:noHBand="0" w:noVBand="1"/>
      </w:tblPr>
      <w:tblGrid>
        <w:gridCol w:w="8640"/>
      </w:tblGrid>
      <w:tr w:rsidR="00A73B91" w14:paraId="0A09EC41" w14:textId="77777777">
        <w:trPr>
          <w:jc w:val="center"/>
        </w:trPr>
        <w:tc>
          <w:tcPr>
            <w:tcW w:w="8640" w:type="dxa"/>
            <w:tcBorders>
              <w:top w:val="dashed" w:sz="6" w:space="0" w:color="A0ABBA"/>
              <w:left w:val="dashed" w:sz="6" w:space="0" w:color="A0ABBA"/>
              <w:bottom w:val="dashed" w:sz="6" w:space="0" w:color="A0ABBA"/>
              <w:right w:val="dashed" w:sz="6" w:space="0" w:color="A0ABBA"/>
            </w:tcBorders>
            <w:shd w:val="clear" w:color="auto" w:fill="F2F4F7"/>
            <w:tcMar>
              <w:top w:w="280" w:type="dxa"/>
              <w:left w:w="280" w:type="dxa"/>
              <w:bottom w:w="280" w:type="dxa"/>
              <w:right w:w="280" w:type="dxa"/>
            </w:tcMar>
          </w:tcPr>
          <w:p w14:paraId="51782AAC" w14:textId="777AAF44" w:rsidR="00A73B91" w:rsidRDefault="00F44D84">
            <w:pPr>
              <w:spacing w:before="240" w:after="240"/>
              <w:jc w:val="center"/>
              <w:rPr>
                <w:rFonts w:hint="eastAsia"/>
              </w:rPr>
            </w:pPr>
            <w:r w:rsidRPr="00FD055A">
              <w:rPr>
                <w:lang w:val="en-IN"/>
              </w:rPr>
              <w:lastRenderedPageBreak/>
              <w:drawing>
                <wp:inline distT="0" distB="0" distL="0" distR="0" wp14:anchorId="38A2B093" wp14:editId="545CCE65">
                  <wp:extent cx="5130800" cy="2472055"/>
                  <wp:effectExtent l="0" t="0" r="0" b="4445"/>
                  <wp:docPr id="5165454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0800" cy="2472055"/>
                          </a:xfrm>
                          <a:prstGeom prst="rect">
                            <a:avLst/>
                          </a:prstGeom>
                          <a:noFill/>
                          <a:ln>
                            <a:noFill/>
                          </a:ln>
                        </pic:spPr>
                      </pic:pic>
                    </a:graphicData>
                  </a:graphic>
                </wp:inline>
              </w:drawing>
            </w:r>
          </w:p>
        </w:tc>
      </w:tr>
    </w:tbl>
    <w:p w14:paraId="39B93AA7" w14:textId="77777777" w:rsidR="00A73B91" w:rsidRDefault="00A73B91">
      <w:pPr>
        <w:spacing w:after="160"/>
        <w:rPr>
          <w:rFonts w:hint="eastAsia"/>
        </w:rPr>
      </w:pPr>
    </w:p>
    <w:tbl>
      <w:tblPr>
        <w:tblW w:w="0" w:type="auto"/>
        <w:jc w:val="center"/>
        <w:tblLayout w:type="fixed"/>
        <w:tblLook w:val="04A0" w:firstRow="1" w:lastRow="0" w:firstColumn="1" w:lastColumn="0" w:noHBand="0" w:noVBand="1"/>
      </w:tblPr>
      <w:tblGrid>
        <w:gridCol w:w="8640"/>
      </w:tblGrid>
      <w:tr w:rsidR="00A73B91" w14:paraId="6D74CD24" w14:textId="77777777">
        <w:trPr>
          <w:jc w:val="center"/>
        </w:trPr>
        <w:tc>
          <w:tcPr>
            <w:tcW w:w="8640" w:type="dxa"/>
            <w:tcBorders>
              <w:top w:val="dashed" w:sz="6" w:space="0" w:color="A0ABBA"/>
              <w:left w:val="dashed" w:sz="6" w:space="0" w:color="A0ABBA"/>
              <w:bottom w:val="dashed" w:sz="6" w:space="0" w:color="A0ABBA"/>
              <w:right w:val="dashed" w:sz="6" w:space="0" w:color="A0ABBA"/>
            </w:tcBorders>
            <w:shd w:val="clear" w:color="auto" w:fill="F2F4F7"/>
            <w:tcMar>
              <w:top w:w="280" w:type="dxa"/>
              <w:left w:w="280" w:type="dxa"/>
              <w:bottom w:w="280" w:type="dxa"/>
              <w:right w:w="280" w:type="dxa"/>
            </w:tcMar>
          </w:tcPr>
          <w:p w14:paraId="120BE59F" w14:textId="7F4764FE" w:rsidR="00A73B91" w:rsidRDefault="00F44D84">
            <w:pPr>
              <w:spacing w:before="240" w:after="240"/>
              <w:jc w:val="center"/>
              <w:rPr>
                <w:rFonts w:hint="eastAsia"/>
              </w:rPr>
            </w:pPr>
            <w:r w:rsidRPr="00FD055A">
              <w:rPr>
                <w:lang w:val="en-IN"/>
              </w:rPr>
              <w:drawing>
                <wp:inline distT="0" distB="0" distL="0" distR="0" wp14:anchorId="70FA599C" wp14:editId="4F4CA0E5">
                  <wp:extent cx="5130800" cy="2548255"/>
                  <wp:effectExtent l="0" t="0" r="0" b="4445"/>
                  <wp:docPr id="2971071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0800" cy="2548255"/>
                          </a:xfrm>
                          <a:prstGeom prst="rect">
                            <a:avLst/>
                          </a:prstGeom>
                          <a:noFill/>
                          <a:ln>
                            <a:noFill/>
                          </a:ln>
                        </pic:spPr>
                      </pic:pic>
                    </a:graphicData>
                  </a:graphic>
                </wp:inline>
              </w:drawing>
            </w:r>
          </w:p>
        </w:tc>
      </w:tr>
    </w:tbl>
    <w:p w14:paraId="34EEC9C0" w14:textId="77777777" w:rsidR="00A73B91" w:rsidRDefault="00A73B91">
      <w:pPr>
        <w:spacing w:after="160"/>
        <w:rPr>
          <w:rFonts w:hint="eastAsia"/>
        </w:rPr>
      </w:pPr>
    </w:p>
    <w:tbl>
      <w:tblPr>
        <w:tblW w:w="0" w:type="auto"/>
        <w:jc w:val="center"/>
        <w:tblLayout w:type="fixed"/>
        <w:tblLook w:val="04A0" w:firstRow="1" w:lastRow="0" w:firstColumn="1" w:lastColumn="0" w:noHBand="0" w:noVBand="1"/>
      </w:tblPr>
      <w:tblGrid>
        <w:gridCol w:w="8640"/>
      </w:tblGrid>
      <w:tr w:rsidR="00A73B91" w14:paraId="77D9C53B" w14:textId="77777777">
        <w:trPr>
          <w:jc w:val="center"/>
        </w:trPr>
        <w:tc>
          <w:tcPr>
            <w:tcW w:w="8640" w:type="dxa"/>
            <w:tcBorders>
              <w:top w:val="dashed" w:sz="6" w:space="0" w:color="A0ABBA"/>
              <w:left w:val="dashed" w:sz="6" w:space="0" w:color="A0ABBA"/>
              <w:bottom w:val="dashed" w:sz="6" w:space="0" w:color="A0ABBA"/>
              <w:right w:val="dashed" w:sz="6" w:space="0" w:color="A0ABBA"/>
            </w:tcBorders>
            <w:shd w:val="clear" w:color="auto" w:fill="F2F4F7"/>
            <w:tcMar>
              <w:top w:w="280" w:type="dxa"/>
              <w:left w:w="280" w:type="dxa"/>
              <w:bottom w:w="280" w:type="dxa"/>
              <w:right w:w="280" w:type="dxa"/>
            </w:tcMar>
          </w:tcPr>
          <w:p w14:paraId="6A5DCE24" w14:textId="77777777" w:rsidR="00A73B91" w:rsidRDefault="00F44D84">
            <w:pPr>
              <w:spacing w:before="240" w:after="240"/>
              <w:jc w:val="center"/>
              <w:rPr>
                <w:b/>
                <w:color w:val="5A6B82"/>
                <w:sz w:val="20"/>
              </w:rPr>
            </w:pPr>
            <w:r w:rsidRPr="00FD055A">
              <w:rPr>
                <w:lang w:val="en-IN"/>
              </w:rPr>
              <w:lastRenderedPageBreak/>
              <w:drawing>
                <wp:inline distT="0" distB="0" distL="0" distR="0" wp14:anchorId="550853D8" wp14:editId="3B856F31">
                  <wp:extent cx="5130800" cy="2531110"/>
                  <wp:effectExtent l="0" t="0" r="0" b="2540"/>
                  <wp:docPr id="2971847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0800" cy="2531110"/>
                          </a:xfrm>
                          <a:prstGeom prst="rect">
                            <a:avLst/>
                          </a:prstGeom>
                          <a:noFill/>
                          <a:ln>
                            <a:noFill/>
                          </a:ln>
                        </pic:spPr>
                      </pic:pic>
                    </a:graphicData>
                  </a:graphic>
                </wp:inline>
              </w:drawing>
            </w:r>
            <w:r w:rsidR="00000000">
              <w:rPr>
                <w:sz w:val="48"/>
              </w:rPr>
              <w:br/>
            </w:r>
          </w:p>
          <w:p w14:paraId="22E5A64E" w14:textId="77777777" w:rsidR="00F44D84" w:rsidRDefault="00F44D84">
            <w:pPr>
              <w:spacing w:before="240" w:after="240"/>
              <w:jc w:val="center"/>
              <w:rPr>
                <w:b/>
                <w:color w:val="5A6B82"/>
                <w:sz w:val="20"/>
              </w:rPr>
            </w:pPr>
          </w:p>
          <w:p w14:paraId="5EE79B1A" w14:textId="77777777" w:rsidR="00F44D84" w:rsidRDefault="00F44D84">
            <w:pPr>
              <w:spacing w:before="240" w:after="240"/>
              <w:jc w:val="center"/>
              <w:rPr>
                <w:b/>
                <w:color w:val="5A6B82"/>
                <w:sz w:val="20"/>
              </w:rPr>
            </w:pPr>
          </w:p>
          <w:p w14:paraId="00D0AA5E" w14:textId="11034B3E" w:rsidR="00F44D84" w:rsidRPr="00F44D84" w:rsidRDefault="00F44D84" w:rsidP="00F44D84">
            <w:pPr>
              <w:spacing w:before="240" w:after="240"/>
              <w:jc w:val="center"/>
              <w:rPr>
                <w:lang w:val="en-IN"/>
              </w:rPr>
            </w:pPr>
            <w:r w:rsidRPr="00F44D84">
              <w:rPr>
                <w:lang w:val="en-IN"/>
              </w:rPr>
              <w:drawing>
                <wp:inline distT="0" distB="0" distL="0" distR="0" wp14:anchorId="2DF73C4A" wp14:editId="5FAD28CE">
                  <wp:extent cx="5130800" cy="2503170"/>
                  <wp:effectExtent l="0" t="0" r="0" b="0"/>
                  <wp:docPr id="7694964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0800" cy="2503170"/>
                          </a:xfrm>
                          <a:prstGeom prst="rect">
                            <a:avLst/>
                          </a:prstGeom>
                          <a:noFill/>
                          <a:ln>
                            <a:noFill/>
                          </a:ln>
                        </pic:spPr>
                      </pic:pic>
                    </a:graphicData>
                  </a:graphic>
                </wp:inline>
              </w:drawing>
            </w:r>
          </w:p>
          <w:p w14:paraId="47BEA557" w14:textId="36D16A86" w:rsidR="00F44D84" w:rsidRDefault="00F44D84">
            <w:pPr>
              <w:spacing w:before="240" w:after="240"/>
              <w:jc w:val="center"/>
              <w:rPr>
                <w:rFonts w:hint="eastAsia"/>
              </w:rPr>
            </w:pPr>
          </w:p>
        </w:tc>
      </w:tr>
    </w:tbl>
    <w:p w14:paraId="78706556" w14:textId="77777777" w:rsidR="00A73B91" w:rsidRDefault="00A73B91">
      <w:pPr>
        <w:spacing w:after="160"/>
        <w:rPr>
          <w:rFonts w:hint="eastAsia"/>
        </w:rPr>
      </w:pPr>
    </w:p>
    <w:p w14:paraId="0AEC8CA8" w14:textId="77777777" w:rsidR="00A73B91" w:rsidRDefault="00000000">
      <w:pPr>
        <w:pStyle w:val="Heading1"/>
        <w:pBdr>
          <w:bottom w:val="single" w:sz="12" w:space="4" w:color="1F497D"/>
        </w:pBdr>
        <w:spacing w:before="280" w:after="120"/>
      </w:pPr>
      <w:r>
        <w:lastRenderedPageBreak/>
        <w:t>Conclusion</w:t>
      </w:r>
    </w:p>
    <w:p w14:paraId="2FDCB89D" w14:textId="77777777" w:rsidR="00A73B91" w:rsidRDefault="00000000">
      <w:pPr>
        <w:rPr>
          <w:rFonts w:hint="eastAsia"/>
        </w:rPr>
      </w:pPr>
      <w:r>
        <w:t>The cloud assignment successfully built a robust, enterprise-ready Azure Data Factory pipeline. By combining active asset structure checks (Get Metadata Activity) alongside targeted file replication tools (Copy Data Activity), the system established a reliable automated cloud pipeline flow. Correctly setting up identity access structures (RBAC Reader/Contributor roles) and providing managed identity tokens for the ADF instance ensures the implementation follows industry security best practices. The successful movement of the Sample-Superstore dataset across the storage system confirms the workspace environment is fully operational and ready for production use.</w:t>
      </w:r>
    </w:p>
    <w:sectPr w:rsidR="00A73B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1579614">
    <w:abstractNumId w:val="8"/>
  </w:num>
  <w:num w:numId="2" w16cid:durableId="1807771342">
    <w:abstractNumId w:val="6"/>
  </w:num>
  <w:num w:numId="3" w16cid:durableId="1015620259">
    <w:abstractNumId w:val="5"/>
  </w:num>
  <w:num w:numId="4" w16cid:durableId="1836534923">
    <w:abstractNumId w:val="4"/>
  </w:num>
  <w:num w:numId="5" w16cid:durableId="2142527652">
    <w:abstractNumId w:val="7"/>
  </w:num>
  <w:num w:numId="6" w16cid:durableId="1587805">
    <w:abstractNumId w:val="3"/>
  </w:num>
  <w:num w:numId="7" w16cid:durableId="440688749">
    <w:abstractNumId w:val="2"/>
  </w:num>
  <w:num w:numId="8" w16cid:durableId="1773432619">
    <w:abstractNumId w:val="1"/>
  </w:num>
  <w:num w:numId="9" w16cid:durableId="1053040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64718"/>
    <w:rsid w:val="00A73B91"/>
    <w:rsid w:val="00AA1D8D"/>
    <w:rsid w:val="00B00435"/>
    <w:rsid w:val="00B47730"/>
    <w:rsid w:val="00CB0664"/>
    <w:rsid w:val="00F44D84"/>
    <w:rsid w:val="00FC693F"/>
    <w:rsid w:val="00FD05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6C3A5"/>
  <w14:defaultImageDpi w14:val="300"/>
  <w15:docId w15:val="{5BDDCB1D-9FA2-4415-B55C-07CCF1BD3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D055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Shlok kushwaha_MMDU</cp:lastModifiedBy>
  <cp:revision>2</cp:revision>
  <cp:lastPrinted>2026-06-13T16:36:00Z</cp:lastPrinted>
  <dcterms:created xsi:type="dcterms:W3CDTF">2026-06-13T16:37:00Z</dcterms:created>
  <dcterms:modified xsi:type="dcterms:W3CDTF">2026-06-13T16:37:00Z</dcterms:modified>
  <cp:category/>
</cp:coreProperties>
</file>