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53B88E" w14:textId="609DD767" w:rsidR="003A71A4" w:rsidRPr="008A32B0" w:rsidRDefault="00F32493" w:rsidP="000571EC">
      <w:pPr>
        <w:adjustRightInd w:val="0"/>
        <w:snapToGrid w:val="0"/>
        <w:spacing w:line="480" w:lineRule="auto"/>
        <w:jc w:val="both"/>
        <w:rPr>
          <w:b/>
          <w:bCs/>
          <w:color w:val="000000" w:themeColor="text1"/>
          <w:lang w:eastAsia="zh-CN"/>
        </w:rPr>
      </w:pPr>
      <w:r w:rsidRPr="008A32B0">
        <w:rPr>
          <w:b/>
          <w:bCs/>
          <w:color w:val="000000" w:themeColor="text1"/>
        </w:rPr>
        <w:t xml:space="preserve">Digital Twin Brain simulation and manipulation of a functional brain network underlying </w:t>
      </w:r>
      <w:r w:rsidRPr="000D31E6">
        <w:rPr>
          <w:b/>
          <w:bCs/>
          <w:color w:val="000000" w:themeColor="text1"/>
        </w:rPr>
        <w:t>mental disorders.</w:t>
      </w:r>
    </w:p>
    <w:p w14:paraId="46DBE711" w14:textId="5897D084" w:rsidR="003A71A4" w:rsidRPr="008A32B0" w:rsidRDefault="00244708" w:rsidP="000571EC">
      <w:pPr>
        <w:adjustRightInd w:val="0"/>
        <w:snapToGrid w:val="0"/>
        <w:spacing w:line="480" w:lineRule="auto"/>
        <w:jc w:val="both"/>
        <w:rPr>
          <w:b/>
          <w:bCs/>
          <w:color w:val="000000" w:themeColor="text1"/>
        </w:rPr>
      </w:pPr>
      <w:r w:rsidRPr="008A32B0">
        <w:rPr>
          <w:b/>
          <w:bCs/>
          <w:color w:val="000000" w:themeColor="text1"/>
        </w:rPr>
        <w:t>Authors:</w:t>
      </w:r>
    </w:p>
    <w:p w14:paraId="30EFFF7A" w14:textId="7D70A834" w:rsidR="00227080" w:rsidRPr="008A32B0" w:rsidRDefault="00227080" w:rsidP="000571EC">
      <w:pPr>
        <w:adjustRightInd w:val="0"/>
        <w:snapToGrid w:val="0"/>
        <w:spacing w:line="480" w:lineRule="auto"/>
        <w:jc w:val="both"/>
        <w:rPr>
          <w:color w:val="000000" w:themeColor="text1"/>
          <w:lang w:eastAsia="zh-CN"/>
        </w:rPr>
      </w:pPr>
      <w:r w:rsidRPr="008A32B0">
        <w:rPr>
          <w:color w:val="000000" w:themeColor="text1"/>
        </w:rPr>
        <w:t>Yunman Xia</w:t>
      </w:r>
      <w:r w:rsidRPr="008A32B0">
        <w:rPr>
          <w:color w:val="000000" w:themeColor="text1"/>
          <w:vertAlign w:val="superscript"/>
        </w:rPr>
        <w:t>1, 2†</w:t>
      </w:r>
      <w:r w:rsidRPr="008A32B0">
        <w:rPr>
          <w:color w:val="000000" w:themeColor="text1"/>
        </w:rPr>
        <w:t>, Songjun Peng</w:t>
      </w:r>
      <w:r w:rsidRPr="008A32B0">
        <w:rPr>
          <w:color w:val="000000" w:themeColor="text1"/>
          <w:vertAlign w:val="superscript"/>
        </w:rPr>
        <w:t>3†</w:t>
      </w:r>
      <w:r w:rsidRPr="008A32B0">
        <w:rPr>
          <w:color w:val="000000" w:themeColor="text1"/>
        </w:rPr>
        <w:t>, Juergen Dukart</w:t>
      </w:r>
      <w:r w:rsidRPr="008A32B0">
        <w:rPr>
          <w:color w:val="000000" w:themeColor="text1"/>
          <w:vertAlign w:val="superscript"/>
        </w:rPr>
        <w:t>4, 5</w:t>
      </w:r>
      <w:r w:rsidRPr="008A32B0">
        <w:rPr>
          <w:color w:val="000000" w:themeColor="text1"/>
        </w:rPr>
        <w:t>, Liyi Qian</w:t>
      </w:r>
      <w:r w:rsidRPr="008A32B0">
        <w:rPr>
          <w:color w:val="000000" w:themeColor="text1"/>
          <w:vertAlign w:val="superscript"/>
        </w:rPr>
        <w:t>1</w:t>
      </w:r>
      <w:r w:rsidRPr="008A32B0">
        <w:rPr>
          <w:color w:val="000000" w:themeColor="text1"/>
        </w:rPr>
        <w:t>, Chao Xie</w:t>
      </w:r>
      <w:r w:rsidRPr="008A32B0">
        <w:rPr>
          <w:color w:val="000000" w:themeColor="text1"/>
          <w:vertAlign w:val="superscript"/>
        </w:rPr>
        <w:t>6</w:t>
      </w:r>
      <w:r w:rsidRPr="008A32B0">
        <w:rPr>
          <w:color w:val="000000" w:themeColor="text1"/>
        </w:rPr>
        <w:t>, Shitong Xiang</w:t>
      </w:r>
      <w:r w:rsidRPr="008A32B0">
        <w:rPr>
          <w:color w:val="000000" w:themeColor="text1"/>
          <w:vertAlign w:val="superscript"/>
        </w:rPr>
        <w:t>7, 8</w:t>
      </w:r>
      <w:r w:rsidRPr="008A32B0">
        <w:rPr>
          <w:color w:val="000000" w:themeColor="text1"/>
        </w:rPr>
        <w:t>, Spase Petkoski</w:t>
      </w:r>
      <w:r w:rsidRPr="008A32B0">
        <w:rPr>
          <w:color w:val="000000" w:themeColor="text1"/>
          <w:vertAlign w:val="superscript"/>
        </w:rPr>
        <w:t>9</w:t>
      </w:r>
      <w:r w:rsidRPr="008A32B0">
        <w:rPr>
          <w:color w:val="000000" w:themeColor="text1"/>
        </w:rPr>
        <w:t>, Zilin Li</w:t>
      </w:r>
      <w:r w:rsidRPr="008A32B0">
        <w:rPr>
          <w:color w:val="000000" w:themeColor="text1"/>
          <w:vertAlign w:val="superscript"/>
        </w:rPr>
        <w:t>10</w:t>
      </w:r>
      <w:r w:rsidRPr="008A32B0">
        <w:rPr>
          <w:color w:val="000000" w:themeColor="text1"/>
        </w:rPr>
        <w:t>, Joerg Hipp</w:t>
      </w:r>
      <w:r w:rsidRPr="008A32B0">
        <w:rPr>
          <w:color w:val="000000" w:themeColor="text1"/>
          <w:vertAlign w:val="superscript"/>
        </w:rPr>
        <w:t>11</w:t>
      </w:r>
      <w:r w:rsidRPr="008A32B0">
        <w:rPr>
          <w:color w:val="000000" w:themeColor="text1"/>
        </w:rPr>
        <w:t>, Suresh Muthukumaraswamy</w:t>
      </w:r>
      <w:r w:rsidRPr="008A32B0">
        <w:rPr>
          <w:color w:val="000000" w:themeColor="text1"/>
          <w:vertAlign w:val="superscript"/>
        </w:rPr>
        <w:t>12</w:t>
      </w:r>
      <w:r w:rsidRPr="008A32B0">
        <w:rPr>
          <w:color w:val="000000" w:themeColor="text1"/>
        </w:rPr>
        <w:t>, Anna Forsyth</w:t>
      </w:r>
      <w:r w:rsidRPr="008A32B0">
        <w:rPr>
          <w:color w:val="000000" w:themeColor="text1"/>
          <w:vertAlign w:val="superscript"/>
        </w:rPr>
        <w:t>12</w:t>
      </w:r>
      <w:r w:rsidRPr="008A32B0">
        <w:rPr>
          <w:color w:val="000000" w:themeColor="text1"/>
        </w:rPr>
        <w:t>, Tianye Jia</w:t>
      </w:r>
      <w:r w:rsidRPr="008A32B0">
        <w:rPr>
          <w:color w:val="000000" w:themeColor="text1"/>
          <w:vertAlign w:val="superscript"/>
          <w:lang w:eastAsia="zh-CN"/>
        </w:rPr>
        <w:t>2</w:t>
      </w:r>
      <w:r w:rsidRPr="008A32B0">
        <w:rPr>
          <w:color w:val="000000" w:themeColor="text1"/>
          <w:vertAlign w:val="superscript"/>
        </w:rPr>
        <w:t>, 7, 8</w:t>
      </w:r>
      <w:r w:rsidRPr="008A32B0">
        <w:rPr>
          <w:color w:val="000000" w:themeColor="text1"/>
        </w:rPr>
        <w:t>, Nilakshi Vaidya</w:t>
      </w:r>
      <w:r w:rsidRPr="008A32B0">
        <w:rPr>
          <w:color w:val="000000" w:themeColor="text1"/>
          <w:vertAlign w:val="superscript"/>
          <w:lang w:eastAsia="zh-CN"/>
        </w:rPr>
        <w:t>1</w:t>
      </w:r>
      <w:r w:rsidRPr="008A32B0">
        <w:rPr>
          <w:color w:val="000000" w:themeColor="text1"/>
        </w:rPr>
        <w:t>, Tristram, Lett</w:t>
      </w:r>
      <w:r w:rsidRPr="008A32B0">
        <w:rPr>
          <w:color w:val="000000" w:themeColor="text1"/>
          <w:vertAlign w:val="superscript"/>
          <w:lang w:eastAsia="zh-CN"/>
        </w:rPr>
        <w:t>1</w:t>
      </w:r>
      <w:r w:rsidRPr="008A32B0">
        <w:rPr>
          <w:color w:val="000000" w:themeColor="text1"/>
        </w:rPr>
        <w:t>, Xiao Chang</w:t>
      </w:r>
      <w:r w:rsidRPr="008A32B0">
        <w:rPr>
          <w:color w:val="000000" w:themeColor="text1"/>
          <w:vertAlign w:val="superscript"/>
        </w:rPr>
        <w:t xml:space="preserve">1, </w:t>
      </w:r>
      <w:r w:rsidRPr="008A32B0">
        <w:rPr>
          <w:color w:val="000000" w:themeColor="text1"/>
          <w:vertAlign w:val="superscript"/>
          <w:lang w:eastAsia="zh-CN"/>
        </w:rPr>
        <w:t>2,</w:t>
      </w:r>
      <w:r w:rsidRPr="008A32B0">
        <w:rPr>
          <w:color w:val="000000" w:themeColor="text1"/>
          <w:vertAlign w:val="superscript"/>
        </w:rPr>
        <w:t xml:space="preserve"> 7, 8</w:t>
      </w:r>
      <w:r w:rsidRPr="008A32B0">
        <w:rPr>
          <w:color w:val="000000" w:themeColor="text1"/>
        </w:rPr>
        <w:t>, Yuxiang Dai</w:t>
      </w:r>
      <w:r w:rsidRPr="008A32B0">
        <w:rPr>
          <w:color w:val="000000" w:themeColor="text1"/>
          <w:vertAlign w:val="superscript"/>
        </w:rPr>
        <w:t>1, 2</w:t>
      </w:r>
      <w:r w:rsidRPr="008A32B0">
        <w:rPr>
          <w:color w:val="000000" w:themeColor="text1"/>
        </w:rPr>
        <w:t xml:space="preserve">, </w:t>
      </w:r>
      <w:r w:rsidRPr="008A32B0">
        <w:rPr>
          <w:rFonts w:cs="Times New Roman"/>
          <w:color w:val="000000" w:themeColor="text1"/>
        </w:rPr>
        <w:t>Tobias Banaschewski</w:t>
      </w:r>
      <w:r w:rsidRPr="008A32B0">
        <w:rPr>
          <w:rFonts w:cs="Times New Roman"/>
          <w:color w:val="000000" w:themeColor="text1"/>
          <w:vertAlign w:val="superscript"/>
        </w:rPr>
        <w:t>1</w:t>
      </w:r>
      <w:r w:rsidRPr="008A32B0">
        <w:rPr>
          <w:rFonts w:cs="Times New Roman"/>
          <w:color w:val="000000" w:themeColor="text1"/>
          <w:vertAlign w:val="superscript"/>
          <w:lang w:eastAsia="zh-CN"/>
        </w:rPr>
        <w:t>3</w:t>
      </w:r>
      <w:r w:rsidRPr="008A32B0">
        <w:rPr>
          <w:rFonts w:cs="Times New Roman"/>
          <w:color w:val="000000" w:themeColor="text1"/>
        </w:rPr>
        <w:t>, Gareth J. Barker</w:t>
      </w:r>
      <w:r w:rsidRPr="008A32B0">
        <w:rPr>
          <w:rFonts w:cs="Times New Roman"/>
          <w:color w:val="000000" w:themeColor="text1"/>
          <w:vertAlign w:val="superscript"/>
        </w:rPr>
        <w:t>1</w:t>
      </w:r>
      <w:r w:rsidRPr="008A32B0">
        <w:rPr>
          <w:rFonts w:cs="Times New Roman"/>
          <w:color w:val="000000" w:themeColor="text1"/>
          <w:vertAlign w:val="superscript"/>
          <w:lang w:eastAsia="zh-CN"/>
        </w:rPr>
        <w:t>4</w:t>
      </w:r>
      <w:r w:rsidRPr="008A32B0">
        <w:rPr>
          <w:rFonts w:cs="Times New Roman"/>
          <w:color w:val="000000" w:themeColor="text1"/>
        </w:rPr>
        <w:t>, Arun L. W. Bokde</w:t>
      </w:r>
      <w:r w:rsidRPr="008A32B0">
        <w:rPr>
          <w:rFonts w:cs="Times New Roman"/>
          <w:color w:val="000000" w:themeColor="text1"/>
          <w:vertAlign w:val="superscript"/>
        </w:rPr>
        <w:t>1</w:t>
      </w:r>
      <w:r w:rsidRPr="008A32B0">
        <w:rPr>
          <w:rFonts w:cs="Times New Roman"/>
          <w:color w:val="000000" w:themeColor="text1"/>
          <w:vertAlign w:val="superscript"/>
          <w:lang w:eastAsia="zh-CN"/>
        </w:rPr>
        <w:t>5</w:t>
      </w:r>
      <w:r w:rsidRPr="008A32B0">
        <w:rPr>
          <w:rFonts w:cs="Times New Roman"/>
          <w:color w:val="000000" w:themeColor="text1"/>
        </w:rPr>
        <w:t>, Rüdiger Brühl</w:t>
      </w:r>
      <w:r w:rsidRPr="008A32B0">
        <w:rPr>
          <w:rFonts w:cs="Cambria Math"/>
          <w:color w:val="000000" w:themeColor="text1"/>
          <w:vertAlign w:val="superscript"/>
        </w:rPr>
        <w:t>1</w:t>
      </w:r>
      <w:r w:rsidRPr="008A32B0">
        <w:rPr>
          <w:rFonts w:cs="Cambria Math"/>
          <w:color w:val="000000" w:themeColor="text1"/>
          <w:vertAlign w:val="superscript"/>
          <w:lang w:eastAsia="zh-CN"/>
        </w:rPr>
        <w:t>6</w:t>
      </w:r>
      <w:r w:rsidRPr="008A32B0">
        <w:rPr>
          <w:rFonts w:cs="Times New Roman"/>
          <w:color w:val="000000" w:themeColor="text1"/>
        </w:rPr>
        <w:t>, Sylvane Desrivières</w:t>
      </w:r>
      <w:r w:rsidRPr="008A32B0">
        <w:rPr>
          <w:rFonts w:cs="Cambria Math"/>
          <w:color w:val="000000" w:themeColor="text1"/>
          <w:vertAlign w:val="superscript"/>
        </w:rPr>
        <w:t>1</w:t>
      </w:r>
      <w:r w:rsidRPr="008A32B0">
        <w:rPr>
          <w:rFonts w:cs="Cambria Math"/>
          <w:color w:val="000000" w:themeColor="text1"/>
          <w:vertAlign w:val="superscript"/>
          <w:lang w:eastAsia="zh-CN"/>
        </w:rPr>
        <w:t>7</w:t>
      </w:r>
      <w:r w:rsidRPr="008A32B0">
        <w:rPr>
          <w:rFonts w:cs="Times New Roman"/>
          <w:color w:val="000000" w:themeColor="text1"/>
        </w:rPr>
        <w:t>, Herta Flor</w:t>
      </w:r>
      <w:r w:rsidRPr="008A32B0">
        <w:rPr>
          <w:rFonts w:cs="Cambria Math"/>
          <w:color w:val="000000" w:themeColor="text1"/>
          <w:vertAlign w:val="superscript"/>
        </w:rPr>
        <w:t>1</w:t>
      </w:r>
      <w:r w:rsidRPr="008A32B0">
        <w:rPr>
          <w:rFonts w:cs="Cambria Math"/>
          <w:color w:val="000000" w:themeColor="text1"/>
          <w:vertAlign w:val="superscript"/>
          <w:lang w:eastAsia="zh-CN"/>
        </w:rPr>
        <w:t>8</w:t>
      </w:r>
      <w:r w:rsidRPr="008A32B0">
        <w:rPr>
          <w:rFonts w:cs="Cambria Math"/>
          <w:color w:val="000000" w:themeColor="text1"/>
          <w:vertAlign w:val="superscript"/>
        </w:rPr>
        <w:t xml:space="preserve">, </w:t>
      </w:r>
      <w:r w:rsidRPr="008A32B0">
        <w:rPr>
          <w:rFonts w:cs="Cambria Math"/>
          <w:color w:val="000000" w:themeColor="text1"/>
          <w:vertAlign w:val="superscript"/>
          <w:lang w:eastAsia="zh-CN"/>
        </w:rPr>
        <w:t>19</w:t>
      </w:r>
      <w:r w:rsidRPr="008A32B0">
        <w:rPr>
          <w:rFonts w:cs="Times New Roman"/>
          <w:color w:val="000000" w:themeColor="text1"/>
        </w:rPr>
        <w:t>, Penny Gowland</w:t>
      </w:r>
      <w:r w:rsidRPr="008A32B0">
        <w:rPr>
          <w:rFonts w:cs="Cambria Math"/>
          <w:color w:val="000000" w:themeColor="text1"/>
          <w:vertAlign w:val="superscript"/>
        </w:rPr>
        <w:t>2</w:t>
      </w:r>
      <w:r w:rsidRPr="008A32B0">
        <w:rPr>
          <w:rFonts w:cs="Cambria Math"/>
          <w:color w:val="000000" w:themeColor="text1"/>
          <w:vertAlign w:val="superscript"/>
          <w:lang w:eastAsia="zh-CN"/>
        </w:rPr>
        <w:t>0</w:t>
      </w:r>
      <w:r w:rsidRPr="008A32B0">
        <w:rPr>
          <w:rFonts w:cs="Times New Roman"/>
          <w:color w:val="000000" w:themeColor="text1"/>
        </w:rPr>
        <w:t>, Antoine Grigis</w:t>
      </w:r>
      <w:r w:rsidRPr="008A32B0">
        <w:rPr>
          <w:rFonts w:cs="Cambria Math"/>
          <w:color w:val="000000" w:themeColor="text1"/>
          <w:vertAlign w:val="superscript"/>
        </w:rPr>
        <w:t>2</w:t>
      </w:r>
      <w:r w:rsidRPr="008A32B0">
        <w:rPr>
          <w:rFonts w:cs="Cambria Math"/>
          <w:color w:val="000000" w:themeColor="text1"/>
          <w:vertAlign w:val="superscript"/>
          <w:lang w:eastAsia="zh-CN"/>
        </w:rPr>
        <w:t>1</w:t>
      </w:r>
      <w:r w:rsidRPr="008A32B0">
        <w:rPr>
          <w:rFonts w:cs="Times New Roman"/>
          <w:color w:val="000000" w:themeColor="text1"/>
        </w:rPr>
        <w:t>, Andreas Heinz</w:t>
      </w:r>
      <w:r w:rsidRPr="008A32B0">
        <w:rPr>
          <w:rFonts w:cs="Times New Roman"/>
          <w:color w:val="000000" w:themeColor="text1"/>
          <w:vertAlign w:val="superscript"/>
        </w:rPr>
        <w:t>2</w:t>
      </w:r>
      <w:r w:rsidRPr="008A32B0">
        <w:rPr>
          <w:rFonts w:cs="Times New Roman"/>
          <w:color w:val="000000" w:themeColor="text1"/>
          <w:vertAlign w:val="superscript"/>
          <w:lang w:eastAsia="zh-CN"/>
        </w:rPr>
        <w:t>2</w:t>
      </w:r>
      <w:r w:rsidRPr="008A32B0">
        <w:rPr>
          <w:rFonts w:cs="Times New Roman"/>
          <w:color w:val="000000" w:themeColor="text1"/>
          <w:vertAlign w:val="superscript"/>
        </w:rPr>
        <w:t>, 2</w:t>
      </w:r>
      <w:r w:rsidRPr="008A32B0">
        <w:rPr>
          <w:rFonts w:cs="Times New Roman"/>
          <w:color w:val="000000" w:themeColor="text1"/>
          <w:vertAlign w:val="superscript"/>
          <w:lang w:eastAsia="zh-CN"/>
        </w:rPr>
        <w:t>3</w:t>
      </w:r>
      <w:r w:rsidRPr="008A32B0">
        <w:rPr>
          <w:rFonts w:cs="Times New Roman"/>
          <w:color w:val="000000" w:themeColor="text1"/>
        </w:rPr>
        <w:t>, Hervé Lemaître</w:t>
      </w:r>
      <w:r w:rsidRPr="008A32B0">
        <w:rPr>
          <w:rFonts w:cs="Cambria Math"/>
          <w:color w:val="000000" w:themeColor="text1"/>
          <w:vertAlign w:val="superscript"/>
        </w:rPr>
        <w:t>2</w:t>
      </w:r>
      <w:r w:rsidRPr="008A32B0">
        <w:rPr>
          <w:rFonts w:cs="Cambria Math"/>
          <w:color w:val="000000" w:themeColor="text1"/>
          <w:vertAlign w:val="superscript"/>
          <w:lang w:eastAsia="zh-CN"/>
        </w:rPr>
        <w:t>1</w:t>
      </w:r>
      <w:r w:rsidRPr="008A32B0">
        <w:rPr>
          <w:rFonts w:cs="Times New Roman"/>
          <w:color w:val="000000" w:themeColor="text1"/>
          <w:vertAlign w:val="superscript"/>
        </w:rPr>
        <w:t>, 2</w:t>
      </w:r>
      <w:r w:rsidRPr="008A32B0">
        <w:rPr>
          <w:rFonts w:cs="Times New Roman"/>
          <w:color w:val="000000" w:themeColor="text1"/>
          <w:vertAlign w:val="superscript"/>
          <w:lang w:eastAsia="zh-CN"/>
        </w:rPr>
        <w:t>4</w:t>
      </w:r>
      <w:r w:rsidRPr="008A32B0">
        <w:rPr>
          <w:rFonts w:cs="Times New Roman"/>
          <w:color w:val="000000" w:themeColor="text1"/>
        </w:rPr>
        <w:t>, Frauke Nees</w:t>
      </w:r>
      <w:r w:rsidRPr="008A32B0">
        <w:rPr>
          <w:rFonts w:cs="Times New Roman"/>
          <w:color w:val="000000" w:themeColor="text1"/>
          <w:vertAlign w:val="superscript"/>
        </w:rPr>
        <w:t>2</w:t>
      </w:r>
      <w:r w:rsidRPr="008A32B0">
        <w:rPr>
          <w:rFonts w:cs="Times New Roman"/>
          <w:color w:val="000000" w:themeColor="text1"/>
          <w:vertAlign w:val="superscript"/>
          <w:lang w:eastAsia="zh-CN"/>
        </w:rPr>
        <w:t>5</w:t>
      </w:r>
      <w:r w:rsidRPr="008A32B0">
        <w:rPr>
          <w:rFonts w:cs="Times New Roman"/>
          <w:color w:val="000000" w:themeColor="text1"/>
        </w:rPr>
        <w:t>, Dimitri Papadopoulos Orfanos</w:t>
      </w:r>
      <w:r w:rsidRPr="008A32B0">
        <w:rPr>
          <w:rFonts w:cs="Times New Roman"/>
          <w:color w:val="000000" w:themeColor="text1"/>
          <w:vertAlign w:val="superscript"/>
          <w:lang w:eastAsia="zh-CN"/>
        </w:rPr>
        <w:t>19</w:t>
      </w:r>
      <w:r w:rsidRPr="008A32B0">
        <w:rPr>
          <w:rFonts w:cs="Times New Roman"/>
          <w:color w:val="000000" w:themeColor="text1"/>
        </w:rPr>
        <w:t>, Luise Poustka</w:t>
      </w:r>
      <w:r w:rsidRPr="008A32B0">
        <w:rPr>
          <w:rFonts w:cs="Times New Roman"/>
          <w:color w:val="000000" w:themeColor="text1"/>
          <w:vertAlign w:val="superscript"/>
          <w:lang w:eastAsia="zh-CN"/>
        </w:rPr>
        <w:t>26</w:t>
      </w:r>
      <w:r w:rsidRPr="008A32B0">
        <w:rPr>
          <w:rFonts w:cs="Times New Roman"/>
          <w:color w:val="000000" w:themeColor="text1"/>
        </w:rPr>
        <w:t>, Michael N. Smolka</w:t>
      </w:r>
      <w:r w:rsidRPr="008A32B0">
        <w:rPr>
          <w:rFonts w:cs="Times New Roman"/>
          <w:color w:val="000000" w:themeColor="text1"/>
          <w:vertAlign w:val="superscript"/>
        </w:rPr>
        <w:t>2</w:t>
      </w:r>
      <w:r w:rsidRPr="008A32B0">
        <w:rPr>
          <w:rFonts w:cs="Times New Roman"/>
          <w:color w:val="000000" w:themeColor="text1"/>
          <w:vertAlign w:val="superscript"/>
          <w:lang w:eastAsia="zh-CN"/>
        </w:rPr>
        <w:t>3</w:t>
      </w:r>
      <w:r w:rsidRPr="008A32B0">
        <w:rPr>
          <w:rFonts w:cs="Times New Roman"/>
          <w:color w:val="000000" w:themeColor="text1"/>
        </w:rPr>
        <w:t>, Sarah Hohmann</w:t>
      </w:r>
      <w:r w:rsidRPr="008A32B0">
        <w:rPr>
          <w:rFonts w:cs="Times New Roman"/>
          <w:color w:val="000000" w:themeColor="text1"/>
          <w:vertAlign w:val="superscript"/>
        </w:rPr>
        <w:t>1</w:t>
      </w:r>
      <w:r w:rsidRPr="008A32B0">
        <w:rPr>
          <w:rFonts w:cs="Times New Roman"/>
          <w:color w:val="000000" w:themeColor="text1"/>
          <w:vertAlign w:val="superscript"/>
          <w:lang w:eastAsia="zh-CN"/>
        </w:rPr>
        <w:t>3</w:t>
      </w:r>
      <w:r w:rsidRPr="008A32B0">
        <w:rPr>
          <w:rFonts w:cs="Times New Roman"/>
          <w:color w:val="000000" w:themeColor="text1"/>
        </w:rPr>
        <w:t>, Henrik Walter</w:t>
      </w:r>
      <w:r w:rsidRPr="008A32B0">
        <w:rPr>
          <w:rFonts w:cs="Times New Roman"/>
          <w:color w:val="000000" w:themeColor="text1"/>
          <w:vertAlign w:val="superscript"/>
          <w:lang w:eastAsia="zh-CN"/>
        </w:rPr>
        <w:t>27</w:t>
      </w:r>
      <w:r w:rsidRPr="008A32B0">
        <w:rPr>
          <w:rFonts w:cs="Times New Roman"/>
          <w:color w:val="000000" w:themeColor="text1"/>
        </w:rPr>
        <w:t>, Robert Whelan</w:t>
      </w:r>
      <w:r w:rsidRPr="008A32B0">
        <w:rPr>
          <w:rFonts w:cs="Times New Roman"/>
          <w:color w:val="000000" w:themeColor="text1"/>
          <w:vertAlign w:val="superscript"/>
          <w:lang w:eastAsia="zh-CN"/>
        </w:rPr>
        <w:t>28</w:t>
      </w:r>
      <w:r w:rsidRPr="008A32B0">
        <w:rPr>
          <w:rFonts w:cs="Times New Roman"/>
          <w:color w:val="000000" w:themeColor="text1"/>
        </w:rPr>
        <w:t>, Paul Wirsching</w:t>
      </w:r>
      <w:r w:rsidRPr="008A32B0">
        <w:rPr>
          <w:rFonts w:cs="Times New Roman"/>
          <w:color w:val="000000" w:themeColor="text1"/>
          <w:vertAlign w:val="superscript"/>
          <w:lang w:eastAsia="zh-CN"/>
        </w:rPr>
        <w:t>27</w:t>
      </w:r>
      <w:r w:rsidRPr="008A32B0">
        <w:rPr>
          <w:rFonts w:cs="Times New Roman"/>
          <w:color w:val="000000" w:themeColor="text1"/>
        </w:rPr>
        <w:t xml:space="preserve">, </w:t>
      </w:r>
      <w:r w:rsidRPr="008A32B0">
        <w:rPr>
          <w:color w:val="000000" w:themeColor="text1"/>
        </w:rPr>
        <w:t>Zuo Zhang</w:t>
      </w:r>
      <w:r w:rsidRPr="008A32B0">
        <w:rPr>
          <w:color w:val="000000" w:themeColor="text1"/>
          <w:vertAlign w:val="superscript"/>
        </w:rPr>
        <w:t>1</w:t>
      </w:r>
      <w:r w:rsidRPr="008A32B0">
        <w:rPr>
          <w:color w:val="000000" w:themeColor="text1"/>
          <w:vertAlign w:val="superscript"/>
          <w:lang w:eastAsia="zh-CN"/>
        </w:rPr>
        <w:t>7</w:t>
      </w:r>
      <w:r w:rsidRPr="008A32B0">
        <w:rPr>
          <w:color w:val="000000" w:themeColor="text1"/>
          <w:vertAlign w:val="superscript"/>
        </w:rPr>
        <w:t xml:space="preserve">, </w:t>
      </w:r>
      <w:r w:rsidRPr="008A32B0">
        <w:rPr>
          <w:color w:val="000000" w:themeColor="text1"/>
          <w:vertAlign w:val="superscript"/>
          <w:lang w:eastAsia="zh-CN"/>
        </w:rPr>
        <w:t>29</w:t>
      </w:r>
      <w:r w:rsidRPr="008A32B0">
        <w:rPr>
          <w:rFonts w:cs="Times New Roman"/>
          <w:color w:val="000000" w:themeColor="text1"/>
        </w:rPr>
        <w:t>, Lauren Robinson</w:t>
      </w:r>
      <w:r w:rsidRPr="008A32B0">
        <w:rPr>
          <w:color w:val="000000" w:themeColor="text1"/>
          <w:vertAlign w:val="superscript"/>
        </w:rPr>
        <w:t>1</w:t>
      </w:r>
      <w:r w:rsidRPr="008A32B0">
        <w:rPr>
          <w:color w:val="000000" w:themeColor="text1"/>
          <w:vertAlign w:val="superscript"/>
          <w:lang w:eastAsia="zh-CN"/>
        </w:rPr>
        <w:t>7</w:t>
      </w:r>
      <w:r w:rsidRPr="008A32B0">
        <w:rPr>
          <w:color w:val="000000" w:themeColor="text1"/>
          <w:vertAlign w:val="superscript"/>
        </w:rPr>
        <w:t>, 3</w:t>
      </w:r>
      <w:r w:rsidRPr="008A32B0">
        <w:rPr>
          <w:color w:val="000000" w:themeColor="text1"/>
          <w:vertAlign w:val="superscript"/>
          <w:lang w:eastAsia="zh-CN"/>
        </w:rPr>
        <w:t>0</w:t>
      </w:r>
      <w:r w:rsidRPr="008A32B0">
        <w:rPr>
          <w:rFonts w:cs="Times New Roman"/>
          <w:color w:val="000000" w:themeColor="text1"/>
        </w:rPr>
        <w:t>, Jeanne Winterer</w:t>
      </w:r>
      <w:r w:rsidRPr="008A32B0">
        <w:rPr>
          <w:color w:val="000000" w:themeColor="text1"/>
          <w:vertAlign w:val="superscript"/>
          <w:lang w:eastAsia="zh-CN"/>
        </w:rPr>
        <w:t>29</w:t>
      </w:r>
      <w:r w:rsidRPr="008A32B0">
        <w:rPr>
          <w:color w:val="000000" w:themeColor="text1"/>
          <w:vertAlign w:val="superscript"/>
        </w:rPr>
        <w:t>, 3</w:t>
      </w:r>
      <w:r w:rsidRPr="008A32B0">
        <w:rPr>
          <w:color w:val="000000" w:themeColor="text1"/>
          <w:vertAlign w:val="superscript"/>
          <w:lang w:eastAsia="zh-CN"/>
        </w:rPr>
        <w:t>1</w:t>
      </w:r>
      <w:r w:rsidRPr="008A32B0">
        <w:rPr>
          <w:rFonts w:cs="Times New Roman"/>
          <w:color w:val="000000" w:themeColor="text1"/>
        </w:rPr>
        <w:t>, Yuning Zhang</w:t>
      </w:r>
      <w:r w:rsidRPr="008A32B0">
        <w:rPr>
          <w:color w:val="000000" w:themeColor="text1"/>
          <w:vertAlign w:val="superscript"/>
        </w:rPr>
        <w:t>3</w:t>
      </w:r>
      <w:r w:rsidRPr="008A32B0">
        <w:rPr>
          <w:color w:val="000000" w:themeColor="text1"/>
          <w:vertAlign w:val="superscript"/>
          <w:lang w:eastAsia="zh-CN"/>
        </w:rPr>
        <w:t>2</w:t>
      </w:r>
      <w:r w:rsidRPr="008A32B0">
        <w:rPr>
          <w:rFonts w:cs="Times New Roman"/>
          <w:color w:val="000000" w:themeColor="text1"/>
        </w:rPr>
        <w:t>, Hedi Kebir</w:t>
      </w:r>
      <w:r w:rsidRPr="008A32B0">
        <w:rPr>
          <w:color w:val="000000" w:themeColor="text1"/>
          <w:vertAlign w:val="superscript"/>
        </w:rPr>
        <w:t>1</w:t>
      </w:r>
      <w:r w:rsidRPr="008A32B0">
        <w:rPr>
          <w:rFonts w:cs="Times New Roman"/>
          <w:color w:val="000000" w:themeColor="text1"/>
        </w:rPr>
        <w:t>, Ulrike Schmidt</w:t>
      </w:r>
      <w:r w:rsidRPr="008A32B0">
        <w:rPr>
          <w:color w:val="000000" w:themeColor="text1"/>
          <w:vertAlign w:val="superscript"/>
        </w:rPr>
        <w:t>3</w:t>
      </w:r>
      <w:r w:rsidRPr="008A32B0">
        <w:rPr>
          <w:color w:val="000000" w:themeColor="text1"/>
          <w:vertAlign w:val="superscript"/>
          <w:lang w:eastAsia="zh-CN"/>
        </w:rPr>
        <w:t>3</w:t>
      </w:r>
      <w:r w:rsidRPr="008A32B0">
        <w:rPr>
          <w:color w:val="000000" w:themeColor="text1"/>
          <w:vertAlign w:val="superscript"/>
        </w:rPr>
        <w:t>, 3</w:t>
      </w:r>
      <w:r w:rsidRPr="008A32B0">
        <w:rPr>
          <w:color w:val="000000" w:themeColor="text1"/>
          <w:vertAlign w:val="superscript"/>
          <w:lang w:eastAsia="zh-CN"/>
        </w:rPr>
        <w:t>4</w:t>
      </w:r>
      <w:r w:rsidRPr="008A32B0">
        <w:rPr>
          <w:rFonts w:cs="Times New Roman"/>
          <w:color w:val="000000" w:themeColor="text1"/>
        </w:rPr>
        <w:t>, Julia Sinclair</w:t>
      </w:r>
      <w:r w:rsidRPr="008A32B0">
        <w:rPr>
          <w:color w:val="000000" w:themeColor="text1"/>
          <w:vertAlign w:val="superscript"/>
        </w:rPr>
        <w:t>3</w:t>
      </w:r>
      <w:r w:rsidRPr="008A32B0">
        <w:rPr>
          <w:color w:val="000000" w:themeColor="text1"/>
          <w:vertAlign w:val="superscript"/>
          <w:lang w:eastAsia="zh-CN"/>
        </w:rPr>
        <w:t>5</w:t>
      </w:r>
      <w:r w:rsidRPr="008A32B0">
        <w:rPr>
          <w:color w:val="000000" w:themeColor="text1"/>
        </w:rPr>
        <w:t>, Yuchen Liu</w:t>
      </w:r>
      <w:r w:rsidRPr="008A32B0">
        <w:rPr>
          <w:color w:val="000000" w:themeColor="text1"/>
          <w:vertAlign w:val="superscript"/>
        </w:rPr>
        <w:t>7</w:t>
      </w:r>
      <w:r w:rsidRPr="008A32B0">
        <w:rPr>
          <w:color w:val="000000" w:themeColor="text1"/>
        </w:rPr>
        <w:t>, Jiexiang Wang</w:t>
      </w:r>
      <w:r w:rsidRPr="008A32B0">
        <w:rPr>
          <w:color w:val="000000" w:themeColor="text1"/>
          <w:vertAlign w:val="superscript"/>
        </w:rPr>
        <w:t>7</w:t>
      </w:r>
      <w:r w:rsidRPr="008A32B0">
        <w:rPr>
          <w:color w:val="000000" w:themeColor="text1"/>
        </w:rPr>
        <w:t>, Fei Dai</w:t>
      </w:r>
      <w:r w:rsidRPr="008A32B0">
        <w:rPr>
          <w:color w:val="000000" w:themeColor="text1"/>
          <w:vertAlign w:val="superscript"/>
        </w:rPr>
        <w:t>7</w:t>
      </w:r>
      <w:r w:rsidRPr="008A32B0">
        <w:rPr>
          <w:color w:val="000000" w:themeColor="text1"/>
        </w:rPr>
        <w:t>, Longbin Zeng</w:t>
      </w:r>
      <w:r w:rsidRPr="008A32B0">
        <w:rPr>
          <w:color w:val="000000" w:themeColor="text1"/>
          <w:vertAlign w:val="superscript"/>
        </w:rPr>
        <w:t>7</w:t>
      </w:r>
      <w:r w:rsidRPr="008A32B0">
        <w:rPr>
          <w:color w:val="000000" w:themeColor="text1"/>
        </w:rPr>
        <w:t>, Yubo Hou</w:t>
      </w:r>
      <w:r w:rsidRPr="008A32B0">
        <w:rPr>
          <w:color w:val="000000" w:themeColor="text1"/>
          <w:vertAlign w:val="superscript"/>
        </w:rPr>
        <w:t>3</w:t>
      </w:r>
      <w:r w:rsidRPr="008A32B0">
        <w:rPr>
          <w:color w:val="000000" w:themeColor="text1"/>
          <w:vertAlign w:val="superscript"/>
          <w:lang w:eastAsia="zh-CN"/>
        </w:rPr>
        <w:t>6</w:t>
      </w:r>
      <w:r w:rsidRPr="008A32B0">
        <w:rPr>
          <w:color w:val="000000" w:themeColor="text1"/>
        </w:rPr>
        <w:t>, Huarui Wang</w:t>
      </w:r>
      <w:r w:rsidRPr="008A32B0">
        <w:rPr>
          <w:color w:val="000000" w:themeColor="text1"/>
          <w:vertAlign w:val="superscript"/>
        </w:rPr>
        <w:t>7</w:t>
      </w:r>
      <w:r w:rsidRPr="008A32B0">
        <w:rPr>
          <w:color w:val="000000" w:themeColor="text1"/>
        </w:rPr>
        <w:t>, Leijun Ye</w:t>
      </w:r>
      <w:r w:rsidRPr="008A32B0">
        <w:rPr>
          <w:color w:val="000000" w:themeColor="text1"/>
          <w:vertAlign w:val="superscript"/>
        </w:rPr>
        <w:t>7</w:t>
      </w:r>
      <w:r w:rsidRPr="008A32B0">
        <w:rPr>
          <w:color w:val="000000" w:themeColor="text1"/>
        </w:rPr>
        <w:t>, Chunhe Li</w:t>
      </w:r>
      <w:r w:rsidRPr="008A32B0">
        <w:rPr>
          <w:color w:val="000000" w:themeColor="text1"/>
          <w:vertAlign w:val="superscript"/>
        </w:rPr>
        <w:t xml:space="preserve">7, </w:t>
      </w:r>
      <w:r w:rsidRPr="008A32B0">
        <w:rPr>
          <w:color w:val="000000" w:themeColor="text1"/>
          <w:vertAlign w:val="superscript"/>
          <w:lang w:eastAsia="zh-CN"/>
        </w:rPr>
        <w:t>37</w:t>
      </w:r>
      <w:r w:rsidRPr="008A32B0">
        <w:rPr>
          <w:color w:val="000000" w:themeColor="text1"/>
        </w:rPr>
        <w:t>, Qibao Zheng</w:t>
      </w:r>
      <w:r w:rsidRPr="008A32B0">
        <w:rPr>
          <w:color w:val="000000" w:themeColor="text1"/>
          <w:vertAlign w:val="superscript"/>
        </w:rPr>
        <w:t>7</w:t>
      </w:r>
      <w:r w:rsidRPr="008A32B0">
        <w:rPr>
          <w:color w:val="000000" w:themeColor="text1"/>
        </w:rPr>
        <w:t>, Andre Marquand</w:t>
      </w:r>
      <w:r w:rsidRPr="008A32B0">
        <w:rPr>
          <w:color w:val="000000" w:themeColor="text1"/>
          <w:vertAlign w:val="superscript"/>
          <w:lang w:eastAsia="zh-CN"/>
        </w:rPr>
        <w:t>38</w:t>
      </w:r>
      <w:r w:rsidRPr="008A32B0">
        <w:rPr>
          <w:color w:val="000000" w:themeColor="text1"/>
        </w:rPr>
        <w:t>, Changsong Zhou</w:t>
      </w:r>
      <w:r w:rsidRPr="008A32B0">
        <w:rPr>
          <w:color w:val="000000" w:themeColor="text1"/>
          <w:vertAlign w:val="superscript"/>
        </w:rPr>
        <w:t>3</w:t>
      </w:r>
      <w:r w:rsidRPr="008A32B0">
        <w:rPr>
          <w:color w:val="000000" w:themeColor="text1"/>
        </w:rPr>
        <w:t>, Viktor Jirsa</w:t>
      </w:r>
      <w:r w:rsidRPr="008A32B0">
        <w:rPr>
          <w:color w:val="000000" w:themeColor="text1"/>
          <w:vertAlign w:val="superscript"/>
        </w:rPr>
        <w:t>9</w:t>
      </w:r>
      <w:r w:rsidRPr="008A32B0">
        <w:rPr>
          <w:color w:val="000000" w:themeColor="text1"/>
        </w:rPr>
        <w:t>, Jianfeng Feng</w:t>
      </w:r>
      <w:r w:rsidRPr="008A32B0">
        <w:rPr>
          <w:color w:val="000000" w:themeColor="text1"/>
          <w:vertAlign w:val="superscript"/>
        </w:rPr>
        <w:t xml:space="preserve">7, 8, </w:t>
      </w:r>
      <w:r w:rsidRPr="008A32B0">
        <w:rPr>
          <w:color w:val="000000" w:themeColor="text1"/>
          <w:vertAlign w:val="superscript"/>
          <w:lang w:eastAsia="zh-CN"/>
        </w:rPr>
        <w:t>37</w:t>
      </w:r>
      <w:r w:rsidRPr="008A32B0">
        <w:rPr>
          <w:color w:val="000000" w:themeColor="text1"/>
          <w:vertAlign w:val="superscript"/>
        </w:rPr>
        <w:t xml:space="preserve">, </w:t>
      </w:r>
      <w:r w:rsidRPr="008A32B0">
        <w:rPr>
          <w:color w:val="000000" w:themeColor="text1"/>
          <w:vertAlign w:val="superscript"/>
          <w:lang w:eastAsia="zh-CN"/>
        </w:rPr>
        <w:t>39</w:t>
      </w:r>
      <w:r w:rsidRPr="008A32B0">
        <w:rPr>
          <w:color w:val="000000" w:themeColor="text1"/>
          <w:vertAlign w:val="superscript"/>
        </w:rPr>
        <w:t>-4</w:t>
      </w:r>
      <w:r w:rsidRPr="008A32B0">
        <w:rPr>
          <w:color w:val="000000" w:themeColor="text1"/>
          <w:vertAlign w:val="superscript"/>
          <w:lang w:eastAsia="zh-CN"/>
        </w:rPr>
        <w:t>1</w:t>
      </w:r>
      <w:r w:rsidRPr="008A32B0">
        <w:rPr>
          <w:color w:val="000000" w:themeColor="text1"/>
        </w:rPr>
        <w:t>, Wenlian Lu</w:t>
      </w:r>
      <w:r w:rsidRPr="008A32B0">
        <w:rPr>
          <w:color w:val="000000" w:themeColor="text1"/>
          <w:vertAlign w:val="superscript"/>
        </w:rPr>
        <w:t xml:space="preserve">7, 8, </w:t>
      </w:r>
      <w:r w:rsidRPr="008A32B0">
        <w:rPr>
          <w:color w:val="000000" w:themeColor="text1"/>
          <w:vertAlign w:val="superscript"/>
          <w:lang w:eastAsia="zh-CN"/>
        </w:rPr>
        <w:t>37</w:t>
      </w:r>
      <w:r w:rsidRPr="008A32B0">
        <w:rPr>
          <w:color w:val="000000" w:themeColor="text1"/>
          <w:vertAlign w:val="superscript"/>
        </w:rPr>
        <w:t>, 4</w:t>
      </w:r>
      <w:r w:rsidRPr="008A32B0">
        <w:rPr>
          <w:color w:val="000000" w:themeColor="text1"/>
          <w:vertAlign w:val="superscript"/>
          <w:lang w:eastAsia="zh-CN"/>
        </w:rPr>
        <w:t>2*</w:t>
      </w:r>
      <w:r w:rsidRPr="008A32B0">
        <w:rPr>
          <w:color w:val="000000" w:themeColor="text1"/>
        </w:rPr>
        <w:t>, Gunter Schumann</w:t>
      </w:r>
      <w:r w:rsidRPr="008A32B0">
        <w:rPr>
          <w:color w:val="000000" w:themeColor="text1"/>
          <w:vertAlign w:val="superscript"/>
        </w:rPr>
        <w:t>1, 2, 4</w:t>
      </w:r>
      <w:r w:rsidRPr="008A32B0">
        <w:rPr>
          <w:color w:val="000000" w:themeColor="text1"/>
          <w:vertAlign w:val="superscript"/>
          <w:lang w:eastAsia="zh-CN"/>
        </w:rPr>
        <w:t>3</w:t>
      </w:r>
      <w:r w:rsidRPr="008A32B0">
        <w:rPr>
          <w:color w:val="000000" w:themeColor="text1"/>
          <w:vertAlign w:val="superscript"/>
        </w:rPr>
        <w:t>-4</w:t>
      </w:r>
      <w:r w:rsidRPr="008A32B0">
        <w:rPr>
          <w:color w:val="000000" w:themeColor="text1"/>
          <w:vertAlign w:val="superscript"/>
          <w:lang w:eastAsia="zh-CN"/>
        </w:rPr>
        <w:t>5</w:t>
      </w:r>
      <w:r w:rsidRPr="008A32B0">
        <w:rPr>
          <w:color w:val="000000" w:themeColor="text1"/>
          <w:vertAlign w:val="superscript"/>
        </w:rPr>
        <w:t>*</w:t>
      </w:r>
      <w:r w:rsidRPr="008A32B0">
        <w:rPr>
          <w:color w:val="000000" w:themeColor="text1"/>
        </w:rPr>
        <w:t>, IMAGEN Consortium, STRATIFY Consortium, DTB Consortium, and environMENTAL Consortium.</w:t>
      </w:r>
    </w:p>
    <w:p w14:paraId="37E7405D" w14:textId="77777777" w:rsidR="00227080" w:rsidRPr="008A32B0" w:rsidRDefault="00227080" w:rsidP="000571EC">
      <w:pPr>
        <w:adjustRightInd w:val="0"/>
        <w:snapToGrid w:val="0"/>
        <w:spacing w:line="480" w:lineRule="auto"/>
        <w:jc w:val="both"/>
        <w:rPr>
          <w:b/>
          <w:bCs/>
          <w:color w:val="000000" w:themeColor="text1"/>
        </w:rPr>
      </w:pPr>
      <w:r w:rsidRPr="008A32B0">
        <w:rPr>
          <w:b/>
          <w:bCs/>
          <w:color w:val="000000" w:themeColor="text1"/>
        </w:rPr>
        <w:t>Affiliations:</w:t>
      </w:r>
    </w:p>
    <w:p w14:paraId="50BBC48E" w14:textId="6B6811FC" w:rsidR="001D5935" w:rsidRPr="008A32B0" w:rsidRDefault="001D5935" w:rsidP="001D5935">
      <w:pPr>
        <w:pStyle w:val="ae"/>
        <w:numPr>
          <w:ilvl w:val="0"/>
          <w:numId w:val="10"/>
        </w:numPr>
        <w:adjustRightInd w:val="0"/>
        <w:snapToGrid w:val="0"/>
        <w:spacing w:line="480" w:lineRule="auto"/>
        <w:contextualSpacing w:val="0"/>
        <w:jc w:val="both"/>
        <w:rPr>
          <w:color w:val="000000" w:themeColor="text1"/>
          <w:lang w:eastAsia="zh-CN"/>
        </w:rPr>
      </w:pPr>
      <w:r w:rsidRPr="008A32B0">
        <w:rPr>
          <w:color w:val="000000" w:themeColor="text1"/>
        </w:rPr>
        <w:t xml:space="preserve">Centre for Population Neuroscience and Stratified Medicine (PONS), Institute of Science and Technology for Brain-Inspired Intelligence, Fudan University, Shanghai, China. </w:t>
      </w:r>
    </w:p>
    <w:p w14:paraId="5B8F96C9" w14:textId="1286CEF6" w:rsidR="00640B09" w:rsidRPr="008A32B0" w:rsidRDefault="001D5935"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PONS, Department of Psychiatry and Neuroscience, Charite-Universitaetsmedizin Berlin, Germany.</w:t>
      </w:r>
    </w:p>
    <w:p w14:paraId="5B27F807"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Department of Physics, Hong Kong Baptist University, Hong Kong SAR, China</w:t>
      </w:r>
    </w:p>
    <w:p w14:paraId="2762FBE9"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lastRenderedPageBreak/>
        <w:t>Institute of Neurosciences and Medicine, Brain &amp; Behaviour (INM-7), Research Centre Juelich, Juelich, Germany.</w:t>
      </w:r>
    </w:p>
    <w:p w14:paraId="1B66EB8B"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Institute of Systems Neuroscience, Medical Faculty, Heinrich Heine University, Düsseldorf, Germany.</w:t>
      </w:r>
    </w:p>
    <w:p w14:paraId="5666FB6D"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Department of Psychological and Cognitive Sciences, Tsinghua University, Beijing, China.</w:t>
      </w:r>
    </w:p>
    <w:p w14:paraId="47C86CD3"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 xml:space="preserve">Institute of Science and Technology for Brain-Inspired Intelligence, Fudan University, Shanghai, China. </w:t>
      </w:r>
    </w:p>
    <w:p w14:paraId="6F03A787"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Key Laboratory of Computational Neuroscience and Brain-Inspired Intelligence, Fudan University, Ministry of Education, Shanghai, China.</w:t>
      </w:r>
    </w:p>
    <w:p w14:paraId="7A3ECDD1"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lang w:val="de-DE"/>
        </w:rPr>
      </w:pPr>
      <w:r w:rsidRPr="008A32B0">
        <w:rPr>
          <w:color w:val="000000" w:themeColor="text1"/>
          <w:lang w:val="de-DE"/>
        </w:rPr>
        <w:t>Institut de Neurosciences des Systèmes (INS) UMR1106, Aix Marseille Université, Marseille, France.</w:t>
      </w:r>
    </w:p>
    <w:p w14:paraId="566ABACB"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 xml:space="preserve">Department of Psychiatry, University of Oxford, Oxford, </w:t>
      </w:r>
      <w:r w:rsidRPr="008A32B0">
        <w:rPr>
          <w:rFonts w:cs="Times New Roman"/>
          <w:color w:val="000000" w:themeColor="text1"/>
        </w:rPr>
        <w:t>United Kingdom</w:t>
      </w:r>
      <w:r w:rsidRPr="008A32B0">
        <w:rPr>
          <w:color w:val="000000" w:themeColor="text1"/>
        </w:rPr>
        <w:t>.</w:t>
      </w:r>
    </w:p>
    <w:p w14:paraId="578CDEED" w14:textId="254E9EA4"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Roche Pharma Research and Early Development, Neuroscience and Rare Diseases, Roche Innovation Center Basel, F. Hoffmann-La Roche Ltd., Basel, Switzerland.</w:t>
      </w:r>
    </w:p>
    <w:p w14:paraId="52511A7D"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School of Pharmacy, Faculty of Medical and Health Sciences, University of Auckland, Auckland, New Zealand.</w:t>
      </w:r>
    </w:p>
    <w:p w14:paraId="10335567"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Department of Child and Adolescent Psychiatry and Psychotherapy, Central Institute of Mental Health, Medical Faculty Mannheim, Heidelberg University, Mannheim, Germany.</w:t>
      </w:r>
    </w:p>
    <w:p w14:paraId="1C601C53"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lastRenderedPageBreak/>
        <w:t>Department of Neuroimaging, Institute of Psychiatry, Psychology &amp; Neuroscience, King’s College London, United Kingdom.</w:t>
      </w:r>
    </w:p>
    <w:p w14:paraId="2E2B4FB4"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Discipline of Psychiatry, School of Medicine and Trinity College Institute of Neuroscience, Trinity College Dublin, Dublin, Ireland.</w:t>
      </w:r>
    </w:p>
    <w:p w14:paraId="4E9D8508"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Physikalisch-Technische Bundesanstalt (PTB), Braunschweig and Berlin, Germany.</w:t>
      </w:r>
    </w:p>
    <w:p w14:paraId="0C05592E"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Social, Genetic and Developmental Psychiatry Centre, Institute of Psychiatry, Psychology &amp; Neuroscience, King’s College London, United Kingdom.</w:t>
      </w:r>
    </w:p>
    <w:p w14:paraId="443AE1F3"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Institute of Cognitive and Clinical Neuroscience, Central Institute of Mental Health, Medical Faculty Mannheim, Heidelberg University, Mannheim, Germany.</w:t>
      </w:r>
    </w:p>
    <w:p w14:paraId="21FAEF83"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Department of Psychology, School of Social Sciences, University of Mannheim, Mannheim, Germany.</w:t>
      </w:r>
    </w:p>
    <w:p w14:paraId="32C32BF7"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Sir Peter Mansfield Imaging Centre School of Physics and Astronomy, University of Nottingham, University Park, Nottingham, United Kingdom.</w:t>
      </w:r>
    </w:p>
    <w:p w14:paraId="047A5F20"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NeuroSpin, CEA, Université Paris-Saclay, F-91191 Gif-sur-Yvette, France.</w:t>
      </w:r>
    </w:p>
    <w:p w14:paraId="65A01189"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Department of Psychiatry and Psychotherapy, University of Tübingen, Germany; German Center for Mental Health (DZPG), Site Tübingen, Germany.</w:t>
      </w:r>
    </w:p>
    <w:p w14:paraId="48CD967A"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Department of Psychiatry and Psychotherapy, Technische Universität Dresden, Dresden, Germany.</w:t>
      </w:r>
    </w:p>
    <w:p w14:paraId="12129AC5"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Institut des Maladies Neurodégénératives, UMR 5293, CNRS, CEA, Université de Bordeaux, 33076 Bordeaux, France.</w:t>
      </w:r>
    </w:p>
    <w:p w14:paraId="745FDC78"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lastRenderedPageBreak/>
        <w:t>Institute of Medical Psychology, Ludwig-Maximilians-Universität (LMU) in Munich, Munich, Germany.</w:t>
      </w:r>
    </w:p>
    <w:p w14:paraId="249F0C8C"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Department of Child and Adolescent Psychiatry, Center for Psychosocial Medicine, University Hospital Heidelberg, Heidelberg, Germany.</w:t>
      </w:r>
    </w:p>
    <w:p w14:paraId="04B12191" w14:textId="386119CD"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Department of Psychiatry and Psychotherapy, Charité - Universitätsmedizin Berlin, corporate member of Freie Universität Berlin, Humboldt-Universität zu Berlin, and Berlin Institute of Health, Berlin, Germany.</w:t>
      </w:r>
    </w:p>
    <w:p w14:paraId="1A616ED3"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School of Psychology and Global Brain Health Institute, Trinity College Dublin, Ireland.</w:t>
      </w:r>
    </w:p>
    <w:p w14:paraId="26E56281"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School of Psychology, Institute for Mental Health, University of Birmingham, Birmingham, United Kingdom.</w:t>
      </w:r>
    </w:p>
    <w:p w14:paraId="4900BE23"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 xml:space="preserve">Oxford Institute of Clinical Psychology Training and Research, </w:t>
      </w:r>
      <w:r w:rsidRPr="008A32B0">
        <w:rPr>
          <w:color w:val="000000" w:themeColor="text1"/>
        </w:rPr>
        <w:t>University of Oxford</w:t>
      </w:r>
      <w:r w:rsidRPr="008A32B0">
        <w:rPr>
          <w:rFonts w:cs="Times New Roman"/>
          <w:color w:val="000000" w:themeColor="text1"/>
        </w:rPr>
        <w:t>, Oxford, United Kingdom.</w:t>
      </w:r>
    </w:p>
    <w:p w14:paraId="3C8B254C"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Department of Education and Psychology, Freie Universität Berlin, Berlin, Germany.</w:t>
      </w:r>
    </w:p>
    <w:p w14:paraId="4122B39E"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Psychology Department, University of Southampton, Southampton</w:t>
      </w:r>
      <w:r w:rsidRPr="008A32B0">
        <w:rPr>
          <w:rFonts w:cs="Times New Roman"/>
          <w:color w:val="000000" w:themeColor="text1"/>
          <w:lang w:eastAsia="zh-CN"/>
        </w:rPr>
        <w:t xml:space="preserve">, </w:t>
      </w:r>
      <w:r w:rsidRPr="008A32B0">
        <w:rPr>
          <w:rFonts w:cs="Times New Roman"/>
          <w:color w:val="000000" w:themeColor="text1"/>
        </w:rPr>
        <w:t>United Kingdom.</w:t>
      </w:r>
    </w:p>
    <w:p w14:paraId="6B519A86"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Department of Psychological Medicine, Section for Eating Disorders, Institute of Psychiatry, Psychology and Neuroscience, King's College London, London, United Kingdom.</w:t>
      </w:r>
    </w:p>
    <w:p w14:paraId="34A1F6A0"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South London and Maudsley NHS Foundation Trust, London, United Kingdom. </w:t>
      </w:r>
    </w:p>
    <w:p w14:paraId="447F19D6"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rFonts w:cs="Times New Roman"/>
          <w:color w:val="000000" w:themeColor="text1"/>
        </w:rPr>
        <w:t>Clinical and Experimental Sciences, Faculty of Medicine, University of Southampton, Southampton, United Kingdom.</w:t>
      </w:r>
    </w:p>
    <w:p w14:paraId="5B0F0C0B"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lastRenderedPageBreak/>
        <w:t>School of Mathematical Sciences, Fudan University, Shanghai, China.</w:t>
      </w:r>
    </w:p>
    <w:p w14:paraId="6B4DF203"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Shanghai Center for Mathematical Sciences, Fudan University, Shanghai, China.</w:t>
      </w:r>
    </w:p>
    <w:p w14:paraId="284A4C23"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lang w:val="nl-NL"/>
        </w:rPr>
        <w:t>Donders Institute, Radboud University, Nijmegen, Netherlands.</w:t>
      </w:r>
    </w:p>
    <w:p w14:paraId="45579589"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School of Data Science, Fudan University, Shanghai, China.</w:t>
      </w:r>
    </w:p>
    <w:p w14:paraId="4C1072CC"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 xml:space="preserve">Department of Computer Science, University of Warwick, Coventry, </w:t>
      </w:r>
      <w:r w:rsidRPr="008A32B0">
        <w:rPr>
          <w:rFonts w:cs="Times New Roman"/>
          <w:color w:val="000000" w:themeColor="text1"/>
        </w:rPr>
        <w:t>United Kingdom</w:t>
      </w:r>
      <w:r w:rsidRPr="008A32B0">
        <w:rPr>
          <w:color w:val="000000" w:themeColor="text1"/>
        </w:rPr>
        <w:t xml:space="preserve">. </w:t>
      </w:r>
    </w:p>
    <w:p w14:paraId="2E10E7A2"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Zhangjiang Fudan International Innovation Centre, Shanghai, China.</w:t>
      </w:r>
    </w:p>
    <w:p w14:paraId="5992FE6D" w14:textId="77777777" w:rsidR="00227080" w:rsidRPr="008A32B0" w:rsidRDefault="00227080" w:rsidP="000571EC">
      <w:pPr>
        <w:pStyle w:val="ae"/>
        <w:numPr>
          <w:ilvl w:val="0"/>
          <w:numId w:val="10"/>
        </w:numPr>
        <w:adjustRightInd w:val="0"/>
        <w:snapToGrid w:val="0"/>
        <w:spacing w:line="480" w:lineRule="auto"/>
        <w:contextualSpacing w:val="0"/>
        <w:jc w:val="both"/>
        <w:rPr>
          <w:rFonts w:cs="Times New Roman"/>
          <w:color w:val="000000" w:themeColor="text1"/>
        </w:rPr>
      </w:pPr>
      <w:r w:rsidRPr="008A32B0">
        <w:rPr>
          <w:color w:val="000000" w:themeColor="text1"/>
        </w:rPr>
        <w:t>Center for Applied Mathematics, Fudan University, Shanghai, China</w:t>
      </w:r>
    </w:p>
    <w:p w14:paraId="77378DDC"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PONS Centre, National Center for Neurologic Disorders, Huashan Hospital, Fudan University, Shanghai, China.</w:t>
      </w:r>
    </w:p>
    <w:p w14:paraId="294A3133" w14:textId="77777777" w:rsidR="00227080" w:rsidRPr="008A32B0" w:rsidRDefault="00227080" w:rsidP="000571EC">
      <w:pPr>
        <w:pStyle w:val="ae"/>
        <w:numPr>
          <w:ilvl w:val="0"/>
          <w:numId w:val="10"/>
        </w:numPr>
        <w:adjustRightInd w:val="0"/>
        <w:snapToGrid w:val="0"/>
        <w:spacing w:line="480" w:lineRule="auto"/>
        <w:contextualSpacing w:val="0"/>
        <w:jc w:val="both"/>
        <w:rPr>
          <w:color w:val="000000" w:themeColor="text1"/>
        </w:rPr>
      </w:pPr>
      <w:r w:rsidRPr="008A32B0">
        <w:rPr>
          <w:color w:val="000000" w:themeColor="text1"/>
        </w:rPr>
        <w:t>German Centre for Mental Health (DZPG), Berlin-Brandenburg site, Germany.</w:t>
      </w:r>
    </w:p>
    <w:p w14:paraId="382A9699" w14:textId="0D2B244C" w:rsidR="001D5935" w:rsidRPr="008A32B0" w:rsidRDefault="00227080" w:rsidP="005F3E37">
      <w:pPr>
        <w:pStyle w:val="ae"/>
        <w:numPr>
          <w:ilvl w:val="0"/>
          <w:numId w:val="10"/>
        </w:numPr>
        <w:adjustRightInd w:val="0"/>
        <w:snapToGrid w:val="0"/>
        <w:spacing w:line="480" w:lineRule="auto"/>
        <w:contextualSpacing w:val="0"/>
        <w:jc w:val="both"/>
        <w:rPr>
          <w:rFonts w:cs="Times New Roman"/>
          <w:color w:val="000000" w:themeColor="text1"/>
        </w:rPr>
      </w:pPr>
      <w:r w:rsidRPr="008A32B0">
        <w:rPr>
          <w:color w:val="000000" w:themeColor="text1"/>
        </w:rPr>
        <w:t xml:space="preserve">Department of Psychiatry, Cambridge University, </w:t>
      </w:r>
      <w:r w:rsidRPr="008A32B0">
        <w:rPr>
          <w:rFonts w:cs="Times New Roman"/>
          <w:color w:val="000000" w:themeColor="text1"/>
        </w:rPr>
        <w:t>United Kingdom</w:t>
      </w:r>
      <w:r w:rsidRPr="008A32B0">
        <w:rPr>
          <w:color w:val="000000" w:themeColor="text1"/>
        </w:rPr>
        <w:t>.</w:t>
      </w:r>
    </w:p>
    <w:p w14:paraId="4BD23CDF" w14:textId="05ED79D0" w:rsidR="003A71A4" w:rsidRPr="008A32B0" w:rsidRDefault="00696C2F" w:rsidP="000571EC">
      <w:pPr>
        <w:adjustRightInd w:val="0"/>
        <w:snapToGrid w:val="0"/>
        <w:spacing w:line="480" w:lineRule="auto"/>
        <w:jc w:val="both"/>
        <w:rPr>
          <w:color w:val="000000" w:themeColor="text1"/>
        </w:rPr>
      </w:pPr>
      <w:r w:rsidRPr="008A32B0">
        <w:rPr>
          <w:color w:val="000000" w:themeColor="text1"/>
        </w:rPr>
        <w:t xml:space="preserve">*Corresponding authors: </w:t>
      </w:r>
    </w:p>
    <w:p w14:paraId="5BFB46A8" w14:textId="4B27BA64" w:rsidR="003A71A4" w:rsidRPr="008A32B0" w:rsidRDefault="00696C2F" w:rsidP="000571EC">
      <w:pPr>
        <w:adjustRightInd w:val="0"/>
        <w:snapToGrid w:val="0"/>
        <w:spacing w:line="480" w:lineRule="auto"/>
        <w:jc w:val="both"/>
        <w:rPr>
          <w:color w:val="000000" w:themeColor="text1"/>
        </w:rPr>
      </w:pPr>
      <w:r w:rsidRPr="008A32B0">
        <w:rPr>
          <w:color w:val="000000" w:themeColor="text1"/>
        </w:rPr>
        <w:t xml:space="preserve">Gunter Schumann: gunter.schumann1961@gmail.com and gunter.schumann@charite.de </w:t>
      </w:r>
    </w:p>
    <w:p w14:paraId="34B6FF80" w14:textId="195F3AC0" w:rsidR="00B77444" w:rsidRPr="008A32B0" w:rsidRDefault="00B77444" w:rsidP="000571EC">
      <w:pPr>
        <w:adjustRightInd w:val="0"/>
        <w:snapToGrid w:val="0"/>
        <w:spacing w:line="480" w:lineRule="auto"/>
        <w:jc w:val="both"/>
        <w:rPr>
          <w:color w:val="000000" w:themeColor="text1"/>
        </w:rPr>
      </w:pPr>
      <w:r w:rsidRPr="008A32B0">
        <w:rPr>
          <w:color w:val="000000" w:themeColor="text1"/>
        </w:rPr>
        <w:t>Wenlian Lu: wenlian@fudan.edu.cn</w:t>
      </w:r>
    </w:p>
    <w:p w14:paraId="51D294CA" w14:textId="77777777" w:rsidR="003A71A4" w:rsidRPr="008A32B0" w:rsidRDefault="00696C2F" w:rsidP="000571EC">
      <w:pPr>
        <w:adjustRightInd w:val="0"/>
        <w:snapToGrid w:val="0"/>
        <w:spacing w:line="480" w:lineRule="auto"/>
        <w:jc w:val="both"/>
        <w:rPr>
          <w:color w:val="000000" w:themeColor="text1"/>
        </w:rPr>
      </w:pPr>
      <w:r w:rsidRPr="008A32B0">
        <w:rPr>
          <w:color w:val="000000" w:themeColor="text1"/>
        </w:rPr>
        <w:t>† These authors contributed equally to this work.</w:t>
      </w:r>
    </w:p>
    <w:p w14:paraId="2910B82D" w14:textId="77777777" w:rsidR="001D5935" w:rsidRPr="008A32B0" w:rsidRDefault="001D5935" w:rsidP="000571EC">
      <w:pPr>
        <w:adjustRightInd w:val="0"/>
        <w:snapToGrid w:val="0"/>
        <w:spacing w:line="480" w:lineRule="auto"/>
        <w:jc w:val="both"/>
        <w:rPr>
          <w:color w:val="000000" w:themeColor="text1"/>
        </w:rPr>
      </w:pPr>
    </w:p>
    <w:p w14:paraId="6A2691E1" w14:textId="77777777" w:rsidR="001D5935" w:rsidRPr="000D31E6" w:rsidRDefault="001D5935">
      <w:pPr>
        <w:rPr>
          <w:b/>
          <w:bCs/>
          <w:color w:val="000000" w:themeColor="text1"/>
        </w:rPr>
      </w:pPr>
      <w:r w:rsidRPr="000D31E6">
        <w:rPr>
          <w:b/>
          <w:bCs/>
          <w:color w:val="000000" w:themeColor="text1"/>
        </w:rPr>
        <w:br w:type="page"/>
      </w:r>
    </w:p>
    <w:p w14:paraId="02E82864" w14:textId="1C3AF43D" w:rsidR="003A71A4" w:rsidRPr="000D31E6" w:rsidRDefault="00696C2F" w:rsidP="005F3E37">
      <w:pPr>
        <w:adjustRightInd w:val="0"/>
        <w:snapToGrid w:val="0"/>
        <w:spacing w:line="432" w:lineRule="auto"/>
        <w:jc w:val="both"/>
        <w:rPr>
          <w:b/>
          <w:bCs/>
          <w:color w:val="000000" w:themeColor="text1"/>
        </w:rPr>
      </w:pPr>
      <w:r w:rsidRPr="000D31E6">
        <w:rPr>
          <w:b/>
          <w:bCs/>
          <w:color w:val="000000" w:themeColor="text1"/>
        </w:rPr>
        <w:lastRenderedPageBreak/>
        <w:t>Abstract</w:t>
      </w:r>
    </w:p>
    <w:p w14:paraId="10393C7D" w14:textId="4ACE6785" w:rsidR="001D5935" w:rsidRPr="000D31E6" w:rsidRDefault="00696C2F" w:rsidP="005F3E37">
      <w:pPr>
        <w:adjustRightInd w:val="0"/>
        <w:snapToGrid w:val="0"/>
        <w:spacing w:line="432" w:lineRule="auto"/>
        <w:jc w:val="both"/>
        <w:rPr>
          <w:b/>
          <w:bCs/>
          <w:color w:val="000000" w:themeColor="text1"/>
        </w:rPr>
      </w:pPr>
      <w:r w:rsidRPr="008A32B0">
        <w:rPr>
          <w:color w:val="000000" w:themeColor="text1"/>
        </w:rPr>
        <w:t xml:space="preserve">Psychiatric drugs act on synapses, </w:t>
      </w:r>
      <w:r w:rsidR="004946B6" w:rsidRPr="008A32B0">
        <w:rPr>
          <w:color w:val="000000" w:themeColor="text1"/>
        </w:rPr>
        <w:t>but their effects reach symptoms only through distributed network dynamics</w:t>
      </w:r>
      <w:r w:rsidRPr="008A32B0">
        <w:rPr>
          <w:color w:val="000000" w:themeColor="text1"/>
        </w:rPr>
        <w:t xml:space="preserve">. We asked whether individualised spiking-network models, termed digital twin brains (DTBs), can be perturbed synaptically to probe a psychopathology-related circuit. In the IMAGEN cohort (n = 1,050) we derived the neuropsychopathology (NP) factor, a transdiagnostic task-connectivity phenotype that separated patients from controls in STRATIFY (n = 427). Calibration from 3 million to 1 billion neurons showed that </w:t>
      </w:r>
      <w:r w:rsidR="004946B6" w:rsidRPr="008A32B0">
        <w:rPr>
          <w:color w:val="000000" w:themeColor="text1"/>
        </w:rPr>
        <w:t xml:space="preserve">simulation </w:t>
      </w:r>
      <w:r w:rsidRPr="008A32B0">
        <w:rPr>
          <w:color w:val="000000" w:themeColor="text1"/>
        </w:rPr>
        <w:t xml:space="preserve">fidelity depends on the scale at which hyper-parameters are estimated, and simulation stability on neuron count. In 288 participants, virtual AMPA and GABA-A perturbations removed the significant case-control difference, and patients more often responded with increased NP connectivity. In two pharmacological fMRI datasets (27 healthy volunteers and 36 </w:t>
      </w:r>
      <w:r w:rsidR="00DA0033">
        <w:rPr>
          <w:color w:val="000000" w:themeColor="text1"/>
        </w:rPr>
        <w:t>MDD-HC</w:t>
      </w:r>
      <w:r w:rsidR="00DA0033">
        <w:rPr>
          <w:rFonts w:hint="eastAsia"/>
          <w:color w:val="000000" w:themeColor="text1"/>
          <w:lang w:eastAsia="zh-CN"/>
        </w:rPr>
        <w:t xml:space="preserve"> </w:t>
      </w:r>
      <w:r w:rsidRPr="008A32B0">
        <w:rPr>
          <w:color w:val="000000" w:themeColor="text1"/>
        </w:rPr>
        <w:t>participants), drug-induced connectivity changes followed the receptor-matched model direction, and ketamine moved patients and controls in opposite directions. Simulated baseline connectivity predicted four-year symptom change in 85 participants, whereas the measured connectivity did not. DTBs provide a platform for perturbational analysis of psychiatric circuits.</w:t>
      </w:r>
      <w:r w:rsidRPr="000D31E6">
        <w:rPr>
          <w:b/>
          <w:bCs/>
          <w:color w:val="000000" w:themeColor="text1"/>
        </w:rPr>
        <w:br w:type="page"/>
      </w:r>
    </w:p>
    <w:p w14:paraId="1531D4F4" w14:textId="68F15958" w:rsidR="003A71A4" w:rsidRPr="000D31E6" w:rsidRDefault="00696C2F" w:rsidP="000571EC">
      <w:pPr>
        <w:adjustRightInd w:val="0"/>
        <w:snapToGrid w:val="0"/>
        <w:spacing w:line="480" w:lineRule="auto"/>
        <w:jc w:val="both"/>
        <w:rPr>
          <w:b/>
          <w:bCs/>
          <w:color w:val="000000" w:themeColor="text1"/>
          <w:lang w:eastAsia="zh-CN"/>
        </w:rPr>
      </w:pPr>
      <w:r w:rsidRPr="000D31E6">
        <w:rPr>
          <w:b/>
          <w:bCs/>
          <w:color w:val="000000" w:themeColor="text1"/>
        </w:rPr>
        <w:lastRenderedPageBreak/>
        <w:t>Main</w:t>
      </w:r>
    </w:p>
    <w:p w14:paraId="2B91E53A" w14:textId="2D42FF38" w:rsidR="002C4E0F" w:rsidRPr="008A32B0" w:rsidRDefault="002C4E0F" w:rsidP="002C4E0F">
      <w:pPr>
        <w:spacing w:line="480" w:lineRule="auto"/>
        <w:jc w:val="both"/>
        <w:rPr>
          <w:color w:val="000000" w:themeColor="text1"/>
          <w:lang w:eastAsia="zh-CN"/>
        </w:rPr>
      </w:pPr>
      <w:r w:rsidRPr="008A32B0">
        <w:rPr>
          <w:color w:val="000000" w:themeColor="text1"/>
        </w:rPr>
        <w:t xml:space="preserve">Mental disorders are among the largest burdens on human health, yet advances in their biology have rarely translated into individually targeted interventions. </w:t>
      </w:r>
      <w:bookmarkStart w:id="0" w:name="_Hlk241355425"/>
      <w:r w:rsidRPr="008A32B0">
        <w:rPr>
          <w:color w:val="000000" w:themeColor="text1"/>
        </w:rPr>
        <w:t xml:space="preserve">One obstacle is the mismatch between the biological level at which psychiatric treatments act and the level at which psychopathology emerges: drugs act on molecular and synaptic processes, whereas symptoms </w:t>
      </w:r>
      <w:r w:rsidR="004946B6" w:rsidRPr="008A32B0">
        <w:rPr>
          <w:color w:val="000000" w:themeColor="text1"/>
        </w:rPr>
        <w:t>manifest through</w:t>
      </w:r>
      <w:r w:rsidRPr="008A32B0">
        <w:rPr>
          <w:color w:val="000000" w:themeColor="text1"/>
        </w:rPr>
        <w:t xml:space="preserve"> distributed neuronal circuits and large-scale brain-network dynamics</w:t>
      </w:r>
      <w:bookmarkStart w:id="1" w:name="_Hlk239851367"/>
      <w:r w:rsidRPr="008A32B0">
        <w:rPr>
          <w:color w:val="000000" w:themeColor="text1"/>
        </w:rPr>
        <w:fldChar w:fldCharType="begin"/>
      </w:r>
      <w:r w:rsidR="004946B6" w:rsidRPr="008A32B0">
        <w:rPr>
          <w:color w:val="000000" w:themeColor="text1"/>
        </w:rPr>
        <w:instrText xml:space="preserve"> ADDIN ZOTERO_ITEM CSL_CITATION {"citationID":"G6W5WJHg","properties":{"unsorted":false,"formattedCitation":"\\super 1\\nosupersub{}","plainCitation":"1","noteIndex":0},"citationItems":[{"id":"TYpNCDSl/IDFyszdt","uris":["http://zotero.org/users/11196491/items/E8NBY5P6"],"itemData":{"id":"wpzzfw7X/bgMBUhwM","type":"article-journal","container-title":"Neuron","DOI":"10.1016/j.neuron.2017.11.007","ISSN":"0896-6273","issue":"1","journalAbbreviation":"Neuron","language":"English","page":"14-31","PMID":"29301099","publisher":"Elsevier","source":"www.cell.com","title":"From Maps to Multi-dimensional Network Mechanisms of Mental Disorders","volume":"97","author":[{"family":"Braun","given":"Urs"},{"family":"Schaefer","given":"Axel"},{"family":"Betzel","given":"Richard F."},{"family":"Tost","given":"Heike"},{"family":"Meyer-Lindenberg","given":"Andreas"},{"family":"Bassett","given":"Danielle S."}],"issued":{"date-parts":[["2018",1,3]]}}}],"schema":"https://github.com/citation-style-language/schema/raw/master/csl-citation.json"} </w:instrText>
      </w:r>
      <w:r w:rsidRPr="008A32B0">
        <w:rPr>
          <w:color w:val="000000" w:themeColor="text1"/>
        </w:rPr>
        <w:fldChar w:fldCharType="separate"/>
      </w:r>
      <w:r w:rsidRPr="008A32B0">
        <w:rPr>
          <w:color w:val="000000" w:themeColor="text1"/>
          <w:vertAlign w:val="superscript"/>
        </w:rPr>
        <w:t>1</w:t>
      </w:r>
      <w:r w:rsidRPr="008A32B0">
        <w:rPr>
          <w:color w:val="000000" w:themeColor="text1"/>
        </w:rPr>
        <w:fldChar w:fldCharType="end"/>
      </w:r>
      <w:bookmarkEnd w:id="1"/>
      <w:r w:rsidRPr="008A32B0">
        <w:rPr>
          <w:color w:val="000000" w:themeColor="text1"/>
        </w:rPr>
        <w:t>. Linking these levels requires models that can be systemati</w:t>
      </w:r>
      <w:bookmarkEnd w:id="0"/>
      <w:r w:rsidRPr="008A32B0">
        <w:rPr>
          <w:color w:val="000000" w:themeColor="text1"/>
        </w:rPr>
        <w:t>cally perturbed rather than only observed. Digital Twin Brains (DTBs), by integrating individual neuroanatomy, physiology, and functional dynamics into a unified computational system, provide a potential framework for bridging these scales</w:t>
      </w:r>
      <w:r w:rsidRPr="008A32B0">
        <w:rPr>
          <w:color w:val="000000" w:themeColor="text1"/>
        </w:rPr>
        <w:fldChar w:fldCharType="begin"/>
      </w:r>
      <w:r w:rsidRPr="008A32B0">
        <w:rPr>
          <w:color w:val="000000" w:themeColor="text1"/>
        </w:rPr>
        <w:instrText xml:space="preserve"> ADDIN ZOTERO_ITEM CSL_CITATION {"citationID":"BfAhPhz8","properties":{"unsorted":false,"formattedCitation":"\\super 2\\uc0\\u8211{}6\\nosupersub{}","plainCitation":"2–6","noteIndex":0},"citationItems":[{"id":2813,"uris":["http://zotero.org/users/7033572/items/ERY2G992"],"itemData":{"id":2813,"type":"article-journal","abstract":"Can we construct a model of brain function that enables an understanding of whole-brain circuit mechanisms underlying neurological disease and use it to predict the outcome of therapeutic interventions? How are pathologies in neurological disease, some of which are observed to have spatial spreading mechanisms, associated with circuits and brain function? In this review, we discuss approaches that have been used to date and future directions that can be explored to answer these questions. By combining optogenetic functional magnetic resonance imaging (fMRI) with computational modeling, cell type–specific, large-scale brain circuit function and dysfunction are beginning to be quantitatively parameterized. We envision that these developments will pave the path for future therapeutics developments based on a systems engineering approach aimed at directly restoring brain function.","container-title":"Science","DOI":"10.1126/science.abq3868","issue":"6619","page":"493-499","publisher":"American Association for the Advancement of Science","source":"science.org (Atypon)","title":"Solving brain circuit function and dysfunction with computational modeling and optogenetic fMRI","volume":"378","author":[{"family":"Lee","given":"Jin Hyung"},{"family":"Liu","given":"Qin"},{"family":"Dadgar-Kiani","given":"Ehsan"}],"issued":{"date-parts":[["2022",11,4]]}}},{"id":1677,"uris":["http://zotero.org/users/7033572/items/JW5RK2EL"],"itemData":{"id":1677,"type":"article-journal","abstract":"Neurocomputational models of large-scale brain dynamics utilizing realistic connectivity matrices have advanced our understanding of the operational network principles in the brain. In particular, spontaneous or resting state activity has been studied on various scales of spatial and temporal organization including those that relate to physiological, encephalographic and hemodynamic data. In this article we focus on the brain from the perspective of a dynamic network and discuss the role of its network constituents in shaping brain dynamics. These constituents include the brain's structural connectivity, the population dynamics of its network nodes and the time delays involved in signal transmission. In addition, no discussion of brain dynamics would be complete without considering noise and stochastic effects. In fact, there is mounting evidence that the interaction between noise and dynamics plays an important functional role in shaping key brain processes. In particular, we discuss a unifying theoretical framework that explains how structured spatio-temporal resting state patterns emerge from noise driven explorations of unstable or stable oscillatory states. Embracing this perspective, we explore the consequences of network manipulations to understand some of the brain's dysfunctions, as well as network effects that offer new insights into routes towards therapy, recovery and brain repair. These collective insights will be at the core of a new computational environment, the Virtual Brain, which will allow flexible incorporation of empirical data constraining the brain models to integrate, unify and predict network responses to incipient pathological processes.","container-title":"Archives italiennes de biologie","journalAbbreviation":"Archives italiennes de biologie","page":"189-205","source":"ResearchGate","title":"Towards The Virtual Brain: network modeling of the intact and the damaged brain","title-short":"Towards The Virtual Brain","volume":"148","author":[{"family":"Jirsa","given":"V.K."},{"family":"Sporns","given":"Olaf"},{"family":"Breakspear","given":"Michael"},{"family":"Deco","given":"Gustavo"},{"family":"McIntosh","given":"A.R."}],"issued":{"date-parts":[["2010",9,1]]}}},{"id":2682,"uris":["http://zotero.org/users/7033572/items/VYBLCYH5"],"itemData":{"id":2682,"type":"article-journal","abstract":"The study of human brain networks with in vivo neuroimaging has given rise to the field of connectomics, furthered by advances in network science and graph theory informing our understanding of the topology and function of the healthy brain. Here our focus is on the disruption in neuropsychiatric disorders (pathoconnectomics) and how whole-brain computational models can help generate and predict the dynamical interactions and consequences of brain networks over many timescales. We review methods and emerging results that exhibit remarkable accuracy in mapping and predicting both spontaneous and task-based healthy network dynamics. This raises great expectations that whole-brain modeling and computational connectomics may provide an entry point for understanding brain disorders at a causal mechanistic level, and that computational neuropsychiatry can ultimately be leveraged to provide novel, more effective therapeutic interventions, e.g., through drug discovery and new targets for deep brain stimulation.","container-title":"Neuron","DOI":"10.1016/j.neuron.2014.08.034","ISSN":"1097-4199","issue":"5","journalAbbreviation":"Neuron","language":"eng","page":"892-905","PMID":"25475184","source":"PubMed","title":"Great expectations: using whole-brain computational connectomics for understanding neuropsychiatric disorders","title-short":"Great expectations","volume":"84","author":[{"family":"Deco","given":"Gustavo"},{"family":"Kringelbach","given":"Morten L."}],"issued":{"date-parts":[["2014",12,3]]}}},{"id":3017,"uris":["http://zotero.org/users/7033572/items/PH53FNYM"],"itemData":{"id":3017,"type":"article-journal","abstract":"Decades of neurobiological research have disclosed the diverse manners in which the response properties of neurons are dynamically modulated to support adaptive cognitive functions. This neuromodulation is achieved through alterations in the biophysical properties of the neuron. However, changes in cognitive function do not arise directly from the modulation of individual neurons, but are mediated by population dynamics in mesoscopic neural ensembles. Understanding this multiscale mapping is an important but nontrivial issue. Here, we bridge these different levels of description by showing how computational models parametrically map classic neuromodulatory processes onto systems-level models of neural activity. The ensuing critical balance of systems-level activity supports perception and action, although our knowledge of this mapping remains incomplete. In this way, quantitative models that link microscale neuronal neuromodulation to systems-level brain function highlight gaps in knowledge and suggest new directions for integrating theoretical and experimental work.","container-title":"Nature Neuroscience","DOI":"10.1038/s41593-021-00824-6","ISSN":"1546-1726","issue":"6","journalAbbreviation":"Nat Neurosci","language":"en","license":"2021 Crown","page":"765-776","publisher":"Nature Publishing Group","source":"www.nature.com","title":"Computational models link cellular mechanisms of neuromodulation to large-scale neural dynamics","volume":"24","author":[{"family":"Shine","given":"James M."},{"family":"Müller","given":"Eli J."},{"family":"Munn","given":"Brandon"},{"family":"Cabral","given":"Joana"},{"family":"Moran","given":"Rosalyn J."},{"family":"Breakspear","given":"Michael"}],"issued":{"date-parts":[["2021",6]]}}},{"id":2350,"uris":["http://zotero.org/users/7033572/items/DUUKTSIC"],"itemData":{"id":2350,"type":"article-journal","abstract":"The computational human brain model with voxel-wise assimilation method is established based on individual structural and functional imaging data. We found that the more resembling the brain was in both scale and architecture, the more similarity was found between the assimilated model and the biological brain both in resting states and during tasks by quantitative metrics. The hypothesis that resting state activity reflects internal body states was validated by the interoceptive circuit's capability to enhance the similarity between the simulation model and the biological brain. We identified that the removal of connections from the primary visual cortex (V1) to downstream visual pathways significantly decreased the similarity at the hippocampus between the model and its biological counterpart, despite a slight influence on the whole brain. In conclusion, the model and methodology present a solid quantitative framework of digital twin brain (DTB) for discovering the relationship between brain architecture and functions, and for digitally trying and testing diverse cognitive, medical, and lesioning approaches that could be otherwise infeasible to real subjects.","container-title":"National Science Review","DOI":"10.1093/nsr/nwae080","ISSN":"2095-5138","journalAbbreviation":"National Science Review","page":"nwae080","source":"Silverchair","title":"Imitating and exploring human brain's resting and task-performing states via resembling brain computing: scaling and architecture","title-short":"Imitating and exploring human brain's resting and task-performing states via resembling brain computing","author":[{"family":"Lu","given":"Wenlian"},{"family":"Zeng","given":"Longbin"},{"family":"Wang","given":"Jiexiang"},{"family":"Xiang","given":"Shitong"},{"family":"Qi","given":"Yang"},{"family":"Zheng","given":"Qibao"},{"family":"Xu","given":"Ningsheng"},{"family":"Feng","given":"Jianfeng"},{"literal":"DTB Consortium"}],"issued":{"date-parts":[["2024",3,1]]}}}],"schema":"https://github.com/citation-style-language/schema/raw/master/csl-citation.json"} </w:instrText>
      </w:r>
      <w:r w:rsidRPr="008A32B0">
        <w:rPr>
          <w:color w:val="000000" w:themeColor="text1"/>
        </w:rPr>
        <w:fldChar w:fldCharType="separate"/>
      </w:r>
      <w:r w:rsidR="004946B6" w:rsidRPr="008A32B0">
        <w:rPr>
          <w:rFonts w:cs="Times New Roman"/>
          <w:color w:val="000000"/>
          <w:vertAlign w:val="superscript"/>
        </w:rPr>
        <w:t>2–6</w:t>
      </w:r>
      <w:r w:rsidRPr="008A32B0">
        <w:rPr>
          <w:color w:val="000000" w:themeColor="text1"/>
        </w:rPr>
        <w:fldChar w:fldCharType="end"/>
      </w:r>
      <w:r w:rsidRPr="008A32B0">
        <w:rPr>
          <w:color w:val="000000" w:themeColor="text1"/>
        </w:rPr>
        <w:t>. R</w:t>
      </w:r>
      <w:r w:rsidRPr="008A32B0">
        <w:rPr>
          <w:color w:val="000000" w:themeColor="text1"/>
          <w:lang w:eastAsia="zh-CN"/>
        </w:rPr>
        <w:t>ecent</w:t>
      </w:r>
      <w:r w:rsidRPr="008A32B0">
        <w:rPr>
          <w:color w:val="000000" w:themeColor="text1"/>
        </w:rPr>
        <w:t xml:space="preserve"> DTB framework</w:t>
      </w:r>
      <w:r w:rsidRPr="008A32B0">
        <w:rPr>
          <w:color w:val="000000" w:themeColor="text1"/>
          <w:lang w:eastAsia="zh-CN"/>
        </w:rPr>
        <w:t>s</w:t>
      </w:r>
      <w:r w:rsidRPr="008A32B0">
        <w:rPr>
          <w:color w:val="000000" w:themeColor="text1"/>
        </w:rPr>
        <w:t xml:space="preserve"> can approximate large-scale neuronal dynamics using biologically constrained spiking neural networks grounded in individual anatomy and empirical BOLD signals</w:t>
      </w:r>
      <w:r w:rsidRPr="008A32B0">
        <w:rPr>
          <w:color w:val="000000" w:themeColor="text1"/>
        </w:rPr>
        <w:fldChar w:fldCharType="begin"/>
      </w:r>
      <w:r w:rsidRPr="008A32B0">
        <w:rPr>
          <w:color w:val="000000" w:themeColor="text1"/>
        </w:rPr>
        <w:instrText xml:space="preserve"> ADDIN ZOTERO_ITEM CSL_CITATION {"citationID":"7MKztzJ9","properties":{"unsorted":false,"formattedCitation":"\\super 6,7\\nosupersub{}","plainCitation":"6,7","noteIndex":0},"citationItems":[{"id":2350,"uris":["http://zotero.org/users/7033572/items/DUUKTSIC"],"itemData":{"id":2350,"type":"article-journal","abstract":"The computational human brain model with voxel-wise assimilation method is established based on individual structural and functional imaging data. We found that the more resembling the brain was in both scale and architecture, the more similarity was found between the assimilated model and the biological brain both in resting states and during tasks by quantitative metrics. The hypothesis that resting state activity reflects internal body states was validated by the interoceptive circuit's capability to enhance the similarity between the simulation model and the biological brain. We identified that the removal of connections from the primary visual cortex (V1) to downstream visual pathways significantly decreased the similarity at the hippocampus between the model and its biological counterpart, despite a slight influence on the whole brain. In conclusion, the model and methodology present a solid quantitative framework of digital twin brain (DTB) for discovering the relationship between brain architecture and functions, and for digitally trying and testing diverse cognitive, medical, and lesioning approaches that could be otherwise infeasible to real subjects.","container-title":"National Science Review","DOI":"10.1093/nsr/nwae080","ISSN":"2095-5138","journalAbbreviation":"National Science Review","page":"nwae080","source":"Silverchair","title":"Imitating and exploring human brain's resting and task-performing states via resembling brain computing: scaling and architecture","title-short":"Imitating and exploring human brain's resting and task-performing states via resembling brain computing","author":[{"family":"Lu","given":"Wenlian"},{"family":"Zeng","given":"Longbin"},{"family":"Wang","given":"Jiexiang"},{"family":"Xiang","given":"Shitong"},{"family":"Qi","given":"Yang"},{"family":"Zheng","given":"Qibao"},{"family":"Xu","given":"Ningsheng"},{"family":"Feng","given":"Jianfeng"},{"literal":"DTB Consortium"}],"issued":{"date-parts":[["2024",3,1]]}}},{"id":2690,"uris":["http://zotero.org/users/7033572/items/2RJ8RLMM"],"itemData":{"id":2690,"type":"article-journal","abstract":"Here we present the Digital Brain (DB)—a platform for simulating spiking neuronal networks at the large neuron scale of the human brain on the basis of personalized magnetic resonance imaging data and biological constraints. The DB aims to reproduce both the resting state and certain aspects of the action of the human brain. An architecture with up to 86 billion neurons and 14,012 GPUs—including a two-level routing scheme between GPUs to accelerate spike transmission in up to 47.8 trillion neuronal synapses—was implemented as part of the simulations. We show that the DB can reproduce blood-oxygen-level-dependent signals of the resting state of the human brain with a high correlation coefficient, as well as interact with its perceptual input, as demonstrated in a visual task. These results indicate the feasibility of implementing a digital representation of the human brain, which can open the door to a broad range of potential applications.","container-title":"Nature Computational Science","DOI":"10.1038/s43588-024-00731-3","ISSN":"2662-8457","issue":"12","journalAbbreviation":"Nat Comput Sci","language":"en","license":"2024 The Author(s), under exclusive licence to Springer Nature America, Inc.","page":"890-898","publisher":"Nature Publishing Group","source":"www.nature.com","title":"Simulation and assimilation of the digital human brain","volume":"4","author":[{"family":"Lu","given":"Wenlian"},{"family":"Du","given":"Xin"},{"family":"Wang","given":"Jiexiang"},{"family":"Zeng","given":"Longbin"},{"family":"Ye","given":"Leijun"},{"family":"Xiang","given":"Shitong"},{"family":"Zheng","given":"Qibao"},{"family":"Zhang","given":"Jie"},{"family":"Xu","given":"Ningsheng"},{"family":"Feng","given":"Jianfeng"}],"issued":{"date-parts":[["2024",12]]}}}],"schema":"https://github.com/citation-style-language/schema/raw/master/csl-citation.json"} </w:instrText>
      </w:r>
      <w:r w:rsidRPr="008A32B0">
        <w:rPr>
          <w:color w:val="000000" w:themeColor="text1"/>
        </w:rPr>
        <w:fldChar w:fldCharType="separate"/>
      </w:r>
      <w:r w:rsidRPr="008A32B0">
        <w:rPr>
          <w:color w:val="000000" w:themeColor="text1"/>
          <w:vertAlign w:val="superscript"/>
        </w:rPr>
        <w:t>6,7</w:t>
      </w:r>
      <w:r w:rsidRPr="008A32B0">
        <w:rPr>
          <w:color w:val="000000" w:themeColor="text1"/>
        </w:rPr>
        <w:fldChar w:fldCharType="end"/>
      </w:r>
      <w:r w:rsidRPr="008A32B0">
        <w:rPr>
          <w:color w:val="000000" w:themeColor="text1"/>
        </w:rPr>
        <w:t xml:space="preserve">. </w:t>
      </w:r>
      <w:r w:rsidRPr="000D31E6">
        <w:rPr>
          <w:color w:val="000000" w:themeColor="text1"/>
          <w:lang w:eastAsia="zh-CN"/>
        </w:rPr>
        <w:t xml:space="preserve">The next challenge is to move beyond descriptive simulation towards individualised models that can be systematically perturbed </w:t>
      </w:r>
      <w:r w:rsidRPr="000D31E6">
        <w:rPr>
          <w:rFonts w:eastAsia="微软雅黑" w:cs="微软雅黑"/>
          <w:color w:val="000000" w:themeColor="text1"/>
          <w:lang w:eastAsia="zh-CN"/>
        </w:rPr>
        <w:t xml:space="preserve">at the synaptic level </w:t>
      </w:r>
      <w:r w:rsidRPr="000D31E6">
        <w:rPr>
          <w:color w:val="000000" w:themeColor="text1"/>
          <w:lang w:eastAsia="zh-CN"/>
        </w:rPr>
        <w:t>and whose network responses can be tested against empirical pharmacological data.</w:t>
      </w:r>
    </w:p>
    <w:p w14:paraId="760A354A" w14:textId="2BAFBA5E" w:rsidR="002C4E0F" w:rsidRPr="008A32B0" w:rsidRDefault="008A2F89" w:rsidP="002C4E0F">
      <w:pPr>
        <w:spacing w:line="480" w:lineRule="auto"/>
        <w:jc w:val="both"/>
        <w:rPr>
          <w:color w:val="000000" w:themeColor="text1"/>
        </w:rPr>
      </w:pPr>
      <w:r w:rsidRPr="008A32B0">
        <w:rPr>
          <w:color w:val="000000" w:themeColor="text1"/>
        </w:rPr>
        <w:t xml:space="preserve">Neuroimaging studies have identified widespread alterations in functional brain networks across </w:t>
      </w:r>
      <w:r w:rsidRPr="008A32B0">
        <w:rPr>
          <w:color w:val="000000" w:themeColor="text1"/>
          <w:lang w:eastAsia="zh-CN"/>
        </w:rPr>
        <w:t xml:space="preserve">mental </w:t>
      </w:r>
      <w:r w:rsidRPr="008A32B0">
        <w:rPr>
          <w:color w:val="000000" w:themeColor="text1"/>
        </w:rPr>
        <w:t>disorders,</w:t>
      </w:r>
      <w:r w:rsidRPr="000D31E6">
        <w:rPr>
          <w:color w:val="000000" w:themeColor="text1"/>
        </w:rPr>
        <w:t xml:space="preserve"> including mood, anxiety, and substance use disorders,</w:t>
      </w:r>
      <w:r w:rsidRPr="008A32B0">
        <w:rPr>
          <w:color w:val="000000" w:themeColor="text1"/>
        </w:rPr>
        <w:t xml:space="preserve"> implicating circuits involved in reward processing, cognitive control, and salience attribution</w:t>
      </w:r>
      <w:r w:rsidRPr="008A32B0">
        <w:rPr>
          <w:color w:val="000000" w:themeColor="text1"/>
        </w:rPr>
        <w:fldChar w:fldCharType="begin"/>
      </w:r>
      <w:r w:rsidRPr="008A32B0">
        <w:rPr>
          <w:color w:val="000000" w:themeColor="text1"/>
        </w:rPr>
        <w:instrText xml:space="preserve"> ADDIN ZOTERO_ITEM CSL_CITATION {"citationID":"Qnw8VCV3","properties":{"unsorted":false,"formattedCitation":"\\super 8\\uc0\\u8211{}15\\nosupersub{}","plainCitation":"8–15","noteIndex":0},"citationItems":[{"id":2867,"uris":["http://zotero.org/users/7033572/items/XYQR754Y"],"itemData":{"id":2867,"type":"article-journal","abstract":"The reliability and validity of traditional taxonomies are limited by arbitrary boundaries between psychopathology and normality, often unclear boundaries between disorders, frequent disorder co-occurrence, heterogeneity within disorders, and diagnostic instability. These taxonomies went beyond evidence available on the structure of psychopathology and were shaped by a variety of other considerations, which may explain the aforementioned shortcomings. The Hierarchical Taxonomy Of Psychopathology (HiTOP) model has emerged as a research effort to address these problems. It constructs psychopathological syndromes and their components/subtypes based on the observed covariation of symptoms, grouping related symptoms together and thus reducing heterogeneity. It also combines co-occurring syndromes into spectra, thereby mapping out comorbidity. Moreover, it characterizes these phenomena dimensionally, which addresses boundary problems and diagnostic instability. Here, we review the development of the HiTOP and the relevant evidence. The new classification already covers most forms of psychopathology. Dimensional measures have been developed to assess many of the identified components, syndromes, and spectra. Several domains of this model are ready for clinical and research applications. The HiTOP promises to improve research and clinical practice by addressing the aforementioned shortcomings of traditional nosologies. It also provides an effective way to summarize and convey information on risk factors, etiology, pathophysiology, phenomenology, illness course, and treatment response. This can greatly improve the utility of the diagnosis of mental disorders. The new classification remains a work in progress. However, it is developing rapidly and is poised to advance mental health research and care significantly as the relevant science matures. (PsycINFO Database Record","container-title":"Journal of Abnormal Psychology","DOI":"10.1037/abn0000258","ISSN":"1939-1846","issue":"4","journalAbbreviation":"J Abnorm Psychol","language":"eng","page":"454-477","PMID":"28333488","source":"PubMed","title":"The Hierarchical Taxonomy of Psychopathology (HiTOP): A dimensional alternative to traditional nosologies","title-short":"The Hierarchical Taxonomy of Psychopathology (HiTOP)","volume":"126","author":[{"family":"Kotov","given":"Roman"},{"family":"Krueger","given":"Robert F."},{"family":"Watson","given":"David"},{"family":"Achenbach","given":"Thomas M."},{"family":"Althoff","given":"Robert R."},{"family":"Bagby","given":"R. Michael"},{"family":"Brown","given":"Timothy A."},{"family":"Carpenter","given":"William T."},{"family":"Caspi","given":"Avshalom"},{"family":"Clark","given":"Lee Anna"},{"family":"Eaton","given":"Nicholas R."},{"family":"Forbes","given":"Miriam K."},{"family":"Forbush","given":"Kelsie T."},{"family":"Goldberg","given":"David"},{"family":"Hasin","given":"Deborah"},{"family":"Hyman","given":"Steven E."},{"family":"Ivanova","given":"Masha Y."},{"family":"Lynam","given":"Donald R."},{"family":"Markon","given":"Kristian"},{"family":"Miller","given":"Joshua D."},{"family":"Moffitt","given":"Terrie E."},{"family":"Morey","given":"Leslie C."},{"family":"Mullins-Sweatt","given":"Stephanie N."},{"family":"Ormel","given":"Johan"},{"family":"Patrick","given":"Christopher J."},{"family":"Regier","given":"Darrel A."},{"family":"Rescorla","given":"Leslie"},{"family":"Ruggero","given":"Camilo J."},{"family":"Samuel","given":"Douglas B."},{"family":"Sellbom","given":"Martin"},{"family":"Simms","given":"Leonard J."},{"family":"Skodol","given":"Andrew E."},{"family":"Slade","given":"Tim"},{"family":"South","given":"Susan C."},{"family":"Tackett","given":"Jennifer L."},{"family":"Waldman","given":"Irwin D."},{"family":"Waszczuk","given":"Monika A."},{"family":"Widiger","given":"Thomas A."},{"family":"Wright","given":"Aidan G. C."},{"family":"Zimmerman","given":"Mark"}],"issued":{"date-parts":[["2017",5]]}}},{"id":2881,"uris":["http://zotero.org/users/7033572/items/U4C9SE2F"],"itemData":{"id":2881,"type":"article-journal","container-title":"The American Journal of Psychiatry","DOI":"10.1176/appi.ajp.2014.14020138","ISSN":"1535-7228","issue":"4","journalAbbreviation":"Am J Psychiatry","language":"eng","page":"395-397","PMID":"24687194","source":"PubMed","title":"The NIMH Research Domain Criteria (RDoC) Project: precision medicine for psychiatry","title-short":"The NIMH Research Domain Criteria (RDoC) Project","volume":"171","author":[{"family":"Insel","given":"Thomas R."}],"issued":{"date-parts":[["2014",4]]}}},{"id":2864,"uris":["http://zotero.org/users/7033572/items/ABS9W6P9"],"itemData":{"id":2864,"type":"article-journal","abstract":"Mental disorders traditionally have been viewed as distinct, episodic, and categorical conditions. This view has been challenged by evidence that many disorders are sequentially comorbid, recurrent/chronic, and exist on a continuum. Using the Dunedin Multidisciplinary Health and Development Study, we examined the structure of psychopathology, taking into account dimensionality, persistence, co-occurrence, and sequential comorbidity of mental disorders across 20 years, from adolescence to midlife. Psychiatric disorders were initially explained by three higher-order factors (Internalizing, Externalizing, and Thought Disorder) but explained even better with one General Psychopathology dimension. We have called this dimension the p factor because it conceptually parallels a familiar dimension in psychological science: the g factor of general intelligence. Higher p scores are associated with more life impairment, greater familiality, worse developmental histories, and more compromised early-life brain function. The p factor explains why it is challenging to find causes, consequences, biomarkers, and treatments with specificity to individual mental disorders. Transdiagnostic approaches may improve research.","container-title":"Clinical psychological science : a journal of the Association for Psychological Science","DOI":"10.1177/2167702613497473","ISSN":"2167-7026","issue":"2","journalAbbreviation":"Clin Psychol Sci","page":"119-137","PMID":"25360393","PMCID":"PMC4209412","source":"PubMed Central","title":"The p Factor: One General Psychopathology Factor in the Structure of Psychiatric Disorders?","title-short":"The p Factor","volume":"2","author":[{"family":"Caspi","given":"Avshalom"},{"family":"Houts","given":"Renate M."},{"family":"Belsky","given":"Daniel W."},{"family":"Goldman-Mellor","given":"Sidra J."},{"family":"Harrington","given":"HonaLee"},{"family":"Israel","given":"Salomon"},{"family":"Meier","given":"Madeline H."},{"family":"Ramrakha","given":"Sandhya"},{"family":"Shalev","given":"Idan"},{"family":"Poulton","given":"Richie"},{"family":"Moffitt","given":"Terrie E."}],"issued":{"date-parts":[["2014",3]]}}},{"id":2823,"uris":["http://zotero.org/users/7033572/items/WK2IQ4SL"],"itemData":{"id":2823,"type":"article-journal","abstract":"Several decades of neuroimaging research in psychiatry have shed light on structural and functional neural abnormalities associated with individual psychiatric disorders. However, there is increasing evidence for substantial overlap in the patterns of neural dysfunction seen across disorders, suggesting that risk for psychiatric illness may be shared across diagnostic boundaries. Gaining insights on the existence of shared neural mechanisms which may transdiagnostically underlie psychopathology is important for psychiatric research in order to tease apart the unique and common aspects of different disorders, but also clinically, so as to help identify individuals early on who may be biologically vulnerable to psychiatric disorder in general. In this narrative review, we first evaluate recent studies investigating the functional and structural neural correlates of a general psychopathology factor, which is thought to reflect the shared variance across common mental health symptoms and therefore index psychiatric vulnerability. We then link insights from this research to existing meta-analytic evidence for shared patterns of neural dysfunction across categorical psychiatric disorders. We conclude by providing an integrative account of vulnerability to mental illness, whereby delayed or disrupted maturation of large-scale networks (particularly default-mode, executive, and sensorimotor networks), and more generally between-network connectivity, results in a compromised ability to integrate and switch between internally and externally focused tasks.","container-title":"NeuroImage. Clinical","DOI":"10.1016/j.nicl.2021.102634","ISSN":"2213-1582","journalAbbreviation":"Neuroimage Clin","language":"eng","page":"102634","PMID":"33780864","PMCID":"PMC8022867","source":"PubMed","title":"Transdiagnostic neuroimaging markers of psychiatric risk: A narrative review","title-short":"Transdiagnostic neuroimaging markers of psychiatric risk","volume":"30","author":[{"family":"Vanes","given":"Lucy D."},{"family":"Dolan","given":"Raymond J."}],"issued":{"date-parts":[["2021"]]}}},{"id":2821,"uris":["http://zotero.org/users/7033572/items/JUZCVT66"],"itemData":{"id":2821,"type":"article-journal","abstract":"Psychiatric diagnoses are currently distinguished based on sets of specific symptoms. However, genetic and clinical analyses find similarities across a wide variety of diagnoses, suggesting that a common neurobiological substrate may exist across mental illness.To conduct a meta-analysis of structural neuroimaging studies across multiple psychiatric diagnoses, followed by parallel analyses of 3 large-scale healthy participant data sets to help interpret structural findings in the meta-analysis.PubMed was searched to identify voxel-based morphometry studies through July 2012 comparing psychiatric patients to healthy control individuals for the meta-analysis. The 3 parallel healthy participant data sets included resting-state functional magnetic resonance imaging, a database of activation foci across thousands of neuroimaging experiments, and a data set with structural imaging and cognitive task performance data.Studies were included in the meta-analysis if they reported voxel-based morphometry differences between patients with an Axis I diagnosis and control individuals in stereotactic coordinates across the whole brain, did not present predominantly in childhood, and had at least 10 studies contributing to that diagnosis (or across closely related diagnoses). The meta-analysis was conducted on peak voxel coordinates using an activation likelihood estimation approach.We tested for areas of common gray matter volume increase or decrease across Axis I diagnoses, as well as areas differing between diagnoses. Follow-up analyses on other healthy participant data sets tested connectivity related to regions arising from the meta-analysis and the relationship of gray matter volume to cognition.Based on the voxel-based morphometry meta-analysis of 193 studies comprising 15</w:instrText>
      </w:r>
      <w:r w:rsidRPr="008A32B0">
        <w:rPr>
          <w:rFonts w:ascii="Times New Roman" w:hAnsi="Times New Roman" w:cs="Times New Roman"/>
          <w:color w:val="000000" w:themeColor="text1"/>
        </w:rPr>
        <w:instrText> </w:instrText>
      </w:r>
      <w:r w:rsidRPr="008A32B0">
        <w:rPr>
          <w:color w:val="000000" w:themeColor="text1"/>
        </w:rPr>
        <w:instrText xml:space="preserve">892 individuals across 6 diverse diagnostic groups (schizophrenia, bipolar disorder, depression, addiction, obsessive-compulsive disorder, and anxiety), we found that gray matter loss converged across diagnoses in 3 regions: the dorsal anterior cingulate, right insula, and left insula. By contrast, there were few diagnosis-specific effects, distinguishing only schizophrenia and depression from other diagnoses. In the parallel follow-up analyses of the 3 independent healthy participant data sets, we found that the common gray matter loss regions formed a tightly interconnected network during tasks and at resting and that lower gray matter in this network was associated with poor executive functioning.We identified a concordance across psychiatric diagnoses in terms of integrity of an anterior insula/dorsal anterior cingulate–based network, which may relate to executive function deficits observed across diagnoses. This concordance provides an organizing model that emphasizes the importance of shared neural substrates across psychopathology, despite likely diverse etiologies, which is currently not an explicit component of psychiatric nosology.","container-title":"JAMA Psychiatry","DOI":"10.1001/jamapsychiatry.2014.2206","ISSN":"2168-622X","issue":"4","journalAbbreviation":"JAMA Psychiatry","page":"305-315","source":"Silverchair","title":"Identification of a Common Neurobiological Substrate for Mental Illness","volume":"72","author":[{"family":"Goodkind","given":"Madeleine"},{"family":"Eickhoff","given":"Simon B."},{"family":"Oathes","given":"Desmond J."},{"family":"Jiang","given":"Ying"},{"family":"Chang","given":"Andrew"},{"family":"Jones-Hagata","given":"Laura B."},{"family":"Ortega","given":"Brissa N."},{"family":"Zaiko","given":"Yevgeniya V."},{"family":"Roach","given":"Erika L."},{"family":"Korgaonkar","given":"Mayuresh S."},{"family":"Grieve","given":"Stuart M."},{"family":"Galatzer-Levy","given":"Isaac"},{"family":"Fox","given":"Peter T."},{"family":"Etkin","given":"Amit"}],"issued":{"date-parts":[["2015",4,1]]}}},{"id":2819,"uris":["http://zotero.org/users/7033572/items/88IMBGJL"],"itemData":{"id":2819,"type":"article-journal","abstract":"Objective:Cognitive deficits are a common feature of psychiatric disorders. The authors investigated the nature of disruptions in neural circuitry underlying cognitive control capacities across psychiatric disorders through a transdiagnostic neuroimaging meta-analysis.Method:A PubMed search was conducted for whole-brain functional neuroimaging articles published through June 2015 that compared activation in patients with axis I disorders and matched healthy control participants during cognitive control tasks. Tasks that probed performance or conflict monitoring, response inhibition or selection, set shifting, verbal fluency, and recognition or working memory were included. Activation likelihood estimation meta-analyses were conducted on peak voxel coordinates.Results:The 283 experiments submitted to meta-analysis included 5,728 control participants and 5,493 patients with various disorders (schizophrenia, bipolar or unipolar depression, anxiety disorders, and substance use disorders). Transdiagnostically abnormal activation was evident in the left prefrontal cortex as well as the anterior insula, the right ventrolateral prefrontal cortex, the right intraparietal sulcus, and the midcingulate/presupplementary motor area. Disruption was also observed in a more anterior cluster in the dorsal cingulate cortex, which overlapped with a network of structural perturbation that the authors previously reported in a transdiagnostic meta-analysis of gray matter volume.Conclusions:These findings demonstrate a common pattern of disruption across major psychiatric disorders that parallels the “multiple-demand network” observed in intact cognition. This network interfaces with the anterior-cingulo-insular or “salience network” demonstrated to be transdiagnostically vulnerable to gray matter reduction. Thus, networks intrinsic to adaptive, flexible cognition are vulnerable to broad-spectrum psychopathology. Dysfunction in these networks may reflect an intermediate transdiagnostic phenotype, which could be leveraged to advance therapeutics.","container-title":"American Journal of Psychiatry","DOI":"10.1176/appi.ajp.2017.16040400","ISSN":"0002-953X","issue":"7","journalAbbreviation":"AJP","page":"676-685","publisher":"American Psychiatric Publishing","source":"psychiatryonline.org (Atypon)","title":"Identification of Common Neural Circuit Disruptions in Cognitive Control Across Psychiatric Disorders","volume":"174","author":[{"family":"McTeague","given":"Lisa M."},{"family":"Huemer","given":"Julia"},{"family":"Carreon","given":"David M."},{"family":"Jiang","given":"Ying"},{"family":"Eickhoff","given":"Simon B."},{"family":"Etkin","given":"Amit"}],"issued":{"date-parts":[["2017",7]]}}},{"id":3103,"uris":["http://zotero.org/users/7033572/items/XQNPHUA8"],"itemData":{"id":3103,"type":"article-journal","abstract":"The impaired response inhibition and salience attribution (iRISA) model proposes that impaired response inhibition and salience attribution underlie drug seeking and taking. To update this model, we systematically reviewed 105 task-related neuroimaging studies (n &gt; 15/group) published since 2010. Results demonstrate specific impairments within six large-scale brain networks (reward, habit, salience, executive, memory, and self-directed networks) during drug cue exposure, decision making, inhibitory control, and social-emotional processing. Addicted individuals demonstrated increased recruitment of these networks during drug-related processing but a blunted response during non-drug-related processing, with the same networks also being implicated during resting state. Associations with real-life drug use, relapse, therapeutic interventions, and the relevance to initiation of drug use during adolescence support the clinical relevance of the results. Whereas the salience and executive networks showed impairments throughout the addiction cycle, the reward network was dysregulated at later stages of abuse. Effects were similar in alcohol, cannabis, and stimulant addiction.","container-title":"Neuron","DOI":"10.1016/j.neuron.2018.03.048","ISSN":"1097-4199","issue":"5","journalAbbreviation":"Neuron","language":"eng","page":"886-903","PMID":"29879391","PMCID":"PMC5995133","source":"PubMed","title":"Neuroimaging Impaired Response Inhibition and Salience Attribution in Human Drug Addiction: A Systematic Review","title-short":"Neuroimaging Impaired Response Inhibition and Salience Attribution in Human Drug Addiction","volume":"98","author":[{"family":"Zilverstand","given":"Anna"},{"family":"Huang","given":"Anna S."},{"family":"Alia-Klein","given":"Nelly"},{"family":"Goldstein","given":"Rita Z."}],"issued":{"date-parts":[["2018",6,6]]}}},{"id":3106,"uris":["http://zotero.org/users/7033572/items/T4CMV4CY"],"itemData":{"id":3106,"type":"article-journal","abstract":"Mood disorders are common and debilitating conditions characterized in part by profound deficits in reward-related behavioural domains. A recent literature has identified important structural and functional alterations within the brain's reward circuitry--particularly in the ventral tegmental area-nucleus accumbens pathway--that are associated with symptoms such as anhedonia and aberrant reward-associated perception and memory. This Review synthesizes recent data from human and rodent studies from which emerges a circuit-level framework for understanding reward deficits in depression. We also discuss some of the molecular and cellular underpinnings of this framework, ranging from adaptations in glutamatergic synapses and neurotrophic factors to transcriptional and epigenetic mechanisms.","container-title":"Nature Reviews. Neuroscience","DOI":"10.1038/nrn3381","ISSN":"1471-0048","issue":"9","journalAbbreviation":"Nat Rev Neurosci","language":"eng","page":"609-625","PMID":"23942470","PMCID":"PMC3867253","source":"PubMed","title":"The brain reward circuitry in mood disorders","volume":"14","author":[{"family":"Russo","given":"Scott J."},{"family":"Nestler","given":"Eric J."}],"issued":{"date-parts":[["2013",9]]}}}],"schema":"https://github.com/citation-style-language/schema/raw/master/csl-citation.json"} </w:instrText>
      </w:r>
      <w:r w:rsidRPr="008A32B0">
        <w:rPr>
          <w:color w:val="000000" w:themeColor="text1"/>
        </w:rPr>
        <w:fldChar w:fldCharType="separate"/>
      </w:r>
      <w:r w:rsidR="004946B6" w:rsidRPr="008A32B0">
        <w:rPr>
          <w:rFonts w:cs="Times New Roman"/>
          <w:color w:val="000000"/>
          <w:vertAlign w:val="superscript"/>
        </w:rPr>
        <w:t>8–15</w:t>
      </w:r>
      <w:r w:rsidRPr="008A32B0">
        <w:rPr>
          <w:color w:val="000000" w:themeColor="text1"/>
        </w:rPr>
        <w:fldChar w:fldCharType="end"/>
      </w:r>
      <w:r w:rsidRPr="008A32B0">
        <w:rPr>
          <w:color w:val="000000" w:themeColor="text1"/>
        </w:rPr>
        <w:t>. In IMAGEN, we previously mapped the circuitry of reward anticipation and its genetic determinants</w:t>
      </w:r>
      <w:r w:rsidRPr="008A32B0">
        <w:rPr>
          <w:color w:val="000000" w:themeColor="text1"/>
        </w:rPr>
        <w:fldChar w:fldCharType="begin"/>
      </w:r>
      <w:r w:rsidRPr="008A32B0">
        <w:rPr>
          <w:color w:val="000000" w:themeColor="text1"/>
        </w:rPr>
        <w:instrText xml:space="preserve"> ADDIN ZOTERO_ITEM CSL_CITATION {"citationID":"0s9M4qU7","properties":{"unsorted":false,"formattedCitation":"\\super 16\\nosupersub{}","plainCitation":"16","noteIndex":0},"citationItems":[{"id":3108,"uris":["http://zotero.org/users/7033572/items/U4DIJD3D"],"itemData":{"id":3108,"type":"article-journal","abstract":"Dysfunctional reward processing is implicated in various mental disorders, including attention deficit hyperactivity disorder (ADHD) and addictions. Such impairments might involve different components of the reward process, including brain activity during reward anticipation. We examined brain nodes engaged by reward anticipation in 1,544 adolescents and identified a network containing a core striatal node and cortical nodes facilitating outcome prediction and response preparation. Distinct nodes and functional connections were preferentially associated with either adolescent hyperactivity or alcohol consumption, thus conveying specificity of reward processing to clinically relevant behavior. We observed associations between the striatal node, hyperactivity, and the vacuolar protein sorting-associated protein 4A (VPS4A) gene in humans, and the causal role of Vps4 for hyperactivity was validated in Drosophila Our data provide a neurobehavioral model explaining the heterogeneity of reward-related behaviors and generate a hypothesis accounting for their enduring nature.","container-title":"Proceedings of the National Academy of Sciences of the United States of America","DOI":"10.1073/pnas.1503252113","ISSN":"1091-6490","issue":"14","journalAbbreviation":"Proc Natl Acad Sci U S A","language":"eng","page":"3879-3884","PMID":"27001827","PMCID":"PMC4833244","source":"PubMed","title":"Neural basis of reward anticipation and its genetic determinants","volume":"113","author":[{"family":"Jia","given":"Tianye"},{"family":"Macare","given":"Christine"},{"family":"Desrivières","given":"Sylvane"},{"family":"Gonzalez","given":"Dante A."},{"family":"Tao","given":"Chenyang"},{"family":"Ji","given":"Xiaoxi"},{"family":"Ruggeri","given":"Barbara"},{"family":"Nees","given":"Frauke"},{"family":"Banaschewski","given":"Tobias"},{"family":"Barker","given":"Gareth J."},{"family":"Bokde","given":"Arun L. W."},{"family":"Bromberg","given":"Uli"},{"family":"Büchel","given":"Christian"},{"family":"Conrod","given":"Patricia J."},{"family":"Dove","given":"Rachel"},{"family":"Frouin","given":"Vincent"},{"family":"Gallinat","given":"Jürgen"},{"family":"Garavan","given":"Hugh"},{"family":"Gowland","given":"Penny A."},{"family":"Heinz","given":"Andreas"},{"family":"Ittermann","given":"Bernd"},{"family":"Lathrop","given":"Mark"},{"family":"Lemaitre","given":"Hervé"},{"family":"Martinot","given":"Jean-Luc"},{"family":"Paus","given":"Tomáš"},{"family":"Pausova","given":"Zdenka"},{"family":"Poline","given":"Jean-Baptiste"},{"family":"Rietschel","given":"Marcella"},{"family":"Robbins","given":"Trevor"},{"family":"Smolka","given":"Michael N."},{"family":"Müller","given":"Christian P."},{"family":"Feng","given":"Jianfeng"},{"family":"Rothenfluh","given":"Adrian"},{"family":"Flor","given":"Herta"},{"family":"Schumann","given":"Gunter"},{"literal":"IMAGEN Consortium"}],"issued":{"date-parts":[["2016",4,5]]}}}],"schema":"https://github.com/citation-style-language/schema/raw/master/csl-citation.json"} </w:instrText>
      </w:r>
      <w:r w:rsidRPr="008A32B0">
        <w:rPr>
          <w:color w:val="000000" w:themeColor="text1"/>
        </w:rPr>
        <w:fldChar w:fldCharType="separate"/>
      </w:r>
      <w:r w:rsidRPr="008A32B0">
        <w:rPr>
          <w:rFonts w:cs="Times New Roman"/>
          <w:color w:val="000000" w:themeColor="text1"/>
          <w:vertAlign w:val="superscript"/>
        </w:rPr>
        <w:t>16</w:t>
      </w:r>
      <w:r w:rsidRPr="008A32B0">
        <w:rPr>
          <w:color w:val="000000" w:themeColor="text1"/>
        </w:rPr>
        <w:fldChar w:fldCharType="end"/>
      </w:r>
      <w:r w:rsidRPr="008A32B0">
        <w:rPr>
          <w:color w:val="000000" w:themeColor="text1"/>
        </w:rPr>
        <w:t>, dissociated the contributions of reward sensitivity, inhibitory control and emotional reactivity to externalising and internalising symptoms</w:t>
      </w:r>
      <w:r w:rsidRPr="008A32B0">
        <w:rPr>
          <w:color w:val="000000" w:themeColor="text1"/>
        </w:rPr>
        <w:fldChar w:fldCharType="begin"/>
      </w:r>
      <w:r w:rsidRPr="008A32B0">
        <w:rPr>
          <w:color w:val="000000" w:themeColor="text1"/>
        </w:rPr>
        <w:instrText xml:space="preserve"> ADDIN ZOTERO_ITEM CSL_CITATION {"citationID":"Ub68tXN6","properties":{"unsorted":false,"formattedCitation":"\\super 17\\nosupersub{}","plainCitation":"17","noteIndex":0},"citationItems":[{"id":1914,"uris":["http://zotero.org/users/7033572/items/WN28FM2I"],"itemData":{"id":1914,"type":"article-journal","abstract":"Reinforcement-related cognitive processes, such as reward processing, inhibitory control and social-emotional regulation are critical components of externalising and internalising behaviours. It is unclear to what extent the deficit in each of these processes contributes to individual behavioural symptoms, how their neural substrates give rise to distinct behavioural outcomes and whether neural activation profiles across different reinforcement-related processes might differentiate individual behaviours. We created a statistical framework that enabled us to directly compare functional brain activation during reward anticipation, motor inhibition and viewing emotional faces in the European IMAGEN cohort of 2,000 14-year-old adolescents. We observe significant correlations and modulation of reward anticipation and motor inhibition networks in hyperactivity, impulsivity, inattentive behaviour and conduct symptoms, and we describe neural signatures across cognitive tasks that differentiate these behaviours. We thus characterise shared and distinct functional brain activation patterns underling different externalising symptoms and identify neural stratification markers, while accounting for clinically observed comorbidity.","container-title":"Nature Human Behaviour","DOI":"10.1038/s41562-020-0846-5","ISSN":"2397-3374","issue":"5","journalAbbreviation":"Nat Hum Behav","language":"eng","page":"544-558","PMID":"32313235","source":"PubMed","title":"Neurobehavioural characterisation and stratification of reinforcement-related behaviour","volume":"4","author":[{"family":"Jia","given":"Tianye"},{"family":"Ing","given":"Alex"},{"family":"Quinlan","given":"Erin Burke"},{"family":"Tay","given":"Nicole"},{"family":"Luo","given":"Qiang"},{"family":"Francesca","given":"Biondo"},{"family":"Banaschewski","given":"Tobias"},{"family":"Barker","given":"Gareth J."},{"family":"Bokde","given":"Arun L. W."},{"family":"Bromberg","given":"Uli"},{"family":"Büchel","given":"Christian"},{"family":"Desrivières","given":"Sylvane"},{"family":"Feng","given":"Jianfeng"},{"family":"Flor","given":"Herta"},{"family":"Grigis","given":"Antoine"},{"family":"Garavan","given":"Hugh"},{"family":"Gowland","given":"Penny"},{"family":"Heinz","given":"Andreas"},{"family":"Ittermann","given":"Bernd"},{"family":"Martinot","given":"Jean-Luc"},{"family":"Martinot","given":"Marie-Laure Paillère"},{"family":"Nees","given":"Frauke"},{"family":"Orfanos","given":"Dimitri Papadopoulos"},{"family":"Paus","given":"Tomáš"},{"family":"Poustka","given":"Luise"},{"family":"Fröhner","given":"Juliane H."},{"family":"Smolka","given":"Michael N."},{"family":"Walter","given":"Henrik"},{"family":"Whelan","given":"Robert"},{"family":"Schumann","given":"Gunter"},{"literal":"IMAGEN Consortium"}],"issued":{"date-parts":[["2020",5]]}}}],"schema":"https://github.com/citation-style-language/schema/raw/master/csl-citation.json"} </w:instrText>
      </w:r>
      <w:r w:rsidRPr="008A32B0">
        <w:rPr>
          <w:color w:val="000000" w:themeColor="text1"/>
        </w:rPr>
        <w:fldChar w:fldCharType="separate"/>
      </w:r>
      <w:r w:rsidRPr="008A32B0">
        <w:rPr>
          <w:rFonts w:cs="Times New Roman"/>
          <w:color w:val="000000" w:themeColor="text1"/>
          <w:vertAlign w:val="superscript"/>
        </w:rPr>
        <w:t>17</w:t>
      </w:r>
      <w:r w:rsidRPr="008A32B0">
        <w:rPr>
          <w:color w:val="000000" w:themeColor="text1"/>
        </w:rPr>
        <w:fldChar w:fldCharType="end"/>
      </w:r>
      <w:r w:rsidRPr="008A32B0">
        <w:rPr>
          <w:color w:val="000000" w:themeColor="text1"/>
        </w:rPr>
        <w:t>, and identified distinct networks for externalising and internalising behaviour that predict future clinical symptoms</w:t>
      </w:r>
      <w:r w:rsidRPr="008A32B0">
        <w:rPr>
          <w:color w:val="000000" w:themeColor="text1"/>
        </w:rPr>
        <w:fldChar w:fldCharType="begin"/>
      </w:r>
      <w:r w:rsidRPr="008A32B0">
        <w:rPr>
          <w:color w:val="000000" w:themeColor="text1"/>
        </w:rPr>
        <w:instrText xml:space="preserve"> ADDIN ZOTERO_ITEM CSL_CITATION {"citationID":"kj96zLfp","properties":{"unsorted":false,"formattedCitation":"\\super 18\\nosupersub{}","plainCitation":"18","noteIndex":0},"citationItems":[{"id":2149,"uris":["http://zotero.org/users/7033572/items/76DHY33A"],"itemData":{"id":2149,"type":"article-journal","container-title":"Nature Human Behaviour","DOI":"10.1038/s41562-019-0738-8","ISSN":"2397-3374","issue":"12","journalAbbreviation":"Nat Hum Behav","language":"en","page":"1306-1318","source":"DOI.org (Crossref)","title":"Identification of neurobehavioural symptom groups based on shared brain mechanisms","volume":"3","author":[{"family":"Ing","given":"Alex"},{"family":"Sämann","given":"Philipp G."},{"family":"Chu","given":"Congying"},{"family":"Tay","given":"Nicole"},{"family":"Biondo","given":"Francesca"},{"family":"Robert","given":"Gabriel"},{"family":"Jia","given":"Tianye"},{"family":"Wolfers","given":"Thomas"},{"family":"Desrivières","given":"Sylvane"},{"family":"Banaschewski","given":"Tobias"},{"family":"Bokde","given":"Arun L. W."},{"family":"Bromberg","given":"Uli"},{"family":"Büchel","given":"Christian"},{"family":"Conrod","given":"Patricia"},{"family":"Fadai","given":"Tahmine"},{"family":"Flor","given":"Herta"},{"family":"Frouin","given":"Vincent"},{"family":"Garavan","given":"Hugh"},{"family":"Spechler","given":"Philip A."},{"family":"Gowland","given":"Penny"},{"family":"Grimmer","given":"Yvonne"},{"family":"Heinz","given":"Andreas"},{"family":"Ittermann","given":"Bernd"},{"family":"Kappel","given":"Viola"},{"family":"Martinot","given":"Jean-Luc"},{"family":"Meyer-Lindenberg","given":"Andreas"},{"family":"Millenet","given":"Sabina"},{"family":"Nees","given":"Frauke"},{"family":"Noort","given":"Betteke","non-dropping-particle":"van"},{"family":"Orfanos","given":"Dimitri Papadopoulos"},{"family":"Martinot","given":"Marie-Laure Paillère"},{"family":"Penttilä","given":"Jani"},{"family":"Poustka","given":"Luise"},{"family":"Quinlan","given":"Erin Burke"},{"family":"Smolka","given":"Michael N."},{"family":"Stringaris","given":"Argyris"},{"family":"Struve","given":"Maren"},{"family":"Veer","given":"Ilya M."},{"family":"Walter","given":"Henrik"},{"family":"Whelan","given":"Robert"},{"family":"Andreassen","given":"Ole A."},{"family":"Agartz","given":"Ingrid"},{"family":"Lemaitre","given":"Hervé"},{"family":"Barker","given":"Edward D."},{"family":"Ashburner","given":"John"},{"family":"Binder","given":"Elisabeth"},{"family":"Buitelaar","given":"Jan"},{"family":"Marquand","given":"Andre"},{"family":"Robbins","given":"Trevor W."},{"family":"Schumann","given":"Gunter"},{"literal":"IMAGEN Consortium"}],"issued":{"date-parts":[["2019",10,7]]}}}],"schema":"https://github.com/citation-style-language/schema/raw/master/csl-citation.json"} </w:instrText>
      </w:r>
      <w:r w:rsidRPr="008A32B0">
        <w:rPr>
          <w:color w:val="000000" w:themeColor="text1"/>
        </w:rPr>
        <w:fldChar w:fldCharType="separate"/>
      </w:r>
      <w:r w:rsidRPr="008A32B0">
        <w:rPr>
          <w:rFonts w:cs="Times New Roman"/>
          <w:color w:val="000000" w:themeColor="text1"/>
          <w:vertAlign w:val="superscript"/>
        </w:rPr>
        <w:t>18</w:t>
      </w:r>
      <w:r w:rsidRPr="008A32B0">
        <w:rPr>
          <w:color w:val="000000" w:themeColor="text1"/>
        </w:rPr>
        <w:fldChar w:fldCharType="end"/>
      </w:r>
      <w:r w:rsidRPr="008A32B0">
        <w:rPr>
          <w:color w:val="000000" w:themeColor="text1"/>
        </w:rPr>
        <w:t xml:space="preserve">. However, these findings are largely observational and cannot establish how molecular and synaptic perturbations shape </w:t>
      </w:r>
      <w:r w:rsidRPr="008A32B0">
        <w:rPr>
          <w:color w:val="000000" w:themeColor="text1"/>
          <w:lang w:eastAsia="zh-CN"/>
        </w:rPr>
        <w:t xml:space="preserve">distributed </w:t>
      </w:r>
      <w:r w:rsidRPr="008A32B0">
        <w:rPr>
          <w:color w:val="000000" w:themeColor="text1"/>
        </w:rPr>
        <w:t>brain networks during cognitive processing</w:t>
      </w:r>
      <w:r w:rsidRPr="008A32B0">
        <w:rPr>
          <w:color w:val="000000" w:themeColor="text1"/>
        </w:rPr>
        <w:fldChar w:fldCharType="begin"/>
      </w:r>
      <w:r w:rsidRPr="008A32B0">
        <w:rPr>
          <w:color w:val="000000" w:themeColor="text1"/>
        </w:rPr>
        <w:instrText xml:space="preserve"> ADDIN ZOTERO_ITEM CSL_CITATION {"citationID":"5BdUQVJJ","properties":{"unsorted":false,"formattedCitation":"\\super 19,20\\nosupersub{}","plainCitation":"19,20","noteIndex":0},"citationItems":[{"id":2699,"uris":["http://zotero.org/users/7033572/items/F3UB7UP2"],"itemData":{"id":2699,"type":"article-journal","container-title":"The Lancet","DOI":"10.1016/S0140-6736(18)31612-X","ISSN":"0140-6736, 1474-547X","issue":"10157","journalAbbreviation":"The Lancet","language":"English","page":"1553-1598","PMID":"30314863","publisher":"Elsevier","source":"www.thelancet.com","title":"The Lancet Commission on global mental health and sustainable development","volume":"392","author":[{"family":"Patel","given":"Vikram"},{"family":"Saxena","given":"Shekhar"},{"family":"Lund","given":"Crick"},{"family":"Thornicroft","given":"Graham"},{"family":"Baingana","given":"Florence"},{"family":"Bolton","given":"Paul"},{"family":"Chisholm","given":"Dan"},{"family":"Collins","given":"Pamela Y."},{"family":"Cooper","given":"Janice L."},{"family":"Eaton","given":"Julian"},{"family":"Herrman","given":"Helen"},{"family":"Herzallah","given":"Mohammad M."},{"family":"Huang","given":"Yueqin"},{"family":"Jordans","given":"Mark J. D."},{"family":"Kleinman","given":"Arthur"},{"family":"Medina-Mora","given":"Maria Elena"},{"family":"Morgan","given":"Ellen"},{"family":"Niaz","given":"Unaiza"},{"family":"Omigbodun","given":"Olayinka"},{"family":"Prince","given":"Martin"},{"family":"Rahman","given":"Atif"},{"family":"Saraceno","given":"Benedetto"},{"family":"Sarkar","given":"Bidyut K."},{"family":"Silva","given":"Mary De"},{"family":"Singh","given":"Ilina"},{"family":"Stein","given":"Dan J."},{"family":"Sunkel","given":"Charlene"},{"family":"UnÜtzer","given":"JÜrgen"}],"issued":{"date-parts":[["2018",10,27]]}}},{"id":2877,"uris":["http://zotero.org/users/7033572/items/K8CCR8EW"],"itemData":{"id":2877,"type":"article-journal","abstract":"Treatment-resistant depression (TRD) is common and associated with multiple serious public health implications. A consensus definition of TRD with demonstrated predictive utility in terms of clinical decision-making and health outcomes does not currently exist. Instead, a plethora of definitions have been proposed, which vary significantly in their conceptual framework. The absence of a consensus definition hampers precise estimates of the prevalence of TRD, and also belies efforts to identify risk factors, prevention opportunities, and effective interventions. In addition, it results in heterogeneity in clinical practice decision-making, adversely affecting quality of care. The US Food and Drug Administration (FDA) and the European Medicines Agency (EMA) have adopted the most used definition of TRD (i.e., inadequate response to a minimum of two antidepressants despite adequacy of the treatment trial and adherence to treatment). It is currently estimated that at least 30% of persons with depression meet this definition. A significant percentage of persons with TRD are actually pseudo-resistant (e.g., due to inadequacy of treatment trials or non-adherence to treatment). Although multiple sociodemographic, clinical, treatment and contextual factors are known to negatively moderate response in persons with depression, very few factors are regarded as predictive of non-response across multiple modalities of treatment. Intravenous ketamine and intranasal esketamine (co-administered with an antidepressant) are established as efficacious in the management of TRD. Some second-generation antipsychotics (e.g., aripiprazole, brexpiprazole, cariprazine, quetiapine XR) are proven effective as adjunctive treatments to antidepressants in partial responders, but only the olanzapine-fluoxetine combination has been studied in FDA-defined TRD. Repetitive transcranial magnetic stimulation (TMS) is established as effective and FDA-approved for individuals with TRD, with accelerated theta-burst TMS also recently showing efficacy. Electroconvulsive therapy is regarded as an effective acute and maintenance intervention in TRD, with preliminary evidence suggesting non-inferiority to acute intravenous ketamine. Evidence for extending antidepressant trial, medication switching and combining antidepressants is mixed. Manual-based psychotherapies are not established as efficacious on their own in TRD, but offer significant symptomatic relief when added to conventional antidepressants. Digital therapeutics are under study and represent a potential future clinical vista in this population.","container-title":"World psychiatry: official journal of the World Psychiatric Association (WPA)","DOI":"10.1002/wps.21120","ISSN":"1723-8617","issue":"3","journalAbbreviation":"World Psychiatry","language":"eng","page":"394-412","PMID":"37713549","PMCID":"PMC10503923","source":"PubMed","title":"Treatment-resistant depression: definition, prevalence, detection, management, and investigational interventions","title-short":"Treatment-resistant depression","volume":"22","author":[{"family":"McIntyre","given":"Roger S."},{"family":"Alsuwaidan","given":"Mohammad"},{"family":"Baune","given":"Bernhard T."},{"family":"Berk","given":"Michael"},{"family":"Demyttenaere","given":"Koen"},{"family":"Goldberg","given":"Joseph F."},{"family":"Gorwood","given":"Philip"},{"family":"Ho","given":"Roger"},{"family":"Kasper","given":"Siegfried"},{"family":"Kennedy","given":"Sidney H."},{"family":"Ly-Uson","given":"Josefina"},{"family":"Mansur","given":"Rodrigo B."},{"family":"McAllister-Williams","given":"R. Hamish"},{"family":"Murrough","given":"James W."},{"family":"Nemeroff","given":"Charles B."},{"family":"Nierenberg","given":"Andrew A."},{"family":"Rosenblat","given":"Joshua D."},{"family":"Sanacora","given":"Gerard"},{"family":"Schatzberg","given":"Alan F."},{"family":"Shelton","given":"Richard"},{"family":"Stahl","given":"Stephen M."},{"family":"Trivedi","given":"Madhukar H."},{"family":"Vieta","given":"Eduard"},{"family":"Vinberg","given":"Maj"},{"family":"Williams","given":"Nolan"},{"family":"Young","given":"Allan H."},{"family":"Maj","given":"Mario"}],"issued":{"date-parts":[["2023",10]]}}}],"schema":"https://github.com/citation-style-language/schema/raw/master/csl-citation.json"} </w:instrText>
      </w:r>
      <w:r w:rsidRPr="008A32B0">
        <w:rPr>
          <w:color w:val="000000" w:themeColor="text1"/>
        </w:rPr>
        <w:fldChar w:fldCharType="separate"/>
      </w:r>
      <w:r w:rsidRPr="008A32B0">
        <w:rPr>
          <w:rFonts w:cs="Times New Roman"/>
          <w:color w:val="000000" w:themeColor="text1"/>
          <w:vertAlign w:val="superscript"/>
        </w:rPr>
        <w:t>19,20</w:t>
      </w:r>
      <w:r w:rsidRPr="008A32B0">
        <w:rPr>
          <w:color w:val="000000" w:themeColor="text1"/>
        </w:rPr>
        <w:fldChar w:fldCharType="end"/>
      </w:r>
      <w:r w:rsidRPr="008A32B0">
        <w:rPr>
          <w:color w:val="000000" w:themeColor="text1"/>
        </w:rPr>
        <w:t>.</w:t>
      </w:r>
    </w:p>
    <w:p w14:paraId="68F4D1FB" w14:textId="5A99F0E3" w:rsidR="00A17910" w:rsidRPr="008A32B0" w:rsidRDefault="0037342F" w:rsidP="001F48DA">
      <w:pPr>
        <w:spacing w:line="480" w:lineRule="auto"/>
        <w:jc w:val="both"/>
        <w:rPr>
          <w:color w:val="000000" w:themeColor="text1"/>
        </w:rPr>
      </w:pPr>
      <w:r w:rsidRPr="000D31E6">
        <w:rPr>
          <w:color w:val="000000" w:themeColor="text1"/>
        </w:rPr>
        <w:lastRenderedPageBreak/>
        <w:t>This requires a biologically grounded phenotype that can be represented and perturbed within a digital twin.</w:t>
      </w:r>
      <w:r w:rsidRPr="000D31E6">
        <w:rPr>
          <w:color w:val="000000" w:themeColor="text1"/>
          <w:lang w:eastAsia="zh-CN"/>
        </w:rPr>
        <w:t xml:space="preserve"> </w:t>
      </w:r>
      <w:r w:rsidRPr="000D31E6">
        <w:rPr>
          <w:color w:val="000000" w:themeColor="text1"/>
        </w:rPr>
        <w:t>Individuals sharing a diagnosis can differ substantially in their neurobiology, while similar biological alterations occur across diagnostic categories. Dimensional and transdiagnostic approaches therefore seek phenotypes that capture clinically relevant variation across diagnostic boundaries</w:t>
      </w:r>
      <w:r w:rsidRPr="000D31E6">
        <w:rPr>
          <w:color w:val="000000" w:themeColor="text1"/>
        </w:rPr>
        <w:fldChar w:fldCharType="begin"/>
      </w:r>
      <w:r w:rsidRPr="000D31E6">
        <w:rPr>
          <w:color w:val="000000" w:themeColor="text1"/>
        </w:rPr>
        <w:instrText xml:space="preserve"> ADDIN ZOTERO_ITEM CSL_CITATION {"citationID":"hWdBA0sP","properties":{"unsorted":false,"formattedCitation":"\\super 18,21,22\\nosupersub{}","plainCitation":"18,21,22","noteIndex":0},"citationItems":[{"id":2149,"uris":["http://zotero.org/users/7033572/items/76DHY33A"],"itemData":{"id":2149,"type":"article-journal","container-title":"Nature Human Behaviour","DOI":"10.1038/s41562-019-0738-8","ISSN":"2397-3374","issue":"12","journalAbbreviation":"Nat Hum Behav","language":"en","page":"1306-1318","source":"DOI.org (Crossref)","title":"Identification of neurobehavioural symptom groups based on shared brain mechanisms","volume":"3","author":[{"family":"Ing","given":"Alex"},{"family":"Sämann","given":"Philipp G."},{"family":"Chu","given":"Congying"},{"family":"Tay","given":"Nicole"},{"family":"Biondo","given":"Francesca"},{"family":"Robert","given":"Gabriel"},{"family":"Jia","given":"Tianye"},{"family":"Wolfers","given":"Thomas"},{"family":"Desrivières","given":"Sylvane"},{"family":"Banaschewski","given":"Tobias"},{"family":"Bokde","given":"Arun L. W."},{"family":"Bromberg","given":"Uli"},{"family":"Büchel","given":"Christian"},{"family":"Conrod","given":"Patricia"},{"family":"Fadai","given":"Tahmine"},{"family":"Flor","given":"Herta"},{"family":"Frouin","given":"Vincent"},{"family":"Garavan","given":"Hugh"},{"family":"Spechler","given":"Philip A."},{"family":"Gowland","given":"Penny"},{"family":"Grimmer","given":"Yvonne"},{"family":"Heinz","given":"Andreas"},{"family":"Ittermann","given":"Bernd"},{"family":"Kappel","given":"Viola"},{"family":"Martinot","given":"Jean-Luc"},{"family":"Meyer-Lindenberg","given":"Andreas"},{"family":"Millenet","given":"Sabina"},{"family":"Nees","given":"Frauke"},{"family":"Noort","given":"Betteke","non-dropping-particle":"van"},{"family":"Orfanos","given":"Dimitri Papadopoulos"},{"family":"Martinot","given":"Marie-Laure Paillère"},{"family":"Penttilä","given":"Jani"},{"family":"Poustka","given":"Luise"},{"family":"Quinlan","given":"Erin Burke"},{"family":"Smolka","given":"Michael N."},{"family":"Stringaris","given":"Argyris"},{"family":"Struve","given":"Maren"},{"family":"Veer","given":"Ilya M."},{"family":"Walter","given":"Henrik"},{"family":"Whelan","given":"Robert"},{"family":"Andreassen","given":"Ole A."},{"family":"Agartz","given":"Ingrid"},{"family":"Lemaitre","given":"Hervé"},{"family":"Barker","given":"Edward D."},{"family":"Ashburner","given":"John"},{"family":"Binder","given":"Elisabeth"},{"family":"Buitelaar","given":"Jan"},{"family":"Marquand","given":"Andre"},{"family":"Robbins","given":"Trevor W."},{"family":"Schumann","given":"Gunter"},{"literal":"IMAGEN Consortium"}],"issued":{"date-parts":[["2019",10,7]]}}},{"id":2782,"uris":["http://zotero.org/users/7033572/items/TBYT3ZXT"],"itemData":{"id":2782,"type":"article-journal","abstract":"Mental disorders represent an increasing personal and financial burden and yet treatment development has stagnated in recent decades. Current disease classifications do not reflect psychobiological mechanisms of psychopathology, nor the complex interplay of genetic and environmental factors, likely contributing to this stagnation. Ten years ago, the longitudinal IMAGEN study was designed to comprehensively incorporate neuroimaging, genetics, and environmental factors to investigate the neural basis of reinforcement-related behavior in normal adolescent development and psychopathology. In this article, we describe how insights into the psychobiological mechanisms of clinically relevant symptoms obtained by innovative integrative methodologies applied in IMAGEN have informed our current and future research aims. These aims include the identification of symptom groups that are based on shared psychobiological mechanisms and the development of markers that predict disease course and treatment response in clinical groups. These improvements in precision medicine will be achieved, in part, by employing novel methodological tools that refine the biological systems we target. We will also implement our approach in low- and medium-income countries to understand how distinct environmental, socioeconomic, and cultural conditions influence the development of psychopathology. Together, IMAGEN and related initiatives strive to reduce the burden of mental disorders by developing precision medicine approaches globally.","container-title":"Molecular Psychiatry","DOI":"10.1038/s41380-019-0555-5","ISSN":"1476-5578","issue":"2","journalAbbreviation":"Mol Psychiatry","language":"en","license":"2019 Springer Nature Limited","page":"243-253","publisher":"Nature Publishing Group","source":"www.nature.com","title":"Identifying biological markers for improved precision medicine in psychiatry","volume":"25","author":[{"family":"Quinlan","given":"Erin Burke"},{"family":"Banaschewski","given":"Tobias"},{"family":"Barker","given":"Gareth J."},{"family":"Bokde","given":"Arun L. W."},{"family":"Bromberg","given":"Uli"},{"family":"Büchel","given":"Christian"},{"family":"Desrivières","given":"Sylvane"},{"family":"Flor","given":"Herta"},{"family":"Frouin","given":"Vincent"},{"family":"Garavan","given":"Hugh"},{"family":"Heinz","given":"Andreas"},{"family":"Brühl","given":"Rüdiger"},{"family":"Martinot","given":"Jean-Luc"},{"family":"Paillère Martinot","given":"Marie-Laure"},{"family":"Nees","given":"Frauke"},{"family":"Orfanos","given":"Dimitri Papadopoulos"},{"family":"Paus","given":"Tomáš"},{"family":"Poustka","given":"Luise"},{"family":"Hohmann","given":"Sarah"},{"family":"Smolka","given":"Michael N."},{"family":"Fröhner","given":"Juliane H."},{"family":"Walter","given":"Henrik"},{"family":"Whelan","given":"Robert"},{"family":"Schumann","given":"Gunter"}],"issued":{"date-parts":[["2020",2]]}}},{"id":3096,"uris":["http://zotero.org/users/7033572/items/6XDS6D5L"],"itemData":{"id":3096,"type":"article-journal","abstract":"Psychiatric diagnoses are not defined by neurobiological measures hindering the development of therapies targeting mechanisms underlying mental illness. Research confined to diagnostic boundaries yields heterogeneous biological results, whereas transdiagnostic studies often investigate individual symptoms in isolation.To develop a framework that groups clinical symptoms compatible with ICD-10 and DSM-5 according to their covariation and shared brain mechanisms.This diagnostic study was conducted in 2 samples, the population-based Reinforcement-Related Behaviour in Normal Brain Function and Psychopathology (IMAGEN) cohort (longitudinal assessments at 14, 19, and 23 years; study duration from March 2010 to the present) and the cross-diagnostic Brain Network Based Stratification of Mental Illness (STRATIFY)/Earlier Detection and Stratification of Eating Disorders and Comorbid Mental Illnesses (ESTRA) samples (study duration from October 2016 to September 2023). The samples are from 8 clinical research hospitals in Germany, the UK, France, and Ireland. For the population-based IMAGEN study, 794 of 1253 23-year-old participants had complete assessments including complete clinical assessments and neuroimaging data across all time points. For the cross-diagnostic STRATIFY/ESTRA samples, 209 of 485 participants aged 18 to 26 years had complete clinical and neuroimaging data. The sample included healthy control individuals and patients with alcohol use disorder, major depressive disorder, anorexia nervosa, and bulimia nervosa.Sparse generalized canonical correlation analysis was used to integrate diverse data from clinical symptoms and 7 brain imaging modalities.The prediction of symptom features was the main outcome. The model was developed in the training set from the IMAGEN Study at age 23 years (70%), then applied in the remaining holdout test sample (30%), the independent STRATIFY/ESTRA patient sample, and longitudinally in the IMAGEN set.In total, 1003 participants were included (425 male and 578 female; mean [SD] age, 22.1 [1.5] years). The reassembly of existing ICD-10 and DSM-5 symptoms revealed 6 cross-diagnostic psychopathology scores. They were consistently associated with multimodal neuroimaging components: excitability and impulsivity (training set: r, 0.26; 95% CI, 0.18-0.33; test set: r, 0.22; 95% CI, 0.10-0.35; STRATIFY/ESTRA set: r, 0.19; 95% CI, 0.07-0.31), depressive mood and distress (training: r, 0.30; 95% CI, 0.20-0.38; test: r, 0.22; 95% CI, 0.09-0.35; STRATIFY/ESTRA: r, 0.19; 95% CI, 0.04-0.33), emotional and behavioral dysregulation (training: r, 0.40; 95% CI, 0.31-0.48; test: r, 0.17; 95% CI, 0.14-0.36; STRATIFY/ESTRA: r, 0.19; 95% CI, 0.06-0.30), stress pathology (training: r, 0.32; 95% CI, 0.19-0.43; test: r, 0.14; 95% CI, 0.05-0.23; STRATIFY/ESTRA: r, 0.12; 95% CI, 0.01-0.22), eating pathology (training: r, 0.34; 95% CI, 0.25-0.42; test: r, 0.26; 95% CI, 0.15-0.37; STRATIFY/ESTRA: r, 0.15; 95% CI, 0.12-0.34), and social fear and avoidance symptoms (training: r, 0.31; 95% CI, 0.25-0.42; test: r, 0.18; 95% CI, 0.15-0.35; STRATIFY/ESTRA: r, 0.12; 95% CI, 0.12-0.33).In this study, the identification of symptom groups of mental illness robustly defined by precisely characterized brain mechanisms enabled the characterization of dimensions of psychopathology based on quantifiable neurobiological measures.","container-title":"JAMA Psychiatry","DOI":"10.1001/jamapsychiatry.2025.1246","ISSN":"2168-622X","issue":"8","journalAbbreviation":"JAMA Psychiatry","page":"778-789","source":"Silverchair","title":"Framework for Brain-Derived Dimensions of Psychopathology","volume":"82","author":[{"family":"Lett","given":"Tristram A."},{"family":"Vaidya","given":"Nilakshi"},{"family":"Jia","given":"Tianye"},{"family":"Polemiti","given":"Elli"},{"family":"Banaschewski","given":"Tobias"},{"family":"Bokde","given":"Arun L. W."},{"family":"Flor","given":"Herta"},{"family":"Grigis","given":"Antoine"},{"family":"Garavan","given":"Hugh"},{"family":"Gowland","given":"Penny"},{"family":"Heinz","given":"Andreas"},{"family":"Brühl","given":"Rüdiger"},{"family":"Martinot","given":"Jean-Luc"},{"family":"Paillère Martinot","given":"Marie-Laure"},{"family":"Artiges","given":"Eric"},{"family":"Nees","given":"Frauke"},{"family":"Papadopoulos Orfanos","given":"Dimitri"},{"family":"Lemaitre","given":"Herve"},{"family":"Paus","given":"Tomáš"},{"family":"Poustka","given":"Luise"},{"family":"Stringaris","given":"Argyris"},{"family":"Waller","given":"Lea"},{"family":"Zhang","given":"Zuo"},{"family":"Winterer","given":"Jeanne"},{"family":"Zhang","given":"Yuning"},{"family":"Smolka","given":"Michael N."},{"family":"Whelan","given":"Robert"},{"family":"Schmidt","given":"Ulrike"},{"family":"Sinclair","given":"Julia"},{"family":"Walter","given":"Henrik"},{"family":"Feng","given":"Jianfeng"},{"family":"Robbins","given":"Trevor W."},{"family":"Desrivières","given":"Sylvane"},{"family":"Marquand","given":"Andre"},{"family":"Schumann","given":"Gunter"},{"literal":"IMAGEN Consortium and the environMENTAL Consortium"}],"issued":{"date-parts":[["2025",8,1]]}}}],"schema":"https://github.com/citation-style-language/schema/raw/master/csl-citation.json"} </w:instrText>
      </w:r>
      <w:r w:rsidRPr="000D31E6">
        <w:rPr>
          <w:color w:val="000000" w:themeColor="text1"/>
        </w:rPr>
        <w:fldChar w:fldCharType="separate"/>
      </w:r>
      <w:r w:rsidRPr="008A32B0">
        <w:rPr>
          <w:rFonts w:cs="Times New Roman"/>
          <w:color w:val="000000" w:themeColor="text1"/>
          <w:vertAlign w:val="superscript"/>
        </w:rPr>
        <w:t>18,21,22</w:t>
      </w:r>
      <w:r w:rsidRPr="000D31E6">
        <w:rPr>
          <w:color w:val="000000" w:themeColor="text1"/>
        </w:rPr>
        <w:fldChar w:fldCharType="end"/>
      </w:r>
      <w:r w:rsidRPr="000D31E6">
        <w:rPr>
          <w:color w:val="000000" w:themeColor="text1"/>
        </w:rPr>
        <w:t>. The neuropsychopathology (NP) factor provides such a connectivity-based dimensional phenotype</w:t>
      </w:r>
      <w:r w:rsidRPr="000D31E6">
        <w:rPr>
          <w:color w:val="000000" w:themeColor="text1"/>
        </w:rPr>
        <w:fldChar w:fldCharType="begin"/>
      </w:r>
      <w:r w:rsidRPr="000D31E6">
        <w:rPr>
          <w:color w:val="000000" w:themeColor="text1"/>
        </w:rPr>
        <w:instrText xml:space="preserve"> ADDIN ZOTERO_ITEM CSL_CITATION {"citationID":"H49xSOTI","properties":{"unsorted":false,"formattedCitation":"\\super 23\\nosupersub{}","plainCitation":"23","noteIndex":0},"citationItems":[{"id":2192,"uris":["http://zotero.org/users/7033572/items/R6IMB2SL"],"itemData":{"id":2192,"type":"article-journal","abstract":"Recent studies proposed a general psychopathology factor underlying common comorbidities among psychiatric disorders. However, its neurobiological mechanisms and generalizability remain elusive. In this study, we used a large longitudinal neuroimaging cohort from adolescence to young adulthood (IMAGEN) to define a neuropsychopathological (NP) factor across externalizing and internalizing symptoms using multitask connectomes. We demonstrate that this NP factor might represent a unified, genetically determined, delayed development of the prefrontal cortex that further leads to poor executive function. We also show this NP factor to be reproducible in multiple developmental periods, from preadolescence to early adulthood, and generalizable to the resting-state connectome and clinical samples (the ADHD-200 Sample and the Stratify Project). In conclusion, we identify a reproducible and general neural basis underlying symptoms of multiple mental health disorders, bridging multidimensional evidence from behavioral, neuroimaging and genetic substrates. These findings may help to develop new therapeutic interventions for psychiatric comorbidities.","container-title":"Nature Medicine","DOI":"10.1038/s41591-023-02317-4","ISSN":"1546-170X","issue":"5","journalAbbreviation":"Nat Med","language":"en","license":"2023 The Author(s)","note":"number: 5","page":"1232-1242","publisher":"Nature Publishing Group","source":"www.nature.com","title":"A shared neural basis underlying psychiatric comorbidity","volume":"29","author":[{"family":"Xie","given":"Chao"},{"family":"Xiang","given":"Shitong"},{"family":"Shen","given":"Chun"},{"family":"Peng","given":"Xuerui"},{"family":"Kang","given":"Jujiao"},{"family":"Li","given":"Yuzhu"},{"family":"Cheng","given":"Wei"},{"family":"He","given":"Shiqi"},{"family":"Banaschewski","given":"Tobias"},{"family":"Barker","given":"Gareth J."},{"family":"Bokde","given":"Arun L. W."},{"family":"Bromberg","given":"Uli"},{"family":"Büchel","given":"Christian"},{"family":"Desrivières","given":"Sylvane"},{"family":"Flor","given":"Herta"},{"family":"Grigis","given":"Antoine"},{"family":"Garavan","given":"Hugh"},{"family":"Gowland","given":"Penny"},{"family":"Heinz","given":"Andreas"},{"family":"Ittermann","given":"Bernd"},{"family":"Martinot","given":"Jean-Luc"},{"family":"Martinot","given":"Marie-Laure Paillère"},{"family":"Nees","given":"Frauke"},{"family":"Orfanos","given":"Dimitri Papadopoulos"},{"family":"Paus","given":"Tomáš"},{"family":"Poustka","given":"Luise"},{"family":"Fröhner","given":"Juliane H."},{"family":"Smolka","given":"Michael N."},{"family":"Walter","given":"Henrik"},{"family":"Whelan","given":"Robert"},{"family":"Sahakian","given":"Barbara J."},{"family":"Robbins","given":"Trevor W."},{"family":"Schumann","given":"Gunter"},{"family":"Jia","given":"Tianye"},{"family":"Feng","given":"Jianfeng"}],"issued":{"date-parts":[["2023",5]]}}}],"schema":"https://github.com/citation-style-language/schema/raw/master/csl-citation.json"} </w:instrText>
      </w:r>
      <w:r w:rsidRPr="000D31E6">
        <w:rPr>
          <w:color w:val="000000" w:themeColor="text1"/>
        </w:rPr>
        <w:fldChar w:fldCharType="separate"/>
      </w:r>
      <w:r w:rsidRPr="008A32B0">
        <w:rPr>
          <w:rFonts w:cs="Times New Roman"/>
          <w:color w:val="000000" w:themeColor="text1"/>
          <w:vertAlign w:val="superscript"/>
        </w:rPr>
        <w:t>23</w:t>
      </w:r>
      <w:r w:rsidRPr="000D31E6">
        <w:rPr>
          <w:color w:val="000000" w:themeColor="text1"/>
        </w:rPr>
        <w:fldChar w:fldCharType="end"/>
      </w:r>
      <w:r w:rsidRPr="000D31E6">
        <w:rPr>
          <w:color w:val="000000" w:themeColor="text1"/>
        </w:rPr>
        <w:t>. Derived using connectome-based predictive modelling of task-state fMRI, the NP factor comprises a distributed set of functional connections whose collective strength predicts the severity of both internalising and externalising symptoms</w:t>
      </w:r>
      <w:r w:rsidRPr="000D31E6">
        <w:rPr>
          <w:color w:val="000000" w:themeColor="text1"/>
        </w:rPr>
        <w:fldChar w:fldCharType="begin"/>
      </w:r>
      <w:r w:rsidRPr="000D31E6">
        <w:rPr>
          <w:color w:val="000000" w:themeColor="text1"/>
        </w:rPr>
        <w:instrText xml:space="preserve"> ADDIN ZOTERO_ITEM CSL_CITATION {"citationID":"bs89d27F","properties":{"unsorted":false,"formattedCitation":"\\super 23\\nosupersub{}","plainCitation":"23","noteIndex":0},"citationItems":[{"id":2192,"uris":["http://zotero.org/users/7033572/items/R6IMB2SL"],"itemData":{"id":2192,"type":"article-journal","abstract":"Recent studies proposed a general psychopathology factor underlying common comorbidities among psychiatric disorders. However, its neurobiological mechanisms and generalizability remain elusive. In this study, we used a large longitudinal neuroimaging cohort from adolescence to young adulthood (IMAGEN) to define a neuropsychopathological (NP) factor across externalizing and internalizing symptoms using multitask connectomes. We demonstrate that this NP factor might represent a unified, genetically determined, delayed development of the prefrontal cortex that further leads to poor executive function. We also show this NP factor to be reproducible in multiple developmental periods, from preadolescence to early adulthood, and generalizable to the resting-state connectome and clinical samples (the ADHD-200 Sample and the Stratify Project). In conclusion, we identify a reproducible and general neural basis underlying symptoms of multiple mental health disorders, bridging multidimensional evidence from behavioral, neuroimaging and genetic substrates. These findings may help to develop new therapeutic interventions for psychiatric comorbidities.","container-title":"Nature Medicine","DOI":"10.1038/s41591-023-02317-4","ISSN":"1546-170X","issue":"5","journalAbbreviation":"Nat Med","language":"en","license":"2023 The Author(s)","note":"number: 5","page":"1232-1242","publisher":"Nature Publishing Group","source":"www.nature.com","title":"A shared neural basis underlying psychiatric comorbidity","volume":"29","author":[{"family":"Xie","given":"Chao"},{"family":"Xiang","given":"Shitong"},{"family":"Shen","given":"Chun"},{"family":"Peng","given":"Xuerui"},{"family":"Kang","given":"Jujiao"},{"family":"Li","given":"Yuzhu"},{"family":"Cheng","given":"Wei"},{"family":"He","given":"Shiqi"},{"family":"Banaschewski","given":"Tobias"},{"family":"Barker","given":"Gareth J."},{"family":"Bokde","given":"Arun L. W."},{"family":"Bromberg","given":"Uli"},{"family":"Büchel","given":"Christian"},{"family":"Desrivières","given":"Sylvane"},{"family":"Flor","given":"Herta"},{"family":"Grigis","given":"Antoine"},{"family":"Garavan","given":"Hugh"},{"family":"Gowland","given":"Penny"},{"family":"Heinz","given":"Andreas"},{"family":"Ittermann","given":"Bernd"},{"family":"Martinot","given":"Jean-Luc"},{"family":"Martinot","given":"Marie-Laure Paillère"},{"family":"Nees","given":"Frauke"},{"family":"Orfanos","given":"Dimitri Papadopoulos"},{"family":"Paus","given":"Tomáš"},{"family":"Poustka","given":"Luise"},{"family":"Fröhner","given":"Juliane H."},{"family":"Smolka","given":"Michael N."},{"family":"Walter","given":"Henrik"},{"family":"Whelan","given":"Robert"},{"family":"Sahakian","given":"Barbara J."},{"family":"Robbins","given":"Trevor W."},{"family":"Schumann","given":"Gunter"},{"family":"Jia","given":"Tianye"},{"family":"Feng","given":"Jianfeng"}],"issued":{"date-parts":[["2023",5]]}}}],"schema":"https://github.com/citation-style-language/schema/raw/master/csl-citation.json"} </w:instrText>
      </w:r>
      <w:r w:rsidRPr="000D31E6">
        <w:rPr>
          <w:color w:val="000000" w:themeColor="text1"/>
        </w:rPr>
        <w:fldChar w:fldCharType="separate"/>
      </w:r>
      <w:r w:rsidRPr="008A32B0">
        <w:rPr>
          <w:rFonts w:cs="Times New Roman"/>
          <w:color w:val="000000" w:themeColor="text1"/>
          <w:vertAlign w:val="superscript"/>
        </w:rPr>
        <w:t>23</w:t>
      </w:r>
      <w:r w:rsidRPr="000D31E6">
        <w:rPr>
          <w:color w:val="000000" w:themeColor="text1"/>
        </w:rPr>
        <w:fldChar w:fldCharType="end"/>
      </w:r>
      <w:r w:rsidRPr="000D31E6">
        <w:rPr>
          <w:color w:val="000000" w:themeColor="text1"/>
        </w:rPr>
        <w:t>. Rather than distinguishing diagnoses, it captures shared dimensional variance across symptom domains, yielding a compact, behaviourally grounded circuit.</w:t>
      </w:r>
      <w:r w:rsidRPr="008A32B0">
        <w:rPr>
          <w:color w:val="000000" w:themeColor="text1"/>
        </w:rPr>
        <w:t xml:space="preserve"> </w:t>
      </w:r>
      <w:r w:rsidRPr="000D31E6">
        <w:rPr>
          <w:color w:val="000000" w:themeColor="text1"/>
        </w:rPr>
        <w:t>Its low dimensionality allows quantification of perturbational responses under synaptic manipulation, while its grounding in identifiable functional systems keeps those responses interpretable.</w:t>
      </w:r>
      <w:r w:rsidRPr="008A32B0">
        <w:rPr>
          <w:color w:val="000000" w:themeColor="text1"/>
        </w:rPr>
        <w:t xml:space="preserve"> </w:t>
      </w:r>
    </w:p>
    <w:p w14:paraId="2F8ED1EC" w14:textId="0E204467" w:rsidR="00A17910" w:rsidRPr="008A32B0" w:rsidRDefault="00A17910" w:rsidP="00A17910">
      <w:pPr>
        <w:spacing w:line="480" w:lineRule="auto"/>
        <w:jc w:val="both"/>
        <w:rPr>
          <w:color w:val="000000" w:themeColor="text1"/>
          <w:lang w:eastAsia="zh-CN"/>
        </w:rPr>
      </w:pPr>
      <w:r w:rsidRPr="008A32B0">
        <w:rPr>
          <w:color w:val="000000" w:themeColor="text1"/>
        </w:rPr>
        <w:t xml:space="preserve">Neurochemical evidence implicates </w:t>
      </w:r>
      <w:r w:rsidRPr="008A32B0">
        <w:rPr>
          <w:color w:val="000000" w:themeColor="text1"/>
          <w:lang w:eastAsia="zh-CN"/>
        </w:rPr>
        <w:t xml:space="preserve">altered </w:t>
      </w:r>
      <w:r w:rsidRPr="008A32B0">
        <w:rPr>
          <w:color w:val="000000" w:themeColor="text1"/>
        </w:rPr>
        <w:t>glutamatergic and GABAergic signalling</w:t>
      </w:r>
      <w:r w:rsidRPr="008A32B0">
        <w:rPr>
          <w:color w:val="000000" w:themeColor="text1"/>
          <w:lang w:eastAsia="zh-CN"/>
        </w:rPr>
        <w:t xml:space="preserve"> across cortex</w:t>
      </w:r>
      <w:r w:rsidRPr="008A32B0">
        <w:rPr>
          <w:color w:val="000000" w:themeColor="text1"/>
        </w:rPr>
        <w:t xml:space="preserve"> in mood and addiction disorders, supported by spectroscopy and post-mortem studies </w:t>
      </w:r>
      <w:r w:rsidRPr="008A32B0">
        <w:rPr>
          <w:color w:val="000000" w:themeColor="text1"/>
        </w:rPr>
        <w:fldChar w:fldCharType="begin"/>
      </w:r>
      <w:r w:rsidRPr="008A32B0">
        <w:rPr>
          <w:color w:val="000000" w:themeColor="text1"/>
        </w:rPr>
        <w:instrText xml:space="preserve"> ADDIN ZOTERO_ITEM CSL_CITATION {"citationID":"Q88aWcFo","properties":{"unsorted":false,"formattedCitation":"\\super 24\\uc0\\u8211{}29\\nosupersub{}","plainCitation":"24–29","noteIndex":0},"citationItems":[{"id":2836,"uris":["http://zotero.org/users/7033572/items/DU8ZFTEL"],"itemData":{"id":2836,"type":"article-journal","abstract":"Major depressive disorder (MDD) is one of the most prevalent illnesses worldwide. Perturbations of the major inhibitory and excitatory neurotransmitters, </w:instrText>
      </w:r>
      <w:r w:rsidRPr="008A32B0">
        <w:rPr>
          <w:rFonts w:ascii="Cambria" w:hAnsi="Cambria" w:cs="Cambria"/>
          <w:color w:val="000000" w:themeColor="text1"/>
        </w:rPr>
        <w:instrText>γ</w:instrText>
      </w:r>
      <w:r w:rsidRPr="008A32B0">
        <w:rPr>
          <w:color w:val="000000" w:themeColor="text1"/>
        </w:rPr>
        <w:instrText>-aminobutyric acid (GABA) and glutamate (Glu), respectively, as well as Glx (Glu or glutamine [Gln]) have been extensively reported in a multitude of brain areas of individuals with depression, but few studies have examined changes in Gln, the metabolic counterpart of synaptic Glu.To investigate changes in GABA, Glx, Glu, and Gln levels in a voxel in the left dorsolateral prefrontal cortex of participants with no, past, and current MDD using proton magnetic resonance spectroscopy (1H-MRS).This community-based study used a cross-sectional design using 3-T 1H-MRS in participants not taking MDD medication recruited from the community. The sample consisted of 251 healthy controls, 98 participants with a history of past MDD, and 47 participants who met the diagnostic criteria for current MDD. Diagnostic groups were comparable regarding age, education, income, and diet. Data were collected from March 2014 to October 2021, and data were analyzed from October 2021 to June 2022.GABA, Glx, Glu, and Gln concentrations in the left dorsolateral prefrontal cortex.Of</w:instrText>
      </w:r>
      <w:r w:rsidRPr="008A32B0">
        <w:rPr>
          <w:rFonts w:ascii="Times New Roman" w:hAnsi="Times New Roman" w:cs="Times New Roman"/>
          <w:color w:val="000000" w:themeColor="text1"/>
        </w:rPr>
        <w:instrText> </w:instrText>
      </w:r>
      <w:r w:rsidRPr="008A32B0">
        <w:rPr>
          <w:color w:val="000000" w:themeColor="text1"/>
        </w:rPr>
        <w:instrText>396 included participants, 258 (65.2%) were female, and the mean (SD) age was 25.0 (4.7) years. Compared with healthy controls, those with past MDD and current MDD had lower GABA concentrations (mean [SEM] concentration: healthy controls, 2.70 [0.03] mmol/L; past MDD, 2.49 [0.05] mmol/L; current MDD, 2.54 [0.07] mmol/L; 92 with past MDD vs 236 healthy controls: r</w:instrText>
      </w:r>
      <w:r w:rsidRPr="008A32B0">
        <w:rPr>
          <w:rFonts w:ascii="Times New Roman" w:hAnsi="Times New Roman" w:cs="Times New Roman"/>
          <w:color w:val="000000" w:themeColor="text1"/>
        </w:rPr>
        <w:instrText> </w:instrText>
      </w:r>
      <w:r w:rsidRPr="008A32B0">
        <w:rPr>
          <w:color w:val="000000" w:themeColor="text1"/>
        </w:rPr>
        <w:instrText>=</w:instrText>
      </w:r>
      <w:r w:rsidRPr="008A32B0">
        <w:rPr>
          <w:rFonts w:ascii="Times New Roman" w:hAnsi="Times New Roman" w:cs="Times New Roman"/>
          <w:color w:val="000000" w:themeColor="text1"/>
        </w:rPr>
        <w:instrText> </w:instrText>
      </w:r>
      <w:r w:rsidRPr="008A32B0">
        <w:rPr>
          <w:color w:val="000000" w:themeColor="text1"/>
        </w:rPr>
        <w:instrText>0.18; P</w:instrText>
      </w:r>
      <w:r w:rsidRPr="008A32B0">
        <w:rPr>
          <w:rFonts w:ascii="Times New Roman" w:hAnsi="Times New Roman" w:cs="Times New Roman"/>
          <w:color w:val="000000" w:themeColor="text1"/>
        </w:rPr>
        <w:instrText> </w:instrText>
      </w:r>
      <w:r w:rsidRPr="008A32B0">
        <w:rPr>
          <w:color w:val="000000" w:themeColor="text1"/>
        </w:rPr>
        <w:instrText>=</w:instrText>
      </w:r>
      <w:r w:rsidRPr="008A32B0">
        <w:rPr>
          <w:rFonts w:ascii="Times New Roman" w:hAnsi="Times New Roman" w:cs="Times New Roman"/>
          <w:color w:val="000000" w:themeColor="text1"/>
        </w:rPr>
        <w:instrText> </w:instrText>
      </w:r>
      <w:r w:rsidRPr="008A32B0">
        <w:rPr>
          <w:color w:val="000000" w:themeColor="text1"/>
        </w:rPr>
        <w:instrText>.002; 44 with current MDD vs 236 healthy controls: r</w:instrText>
      </w:r>
      <w:r w:rsidRPr="008A32B0">
        <w:rPr>
          <w:rFonts w:ascii="Times New Roman" w:hAnsi="Times New Roman" w:cs="Times New Roman"/>
          <w:color w:val="000000" w:themeColor="text1"/>
        </w:rPr>
        <w:instrText> </w:instrText>
      </w:r>
      <w:r w:rsidRPr="008A32B0">
        <w:rPr>
          <w:color w:val="000000" w:themeColor="text1"/>
        </w:rPr>
        <w:instrText>=</w:instrText>
      </w:r>
      <w:r w:rsidRPr="008A32B0">
        <w:rPr>
          <w:rFonts w:ascii="Times New Roman" w:hAnsi="Times New Roman" w:cs="Times New Roman"/>
          <w:color w:val="000000" w:themeColor="text1"/>
        </w:rPr>
        <w:instrText> </w:instrText>
      </w:r>
      <w:r w:rsidRPr="008A32B0">
        <w:rPr>
          <w:color w:val="000000" w:themeColor="text1"/>
        </w:rPr>
        <w:instrText>0.13; P</w:instrText>
      </w:r>
      <w:r w:rsidRPr="008A32B0">
        <w:rPr>
          <w:rFonts w:ascii="Times New Roman" w:hAnsi="Times New Roman" w:cs="Times New Roman"/>
          <w:color w:val="000000" w:themeColor="text1"/>
        </w:rPr>
        <w:instrText> </w:instrText>
      </w:r>
      <w:r w:rsidRPr="008A32B0">
        <w:rPr>
          <w:color w:val="000000" w:themeColor="text1"/>
        </w:rPr>
        <w:instrText>=</w:instrText>
      </w:r>
      <w:r w:rsidRPr="008A32B0">
        <w:rPr>
          <w:rFonts w:ascii="Times New Roman" w:hAnsi="Times New Roman" w:cs="Times New Roman"/>
          <w:color w:val="000000" w:themeColor="text1"/>
        </w:rPr>
        <w:instrText> </w:instrText>
      </w:r>
      <w:r w:rsidRPr="008A32B0">
        <w:rPr>
          <w:color w:val="000000" w:themeColor="text1"/>
        </w:rPr>
        <w:instrText>.04). Compared with healthy controls, those with past MDD also had lower Glu concentrations (mean [SEM] concentration: healthy controls, 7.52 [0.06] mmol/L; past MDD, 7.23 [0.11] mmol/L; 93 with past MDD vs 234 healthy controls: r</w:instrText>
      </w:r>
      <w:r w:rsidRPr="008A32B0">
        <w:rPr>
          <w:rFonts w:ascii="Times New Roman" w:hAnsi="Times New Roman" w:cs="Times New Roman"/>
          <w:color w:val="000000" w:themeColor="text1"/>
        </w:rPr>
        <w:instrText> </w:instrText>
      </w:r>
      <w:r w:rsidRPr="008A32B0">
        <w:rPr>
          <w:color w:val="000000" w:themeColor="text1"/>
        </w:rPr>
        <w:instrText>=</w:instrText>
      </w:r>
      <w:r w:rsidRPr="008A32B0">
        <w:rPr>
          <w:rFonts w:ascii="Times New Roman" w:hAnsi="Times New Roman" w:cs="Times New Roman"/>
          <w:color w:val="000000" w:themeColor="text1"/>
        </w:rPr>
        <w:instrText> </w:instrText>
      </w:r>
      <w:r w:rsidRPr="008A32B0">
        <w:rPr>
          <w:color w:val="000000" w:themeColor="text1"/>
        </w:rPr>
        <w:instrText>0.16; P</w:instrText>
      </w:r>
      <w:r w:rsidRPr="008A32B0">
        <w:rPr>
          <w:rFonts w:ascii="Times New Roman" w:hAnsi="Times New Roman" w:cs="Times New Roman"/>
          <w:color w:val="000000" w:themeColor="text1"/>
        </w:rPr>
        <w:instrText> </w:instrText>
      </w:r>
      <w:r w:rsidRPr="008A32B0">
        <w:rPr>
          <w:color w:val="000000" w:themeColor="text1"/>
        </w:rPr>
        <w:instrText>=</w:instrText>
      </w:r>
      <w:r w:rsidRPr="008A32B0">
        <w:rPr>
          <w:rFonts w:ascii="Times New Roman" w:hAnsi="Times New Roman" w:cs="Times New Roman"/>
          <w:color w:val="000000" w:themeColor="text1"/>
        </w:rPr>
        <w:instrText> </w:instrText>
      </w:r>
      <w:r w:rsidRPr="008A32B0">
        <w:rPr>
          <w:color w:val="000000" w:themeColor="text1"/>
        </w:rPr>
        <w:instrText>.01) and higher Gln concentrations (mean [SEM] concentration: healthy controls, 1.63 [0.04] mmol/L; past MDD, 1.84 [0.07] mmol/L; 66 with past MDD 153 healthy controls: r</w:instrText>
      </w:r>
      <w:r w:rsidRPr="008A32B0">
        <w:rPr>
          <w:rFonts w:ascii="Times New Roman" w:hAnsi="Times New Roman" w:cs="Times New Roman"/>
          <w:color w:val="000000" w:themeColor="text1"/>
        </w:rPr>
        <w:instrText> </w:instrText>
      </w:r>
      <w:r w:rsidRPr="008A32B0">
        <w:rPr>
          <w:color w:val="000000" w:themeColor="text1"/>
        </w:rPr>
        <w:instrText>=</w:instrText>
      </w:r>
      <w:r w:rsidRPr="008A32B0">
        <w:rPr>
          <w:rFonts w:ascii="Times New Roman" w:hAnsi="Times New Roman" w:cs="Times New Roman"/>
          <w:color w:val="000000" w:themeColor="text1"/>
        </w:rPr>
        <w:instrText> </w:instrText>
      </w:r>
      <w:r w:rsidRPr="008A32B0">
        <w:rPr>
          <w:color w:val="000000" w:themeColor="text1"/>
        </w:rPr>
        <w:instrText>0.17; P</w:instrText>
      </w:r>
      <w:r w:rsidRPr="008A32B0">
        <w:rPr>
          <w:rFonts w:ascii="Times New Roman" w:hAnsi="Times New Roman" w:cs="Times New Roman"/>
          <w:color w:val="000000" w:themeColor="text1"/>
        </w:rPr>
        <w:instrText> </w:instrText>
      </w:r>
      <w:r w:rsidRPr="008A32B0">
        <w:rPr>
          <w:color w:val="000000" w:themeColor="text1"/>
        </w:rPr>
        <w:instrText>=</w:instrText>
      </w:r>
      <w:r w:rsidRPr="008A32B0">
        <w:rPr>
          <w:rFonts w:ascii="Times New Roman" w:hAnsi="Times New Roman" w:cs="Times New Roman"/>
          <w:color w:val="000000" w:themeColor="text1"/>
        </w:rPr>
        <w:instrText> </w:instrText>
      </w:r>
      <w:r w:rsidRPr="008A32B0">
        <w:rPr>
          <w:color w:val="000000" w:themeColor="text1"/>
        </w:rPr>
        <w:instrText xml:space="preserve">.04).In a large, mostly medication-free community sample, reduced prefrontal GABA concentrations were associated with past MDD, consistent with histopathologic studies reporting reduced glial cell and GABA cell density in the prefrontal cortex in individuals with depression. Patients with MDD also demonstrated increased Gln levels, indicative of increased synaptic Glu release, adding to previous evidence for the Glu hypothesis of MDD.","container-title":"JAMA Psychiatry","DOI":"10.1001/jamapsychiatry.2022.3384","ISSN":"2168-622X","issue":"12","journalAbbreviation":"JAMA Psychiatry","page":"1209-1216","source":"Silverchair","title":"Evaluation of Prefrontal </w:instrText>
      </w:r>
      <w:r w:rsidRPr="008A32B0">
        <w:rPr>
          <w:rFonts w:ascii="Cambria" w:hAnsi="Cambria" w:cs="Cambria"/>
          <w:color w:val="000000" w:themeColor="text1"/>
        </w:rPr>
        <w:instrText>γ</w:instrText>
      </w:r>
      <w:r w:rsidRPr="008A32B0">
        <w:rPr>
          <w:color w:val="000000" w:themeColor="text1"/>
        </w:rPr>
        <w:instrText xml:space="preserve">-Aminobutyric Acid and Glutamate Levels in Individuals With Major Depressive Disorder Using Proton Magnetic Resonance Spectroscopy","volume":"79","author":[{"family":"Ritter","given":"Christopher"},{"family":"Buchmann","given":"Andreas"},{"family":"Müller","given":"Sabrina Theresia"},{"family":"Volleberg","given":"Martin"},{"family":"Haynes","given":"Melanie"},{"family":"Ghisleni","given":"Carmen"},{"family":"Noeske","given":"Ralph"},{"family":"Tuura","given":"Ruth"},{"family":"Hasler","given":"Gregor"}],"issued":{"date-parts":[["2022",12,1]]}}},{"id":2837,"uris":["http://zotero.org/users/7033572/items/3WWZTCJ5"],"itemData":{"id":2837,"type":"article-journal","abstract":"•1H-MRS was used to measure GABA+ in binge (BD) and light drinking (LD) young adults.•GABA+ was reduced in BDs relative to LDs, which correlated with alcohol intake.•This is consistent with compensatory GABA downregulation following alcohol misuse.•Neuroplasticity: GABA+ was lowest in BDs when measured one day after last drink.•No interaction between Sex and binge drinking, but GABA+ highest in LD women., Binge drinking refers to a pattern of alcohol intake that raises blood alcohol concentration to or above legal intoxication levels. It is common among young adults and is associated with health risks that scale up with alcohol intake. Acute intoxication depresses neural activity via complex signaling mechanisms by enhancing inhibition mediated by gamma-amino butyric acid (GABA), and by decreasing excitatory glutamatergic effects. Evidence primarily rooted in animal research indicates that the brain compensates for the acute depressant effects under the conditions of habitual heavy use. These neuroadaptive changes are reflected in neural hyperexcitability via downregulated inhibitory signaling, which becomes apparent as withdrawal symptoms. However, human evidence on the compensatory reduction in GABA signaling is scant. The neurochemical aspect of this mechanistic model was evaluated in the present study with proton magnetic resonance spectroscopy (1H-MRS) which is sensitive to GABA plus macromolecule signal (GABA + ). Furthermore, we examined sex differences in GABA + levels as a function of a recent history of binge drinking, given interactions between endogenous neurosteroids, GABA signaling, and alcohol., The study recruited young adult women and men (22.2 ± 2.8 years of age) who were classified as binge drinkers (BDs, N = 52) if they reported ≥ 5 binge episodes in the previous six months. Light drinkers (LDs, N = 49) reported drinking regularly, but not exceeding ≤ 2 binge episodes in the past six months. GABA-edited 1H-MR spectra were acquired from the occipital cortex at 3 T with the MEGA-PRESS sequence. GABA + signal was analyzed relative to water and total creatine (Cr) levels as a function of binge drinking history and sex. Controlling for within-voxel tissue composition, both GABA + indices showed decreased GABA + levels in BDs relative to LDs. The reduced GABA + concentration was associated with occasional high-intensity drinking in the BD group., This evidence is consistent with compensatory GABA downregulation that accompanies alcohol misuse, tipping the excitation/inhibition balance towards hyperexcitability. Analysis of the time course of GABA + neuroplasticity indicated that GABA + was lowest when measured one day after the last drinking occasion in BDs. While the BD vs LD differences were primarily driven by LD women, there was no interaction between Sex and a history of binge drinking. GABA + was higher in LD women compared to LD men., Aligned with the allostasis model, the mechanistic compensatory GABA downregulation observed in young emerging adults engaging in occasional binge drinking complements direct neural measures of hyperexcitability in BDs. Notably, these results suggest that neuroadaptation to alcohol is detectable at the levels of consumption that are within a normative range, and may contribute to adverse health outcomes.","container-title":"NeuroImage : Clinical","DOI":"10.1016/j.nicl.2022.103091","ISSN":"2213-1582","journalAbbreviation":"Neuroimage Clin","page":"103091","PMID":"35753236","PMCID":"PMC9240858","source":"PubMed Central","title":"Cortical GABA levels are reduced in young adult binge drinkers: Association with recent alcohol consumption and sex","title-short":"Cortical GABA levels are reduced in young adult binge drinkers","volume":"35","author":[{"family":"Marinkovic","given":"Ksenija"},{"family":"Alderson Myers","given":"Austin B."},{"family":"Arienzo","given":"Donatello"},{"family":"Sereno","given":"Martin I."},{"family":"Mason","given":"Graeme F."}],"issued":{"date-parts":[["2022",6,20]]}}},{"id":2976,"uris":["http://zotero.org/users/7033572/items/9ZCYSHM5"],"itemData":{"id":2976,"type":"article-journal","abstract":"Cognitive dysfunctions, including impaired attention, learning, memory, planning and problem solving, occur in depressive episodes, often persist during remission, predict relapse, worsen with recurrent episodes, and are not treated by current antidepressants or other medications. Cognitive symptoms are also present in other psychiatric disorders, are a hallmark of aging, and define several late-life disorders, including Alzheimer’s disease. This pervasive occurrence suggests either a non-specific outcome of a diseased brain, or a shared underlying pathology contributing to this symptom dimension. Recent findings suggest a role for altered GABAergic inhibition in cognitive symptoms. Cellular, molecular and biochemical studies in human subjects report changes affecting the gamma-amino butyric acid (GABA) system, specifically somatostatin-expressing (SST+) GABAergic interneurons, across brain disorders and during aging. SST+ neurons gate excitatory input onto pyramidal neurons within cortical microcircuits. Experimentally reducing the function of these neurons affects excitatory signal-to-noise ratio, reduces synchronized cellular and neural activity, and leads to cognitive dysfunctions. Conversely, augmenting SST+ cell post-synaptic </w:instrText>
      </w:r>
      <w:r w:rsidRPr="008A32B0">
        <w:rPr>
          <w:rFonts w:ascii="Cambria" w:hAnsi="Cambria" w:cs="Cambria"/>
          <w:color w:val="000000" w:themeColor="text1"/>
        </w:rPr>
        <w:instrText>α</w:instrText>
      </w:r>
      <w:r w:rsidRPr="008A32B0">
        <w:rPr>
          <w:color w:val="000000" w:themeColor="text1"/>
        </w:rPr>
        <w:instrText>5-GABA-A receptor activity has pro-cognitive efficacy in stress and aging models. Together, this suggests that reduced signaling of the SST+ neuron/</w:instrText>
      </w:r>
      <w:r w:rsidRPr="008A32B0">
        <w:rPr>
          <w:rFonts w:ascii="Cambria" w:hAnsi="Cambria" w:cs="Cambria"/>
          <w:color w:val="000000" w:themeColor="text1"/>
        </w:rPr>
        <w:instrText>α</w:instrText>
      </w:r>
      <w:r w:rsidRPr="008A32B0">
        <w:rPr>
          <w:color w:val="000000" w:themeColor="text1"/>
        </w:rPr>
        <w:instrText>5-GABA-A receptor pathway contributes to cognitive dysfunctions, and that it represents a novel therapeutic target for remediating mood and cognitive symptoms in depression, other psychiatric disorders and during aging.","container-title":"Molecular Psychiatry","DOI":"10.1038/s41380-020-0727-3","ISSN":"1476-5578","issue":"1","journalAbbreviation":"Mol Psychiatry","language":"en","license":"2020 Springer Nature Limited","page":"151-167","publisher":"Nature Publishing Group","source":"www.nature.com","title":"Altered GABA-mediated information processing and cognitive dysfunctions in depression and other brain disorders","volume":"26","author":[{"family":"Prévot","given":"Thomas"},{"family":"Sibille","given":"Etienne"}],"issued":{"date-parts":[["2021",1]]}}},{"id":2809,"uris":["http://zotero.org/users/7033572/items/362K6KA2"],"itemData":{"id":2809,"type":"article-journal","abstract":"In both preclinical and clinical settings, dysregulated frontostriatal circuits have been identified as the underlying neural substrates of compulsive seeking/taking behaviors manifested in substance use disorders and behavioral addictions including internet gaming disorder (IGD). However, the neurochemical substrates for these disorders remain elusive. The lack of comprehensive cognitive assessments in animal models has hampered our understanding of neural plasticity in addiction from these models. In this study, combining data from a rat model of compulsive taking/seeking and human participants with various levels of IGD severity, we investigated the relationship between regional glutamate (Glu) concentration and addictive behaviors. We found that Glu levels were significantly lower in the prelimbic cortex (PrL) of rats after 20-days of methamphetamine self-administration (SA), compared to controls. Glu concentration after a punishment phase negatively correlated with acute drug-seeking behavior. In addition, changes in Glu levels from a drug naïve state to compulsive drug taking patterns negatively correlated with drug-seeking during both acute and prolonged abstinence. The human data revealed a significant negative correlation between Glu concentration in the dorsal anterior cingulate cortex (dACC), the human PrL counterpart, and symptoms of IGD. Interestingly, there was a positive correlation between Glu levels in the dACC and self-control, as well as mindful awareness. Further analysis revealed that the dACC Glu concentration mediated the relationship between self-control/mindful awareness and IGD symptoms. These results provide convergent evidence for a protective role of dACC/PrL in addiction, suggesting interventions to enhance dACC glutamatergic functions as a potential strategy for addiction prevention and treatment.","container-title":"Translational Psychiatry","DOI":"10.1038/s41398-024-03145-x","ISSN":"2158-3188","journalAbbreviation":"Transl Psychiatry","page":"433","PMID":"39396023","PMCID":"PMC11470925","source":"PubMed Central","title":"Glutamate concentration of medial prefrontal cortex is inversely associated with addictive behaviors: a translational study","title-short":"Glutamate concentration of medial prefrontal cortex is inversely associated with addictive behaviors","volume":"14","author":[{"family":"Zhou","given":"Hui"},{"family":"Hong","given":"Tiantian"},{"family":"Chen","given":"Xi"},{"family":"Su","given":"Conghui"},{"family":"Teng","given":"Binyu"},{"family":"Xi","given":"Wan"},{"family":"Cadet","given":"Jean Lud"},{"family":"Yang","given":"Yihong"},{"family":"Geng","given":"Fengji"},{"family":"Hu","given":"Yuzheng"}],"issued":{"date-parts":[["2024",10,12]]}}},{"id":2974,"uris":["http://zotero.org/users/7033572/items/VXU5HEHW"],"itemData":{"id":2974,"type":"article-journal","abstract":"Dysfunction of gamma-aminobutyric acid (GABA) and/or glutamate neurotransmitter systems have increasingly been implicated in the aetiology of Major Depressive Disorder (MDD). It has been proposed that alterations in GABA and/or glutamate result in an imbalance of inhibition and excitation. In a review of the current literature, we identified studies using Magnetic Resonance Spectroscopy (MRS) to examine the neurotransmitters GABA, glutamate, and the composite glutamate/glutamine measure Glx in patients diagnosed with MDD and healthy controls. Results showed patients with MDD had significantly lower GABA levels compared to controls (−0.35 [-0.61,-0.10], p</w:instrText>
      </w:r>
      <w:r w:rsidRPr="008A32B0">
        <w:rPr>
          <w:rFonts w:ascii="Times New Roman" w:hAnsi="Times New Roman" w:cs="Times New Roman"/>
          <w:color w:val="000000" w:themeColor="text1"/>
        </w:rPr>
        <w:instrText> </w:instrText>
      </w:r>
      <w:r w:rsidRPr="008A32B0">
        <w:rPr>
          <w:color w:val="000000" w:themeColor="text1"/>
        </w:rPr>
        <w:instrText>=</w:instrText>
      </w:r>
      <w:r w:rsidRPr="008A32B0">
        <w:rPr>
          <w:rFonts w:ascii="Times New Roman" w:hAnsi="Times New Roman" w:cs="Times New Roman"/>
          <w:color w:val="000000" w:themeColor="text1"/>
        </w:rPr>
        <w:instrText> </w:instrText>
      </w:r>
      <w:r w:rsidRPr="008A32B0">
        <w:rPr>
          <w:color w:val="000000" w:themeColor="text1"/>
        </w:rPr>
        <w:instrText>0.007). No significant difference was found between levels of glutamate. Sub-analyses were performed, including only studies where the Anterior Cingulate Cortex (ACC) was the region of interest. GABA and Glx levels were lower in the ACC of MDD patients (−0.56 [-0.93,-0.18] p</w:instrText>
      </w:r>
      <w:r w:rsidRPr="008A32B0">
        <w:rPr>
          <w:rFonts w:ascii="Times New Roman" w:hAnsi="Times New Roman" w:cs="Times New Roman"/>
          <w:color w:val="000000" w:themeColor="text1"/>
        </w:rPr>
        <w:instrText> </w:instrText>
      </w:r>
      <w:r w:rsidRPr="008A32B0">
        <w:rPr>
          <w:color w:val="000000" w:themeColor="text1"/>
        </w:rPr>
        <w:instrText>=</w:instrText>
      </w:r>
      <w:r w:rsidRPr="008A32B0">
        <w:rPr>
          <w:rFonts w:ascii="Times New Roman" w:hAnsi="Times New Roman" w:cs="Times New Roman"/>
          <w:color w:val="000000" w:themeColor="text1"/>
        </w:rPr>
        <w:instrText> </w:instrText>
      </w:r>
      <w:r w:rsidRPr="008A32B0">
        <w:rPr>
          <w:color w:val="000000" w:themeColor="text1"/>
        </w:rPr>
        <w:instrText>0.004, and 0.40 [-0.81,0.01] p</w:instrText>
      </w:r>
      <w:r w:rsidRPr="008A32B0">
        <w:rPr>
          <w:rFonts w:ascii="Times New Roman" w:hAnsi="Times New Roman" w:cs="Times New Roman"/>
          <w:color w:val="000000" w:themeColor="text1"/>
        </w:rPr>
        <w:instrText> </w:instrText>
      </w:r>
      <w:r w:rsidRPr="008A32B0">
        <w:rPr>
          <w:color w:val="000000" w:themeColor="text1"/>
        </w:rPr>
        <w:instrText>=</w:instrText>
      </w:r>
      <w:r w:rsidRPr="008A32B0">
        <w:rPr>
          <w:rFonts w:ascii="Times New Roman" w:hAnsi="Times New Roman" w:cs="Times New Roman"/>
          <w:color w:val="000000" w:themeColor="text1"/>
        </w:rPr>
        <w:instrText> </w:instrText>
      </w:r>
      <w:r w:rsidRPr="008A32B0">
        <w:rPr>
          <w:color w:val="000000" w:themeColor="text1"/>
        </w:rPr>
        <w:instrText xml:space="preserve">0.05). This review indicates widespread cortical reduction of GABA in MDD, with a trend towards a localised reduction of Glx in the ACC. However, given both GABA and glutamate appear decreased a simple interpretation in terms of an imbalance of overall excitation-inhibition is not feasible.","container-title":"Journal of Psychiatric Research","DOI":"10.1016/j.jpsychires.2018.08.015","ISSN":"0022-3956","journalAbbreviation":"Journal of Psychiatric Research","page":"33-44","source":"ScienceDirect","title":"Differences in excitatory and inhibitory neurotransmitter levels between depressed patients and healthy controls: A systematic review and meta-analysis","title-short":"Differences in excitatory and inhibitory neurotransmitter levels between depressed patients and healthy controls","volume":"105","author":[{"family":"Godfrey","given":"Kate E. M."},{"family":"Gardner","given":"Abby C."},{"family":"Kwon","given":"Sarah"},{"family":"Chea","given":"William"},{"family":"Muthukumaraswamy","given":"Suresh D."}],"issued":{"date-parts":[["2018",10,1]]}}},{"id":2978,"uris":["http://zotero.org/users/7033572/items/CKNA2Z2J"],"itemData":{"id":2978,"type":"article-journal","abstract":"Half a century after the first formulation of the monoamine hypothesis, compelling evidence implies that long-term changes in an array of brain areas and circuits mediating complex cognitive–emotional behaviors represent the biological underpinnings of mood/anxiety disorders. A large number of clinical studies suggest that pathophysiology is associated with dysfunction of the predominant glutamatergic system, malfunction in the mechanisms regulating clearance and metabolism of glutamate, and cytoarchitectural/morphological maladaptive changes in a number of brain areas mediating cognitive–emotional behaviors. Concurrently, a wealth of data from animal models have shown that different types of environmental stress enhance glutamate release/transmission in limbic/cortical areas and exert powerful structural effects, inducing dendritic remodeling, reduction of synapses and possibly volumetric reductions resembling those observed in depressed patients. Because a vast majority of neurons and synapses in these areas and circuits use glutamate as neurotransmitter, it would be limiting to maintain that glutamate is in some way ‘involved’ in mood/anxiety disorders; rather it should be recognized that the glutamatergic system is a primary mediator of psychiatric pathology and, potentially, also a final common pathway for the therapeutic action of antidepressant agents. A paradigm shift from a monoamine hypothesis of depression to a neuroplasticity hypothesis focused on glutamate may represent a substantial advancement in the working hypothesis that drives research for new drugs and therapies. Importantly, despite the availability of multiple classes of drugs with monoamine-based mechanisms of action, there remains a large percentage of patients who fail to achieve a sustained remission of depressive symptoms. The unmet need for improved pharmacotherapies for treatment-resistant depression means there is a large space for the development of new compounds with novel mechanisms of action such as glutamate transmission and related pathways. This article is part of a Special Issue entitled ‘Anxiety and Depression’.","collection-title":"Anxiety and Depression","container-title":"Neuropharmacology","DOI":"10.1016/j.neuropharm.2011.07.036","ISSN":"0028-3908","issue":"1","journalAbbreviation":"Neuropharmacology","page":"63-77","source":"ScienceDirect","title":"Towards a glutamate hypothesis of depression: An emerging frontier of neuropsychopharmacology for mood disorders","title-short":"Towards a glutamate hypothesis of depression","volume":"62","author":[{"family":"Sanacora","given":"Gerard"},{"family":"Treccani","given":"Giulia"},{"family":"Popoli","given":"Maurizio"}],"issued":{"date-parts":[["2012",1,1]]}}}],"schema":"https://github.com/citation-style-language/schema/raw/master/csl-citation.json"} </w:instrText>
      </w:r>
      <w:r w:rsidRPr="008A32B0">
        <w:rPr>
          <w:color w:val="000000" w:themeColor="text1"/>
        </w:rPr>
        <w:fldChar w:fldCharType="separate"/>
      </w:r>
      <w:r w:rsidR="004946B6" w:rsidRPr="008A32B0">
        <w:rPr>
          <w:rFonts w:cs="Times New Roman"/>
          <w:color w:val="000000"/>
          <w:vertAlign w:val="superscript"/>
        </w:rPr>
        <w:t>24–29</w:t>
      </w:r>
      <w:r w:rsidRPr="008A32B0">
        <w:rPr>
          <w:color w:val="000000" w:themeColor="text1"/>
        </w:rPr>
        <w:fldChar w:fldCharType="end"/>
      </w:r>
      <w:r w:rsidRPr="008A32B0">
        <w:rPr>
          <w:color w:val="000000" w:themeColor="text1"/>
        </w:rPr>
        <w:t>. Pharmacological agents targeting these systems,</w:t>
      </w:r>
      <w:r w:rsidRPr="008A32B0">
        <w:rPr>
          <w:color w:val="000000" w:themeColor="text1"/>
          <w:lang w:eastAsia="zh-CN"/>
        </w:rPr>
        <w:t xml:space="preserve"> including ketamine and midazolam,</w:t>
      </w:r>
      <w:r w:rsidRPr="008A32B0">
        <w:rPr>
          <w:color w:val="000000" w:themeColor="text1"/>
        </w:rPr>
        <w:t xml:space="preserve"> also induce rapid changes in symptoms and brain connectivity</w:t>
      </w:r>
      <w:r w:rsidRPr="008A32B0">
        <w:rPr>
          <w:color w:val="000000" w:themeColor="text1"/>
        </w:rPr>
        <w:fldChar w:fldCharType="begin"/>
      </w:r>
      <w:r w:rsidRPr="008A32B0">
        <w:rPr>
          <w:color w:val="000000" w:themeColor="text1"/>
        </w:rPr>
        <w:instrText xml:space="preserve"> ADDIN ZOTERO_ITEM CSL_CITATION {"citationID":"XI5whuUM","properties":{"unsorted":false,"formattedCitation":"\\super 30\\uc0\\u8211{}36\\nosupersub{}","plainCitation":"30–36","noteIndex":0},"citationItems":[{"id":2575,"uris":["http://zotero.org/users/7033572/items/3YC4TSHF"],"itemData":{"id":2575,"type":"article-journal","abstract":"Clinical studies have demonstrated that a single sub-anesthetic dose of the dissociative anesthetic ketamine induces rapid and sustained antidepressant actions in treatment-resistant patients. Although this finding has been met with enthusiasm, ...","container-title":"Molecular psychiatry","DOI":"10.1038/mp.2017.255","issue":"4","language":"en","page":"801","PMID":"29532791","source":"pmc.ncbi.nlm.nih.gov","title":"Mechanisms of Ketamine Action as an Antidepressant","volume":"23","author":[{"family":"Zanos","given":"Panos"},{"family":"Gould","given":"Todd D."}],"issued":{"date-parts":[["2018",3,13]]}}},{"id":2839,"uris":["http://zotero.org/users/7033572/items/DDZWZ93I"],"itemData":{"id":2839,"type":"article-journal","container-title":"Biological Psychiatry","DOI":"10.1016/j.biopsych.2016.02.009","ISSN":"0006-3223, 1873-2402","issue":"6","journalAbbreviation":"Biological Psychiatry","language":"English","page":"457-468","PMID":"27062563","publisher":"Elsevier","source":"www.biologicalpsychiatryjournal.com","title":"Bidirectional Homeostatic Regulation of a Depression-Related Brain State by Gamma-Aminobutyric Acidergic Deficits and Ketamine Treatment","volume":"80","author":[{"family":"Ren","given":"Zhen"},{"family":"Pribiag","given":"Horia"},{"family":"Jefferson","given":"Sarah J."},{"family":"Shorey","given":"Matthew"},{"family":"Fuchs","given":"Thomas"},{"family":"Stellwagen","given":"David"},{"family":"Luscher","given":"Bernhard"}],"issued":{"date-parts":[["2016",9,15]]}}},{"id":2811,"uris":["http://zotero.org/users/7033572/items/E8PUGK9X"],"itemData":{"id":2811,"type":"article-journal","abstract":"Objective:Early evidence suggests that ketamine may be an effective treatment to sustain abstinence from alcohol. The authors investigated the safety and efficacy of ketamine compared with placebo in increasing abstinence in patients with alcohol use disorder. An additional aim was to pilot ketamine combined with mindfulness-based relapse prevention therapy compared with ketamine and alcohol education as a therapy control.Methods:In a double-blind placebo-controlled phase 2 clinical trial, 96 patients with severe alcohol use disorder were randomly assigned to one of four conditions: 1) three weekly ketamine infusions (0.8</w:instrText>
      </w:r>
      <w:r w:rsidRPr="008A32B0">
        <w:rPr>
          <w:rFonts w:ascii="Times New Roman" w:hAnsi="Times New Roman" w:cs="Times New Roman"/>
          <w:color w:val="000000" w:themeColor="text1"/>
        </w:rPr>
        <w:instrText> </w:instrText>
      </w:r>
      <w:r w:rsidRPr="008A32B0">
        <w:rPr>
          <w:color w:val="000000" w:themeColor="text1"/>
        </w:rPr>
        <w:instrText>mg/kg i.v. over 40 minutes) plus psychological therapy, 2) three saline infusions plus psychological therapy, 3) three ketamine infusions plus alcohol education, or 4) three saline infusions plus alcohol education. The primary outcomes were self-reported percentage of days abstinent and confirmed alcohol relapse at 6-month follow-up.Results:Ninety-six participants (35 women; mean age, 44.07 years [SD=10.59]) were included in the intention-to-treat analysis. The treatment was well tolerated, and no serious adverse events were associated with the study drug. Although confidence intervals were wide, consistent with a proof-of-concept study, there were a significantly greater number of days abstinent from alcohol in the ketamine group compared with the placebo group at 6-month follow-up (mean difference=10.1%, 95% CI=1.1, 19.0), with the greatest reduction in the ketamine plus therapy group compared with the saline plus education group (15.9%, 95% CI=3.8, 28.1). There was no significant difference in relapse rate between the ketamine and placebo groups.Conclusions:This study demonstrated that treatment with three infusions of ketamine was well tolerated in patients with alcohol use disorder and was associated with more days of abstinence from alcohol at 6-month follow-up. The findings suggest a possible beneficial effect of adding psychological therapy alongside ketamine treatment.","container-title":"American Journal of Psychiatry","DOI":"10.1176/appi.ajp.2021.21030277","ISSN":"0002-953X","issue":"2","journalAbbreviation":"AJP","page":"152-162","publisher":"American Psychiatric Publishing","source":"psychiatryonline.org (Atypon)","title":"Adjunctive Ketamine With Relapse Prevention–Based Psychological Therapy in the Treatment of Alcohol Use Disorder","volume":"179","author":[{"family":"Grabski","given":"Meryem"},{"family":"McAndrew","given":"Amy"},{"family":"Lawn","given":"Will"},{"family":"Marsh","given":"Beth"},{"family":"Raymen","given":"Laura"},{"family":"Stevens","given":"Tobias"},{"family":"Hardy","given":"Lorna"},{"family":"Warren","given":"Fiona"},{"family":"Bloomfield","given":"Michael"},{"family":"Borissova","given":"Anya"},{"family":"Maschauer","given":"Emily"},{"family":"Broomby","given":"Rupert"},{"family":"Price","given":"Robert"},{"family":"Coathup","given":"Rachel"},{"family":"Gilhooly","given":"David"},{"family":"Palmer","given":"Edward"},{"family":"Gordon-Williams","given":"Richard"},{"family":"Hill","given":"Robert"},{"family":"Harris","given":"Jen"},{"family":"Mollaahmetoglu","given":"O. Merve"},{"family":"Curran","given":"H. Valerie"},{"family":"Brandner","given":"Brigitta"},{"family":"Lingford-Hughes","given":"Anne"},{"family":"Morgan","given":"Celia J.A."}],"issued":{"date-parts":[["2022",2]]}}},{"id":2755,"uris":["http://zotero.org/users/7033572/items/UPUDNJXM"],"itemData":{"id":2755,"type":"article-journal","abstract":"Benzodiazepines and medications acting on benzodiazepine receptors that do not have a benzodiazepine structure (z-drugs) have been viewed by some experts and regulatory bodies as having limited benefit and significant risks. Data presented in this article support the use of these medications as treatments of choice for acute situational anxiety, chronic anxiety disorders, insomnia, alcohol withdrawal syndromes, and catatonia. They may also be useful adjuncts in the treatment of anxious depression and mania, and for medically ill patients. Tolerance develops to sedation and possibly psychomotor impairment, but not to the anxiolytic effect of benzodiazepines. Sedation can impair cognitive function in some patients, but assertions that benzodiazepines increase the risk of dementia are not supported by recent data. Contrary to popular opinion, benzodiazepines are not frequently misused or conduits to misuse of other substances in patients without substance use disorders who are prescribed these medications for appropriate indications; most benzodiazepine misuse involves medications that are obtained from other people. Benzodiazepines are usually not lethal in overdose except when ingested with other substances, especially alcohol and opioids. Benzodiazepines comprise one of the few classes of psychotropic medication the mechanisms of action of which are clearly delineated, allowing for greater precision in their clinical use. These medications, therefore, belong in the therapeutic armamentarium of the knowledgeable clinician.","container-title":"Psychotherapy and Psychosomatics","DOI":"10.1159/000524400","ISSN":"0033-3190","issue":"5","journalAbbreviation":"Psychotherapy and Psychosomatics","page":"307-334","source":"Silverchair","title":"Benzodiazepines Remain Important Therapeutic Options in Psychiatric Practice","volume":"91","author":[{"family":"Dubovsky","given":"Steven L."},{"family":"Marshall","given":"Dori"}],"issued":{"date-parts":[["2022",8,23]]}}},{"id":2620,"uris":["http://zotero.org/users/7033572/items/ZMZBHG3K"],"itemData":{"id":2620,"type":"article-journal","abstract":"The identification of biomarkers of drug action can be supported by non-invasive brain imaging techniques, such as electroencephalography (EEG) and functional magnetic resonance imaging (fMRI), with simultaneous collection plausibly overcoming the limitations of either modality alone. Despite this, few studies have assessed the feasibility and utility of recording simultaneous EEG/fMRI in a drug study.","container-title":"Psychopharmacology","DOI":"10.1007/s00213-018-5064-8","ISSN":"1432-2072","issue":"12","journalAbbreviation":"Psychopharmacology","language":"en","page":"3479-3493","source":"Springer Link","title":"Comparison of local spectral modulation, and temporal correlation, of simultaneously recorded EEG/fMRI signals during ketamine and midazolam sedation","volume":"235","author":[{"family":"Forsyth","given":"Anna"},{"family":"McMillan","given":"Rebecca"},{"family":"Campbell","given":"Doug"},{"family":"Malpas","given":"Gemma"},{"family":"Maxwell","given":"Elizabeth"},{"family":"Sleigh","given":"Jamie"},{"family":"Dukart","given":"Juergen"},{"family":"Hipp","given":"Joerg F"},{"family":"Muthukumaraswamy","given":"Suresh D"}],"issued":{"date-parts":[["2018",12,1]]}}},{"id":3110,"uris":["http://zotero.org/users/7033572/items/83ZY7WPG"],"itemData":{"id":3110,"type":"article-journal","abstract":"Capitalizing on recent advances in resting-state functional connectivity magnetic resonance imaging (rs-fcMRI) and the distinctive paradigm of rapid mood normalization following ketamine treatment, the current study investigated intrinsic brain networks in major depressive disorder (MDD) during a depressive episode and following treatment with ketamine. Medication-free patients with MDD and healthy control subjects (HC) completed baseline rs-fcMRI. MDD patients received a single infusion of ketamine and underwent repeated rs-fcMRI at 24</w:instrText>
      </w:r>
      <w:r w:rsidRPr="008A32B0">
        <w:rPr>
          <w:rFonts w:ascii="Times New Roman" w:hAnsi="Times New Roman" w:cs="Times New Roman"/>
          <w:color w:val="000000" w:themeColor="text1"/>
        </w:rPr>
        <w:instrText> </w:instrText>
      </w:r>
      <w:r w:rsidRPr="008A32B0">
        <w:rPr>
          <w:color w:val="000000" w:themeColor="text1"/>
        </w:rPr>
        <w:instrText xml:space="preserve">h posttreatment. Global brain connectivity with global signal regression (GBCr) values were computed as the average of correlations of each voxel with all other gray matter voxels in the brain. MDD group showed reduced GBCr in the prefrontal cortex (PFC) but increased GBCr in the posterior cingulate, precuneus, lingual gyrus, and cerebellum. Ketamine significantly increased GBCr in the PFC and reduced GBCr in the cerebellum. At baseline, 2174 voxels of altered GBCr were identified, but only 310 voxels significantly differed relative to controls following treatment (corrected </w:instrText>
      </w:r>
      <w:r w:rsidRPr="008A32B0">
        <w:rPr>
          <w:rFonts w:ascii="Cambria" w:hAnsi="Cambria" w:cs="Cambria"/>
          <w:color w:val="000000" w:themeColor="text1"/>
        </w:rPr>
        <w:instrText>α</w:instrText>
      </w:r>
      <w:r w:rsidRPr="008A32B0">
        <w:rPr>
          <w:color w:val="000000" w:themeColor="text1"/>
        </w:rPr>
        <w:instrText xml:space="preserve">&lt;0.05). Responders to ketamine showed increased GBCr in the lateral PFC, caudate, and insula. Follow-up seed-based analyses illustrated a pattern of dysconnectivity between the PFC/subcortex and the rest of the brain in MDD, which appeared to normalize postketamine. The extent of the functional dysconnectivity identified in MDD and the swift and robust normalization following treatment suggest that GBCr may serve as a treatment response biomarker for the development of rapid acting antidepressants. The data also identified unique prefrontal and striatal circuitry as a putative marker of successful treatment and a target for antidepressants' development.","container-title":"Neuropsychopharmacology: Official Publication of the American College of Neuropsychopharmacology","DOI":"10.1038/npp.2016.186","ISSN":"1740-634X","issue":"6","journalAbbreviation":"Neuropsychopharmacology","language":"eng","page":"1210-1219","PMID":"27604566","PMCID":"PMC5437875","source":"PubMed","title":"Ketamine Treatment and Global Brain Connectivity in Major Depression","volume":"42","author":[{"family":"Abdallah","given":"Chadi G."},{"family":"Averill","given":"Lynnette A."},{"family":"Collins","given":"Katherine A."},{"family":"Geha","given":"Paul"},{"family":"Schwartz","given":"Jaclyn"},{"family":"Averill","given":"Christopher"},{"family":"DeWilde","given":"Kaitlin E."},{"family":"Wong","given":"Edmund"},{"family":"Anticevic","given":"Alan"},{"family":"Tang","given":"Cheuk Y."},{"family":"Iosifescu","given":"Dan V."},{"family":"Charney","given":"Dennis S."},{"family":"Murrough","given":"James W."}],"issued":{"date-parts":[["2017",5]]}}},{"id":3112,"uris":["http://zotero.org/users/7033572/items/9X7L24A8"],"itemData":{"id":3112,"type":"article-journal","abstract":"A growing body of evidence suggests glutamate excess in schizophrenia and that N-methyl-d-aspartate receptor (NMDAR) hypofunction on </w:instrText>
      </w:r>
      <w:r w:rsidRPr="008A32B0">
        <w:rPr>
          <w:rFonts w:ascii="Cambria" w:hAnsi="Cambria" w:cs="Cambria"/>
          <w:color w:val="000000" w:themeColor="text1"/>
        </w:rPr>
        <w:instrText>γ</w:instrText>
      </w:r>
      <w:r w:rsidRPr="008A32B0">
        <w:rPr>
          <w:color w:val="000000" w:themeColor="text1"/>
        </w:rPr>
        <w:instrText xml:space="preserve">-aminobutyric acid (GABA) interneurons disinhibiting pyramidal cells may be relevant to this hyperglutamatergic state. To better understand how NMDAR hypofunction affects the brain, we used magnetic resonance spectroscopy and resting-state functional magnetic resonance imaging (MRI) to study the effects of ketamine on hippocampal neurometabolite levels and functional connectivity in 15 healthy human subjects. We observed a ketamine-induced increase in hippocampal Glx (glutamate+glutamine; F=3.76; P=0.04), a decrease in fronto-temporal (t=4.92, PFDR&lt;0.05, kE=2198, x=-30, y=52, z=14) and temporo-parietal functional connectivity (t=5.07, PFDR&lt;0.05, kE=6094, x=-28, y=-36, z=-2), and a possible link between connectivity changes and elevated Glx. Our data empirically support that hippocampal glutamatergic elevation and resting-state network alterations may arise from NMDAR hypofunction and establish a proof of principle whereby experimental modelling of a disorder can help mechanistically integrate distinct neuroimaging abnormalities in schizophrenia.","container-title":"Molecular Psychiatry","DOI":"10.1038/mp.2016.122","ISSN":"1476-5578","issue":"4","journalAbbreviation":"Mol Psychiatry","language":"eng","page":"562-569","PMID":"27480494","PMCID":"PMC5562151","source":"PubMed","title":"Ketamine modulates hippocampal neurochemistry and functional connectivity: a combined magnetic resonance spectroscopy and resting-state fMRI study in healthy volunteers","title-short":"Ketamine modulates hippocampal neurochemistry and functional connectivity","volume":"22","author":[{"family":"Kraguljac","given":"N. V."},{"family":"Frölich","given":"M. A."},{"family":"Tran","given":"S."},{"family":"White","given":"D. M."},{"family":"Nichols","given":"N."},{"family":"Barton-McArdle","given":"A."},{"family":"Reid","given":"M. A."},{"family":"Bolding","given":"M. S."},{"family":"Lahti","given":"A. C."}],"issued":{"date-parts":[["2017",4]]}}}],"schema":"https://github.com/citation-style-language/schema/raw/master/csl-citation.json"} </w:instrText>
      </w:r>
      <w:r w:rsidRPr="008A32B0">
        <w:rPr>
          <w:color w:val="000000" w:themeColor="text1"/>
        </w:rPr>
        <w:fldChar w:fldCharType="separate"/>
      </w:r>
      <w:r w:rsidR="004946B6" w:rsidRPr="008A32B0">
        <w:rPr>
          <w:rFonts w:cs="Times New Roman"/>
          <w:color w:val="000000"/>
          <w:vertAlign w:val="superscript"/>
        </w:rPr>
        <w:t>30–36</w:t>
      </w:r>
      <w:r w:rsidRPr="008A32B0">
        <w:rPr>
          <w:color w:val="000000" w:themeColor="text1"/>
        </w:rPr>
        <w:fldChar w:fldCharType="end"/>
      </w:r>
      <w:r w:rsidRPr="008A32B0">
        <w:rPr>
          <w:color w:val="000000" w:themeColor="text1"/>
        </w:rPr>
        <w:t xml:space="preserve">. </w:t>
      </w:r>
      <w:r w:rsidRPr="000D31E6">
        <w:rPr>
          <w:color w:val="000000" w:themeColor="text1"/>
          <w:lang w:eastAsia="zh-CN"/>
        </w:rPr>
        <w:t>At</w:t>
      </w:r>
      <w:r w:rsidRPr="000D31E6">
        <w:rPr>
          <w:color w:val="000000" w:themeColor="text1"/>
        </w:rPr>
        <w:t xml:space="preserve"> the network level, ketamine produces a net increase in AMPA-mediated excitatory throughput downstream of NMDA antagonism</w:t>
      </w:r>
      <w:r w:rsidRPr="000D31E6">
        <w:rPr>
          <w:color w:val="000000" w:themeColor="text1"/>
        </w:rPr>
        <w:fldChar w:fldCharType="begin"/>
      </w:r>
      <w:r w:rsidRPr="000D31E6">
        <w:rPr>
          <w:color w:val="000000" w:themeColor="text1"/>
        </w:rPr>
        <w:instrText xml:space="preserve"> ADDIN ZOTERO_ITEM CSL_CITATION {"citationID":"cPkPirNz","properties":{"unsorted":false,"formattedCitation":"\\super 30\\nosupersub{}","plainCitation":"30","noteIndex":0},"citationItems":[{"id":2575,"uris":["http://zotero.org/users/7033572/items/3YC4TSHF"],"itemData":{"id":2575,"type":"article-journal","abstract":"Clinical studies have demonstrated that a single sub-anesthetic dose of the dissociative anesthetic ketamine induces rapid and sustained antidepressant actions in treatment-resistant patients. Although this finding has been met with enthusiasm, ...","container-title":"Molecular psychiatry","DOI":"10.1038/mp.2017.255","issue":"4","language":"en","page":"801","PMID":"29532791","source":"pmc.ncbi.nlm.nih.gov","title":"Mechanisms of Ketamine Action as an Antidepressant","volume":"23","author":[{"family":"Zanos","given":"Panos"},{"family":"Gould","given":"Todd D."}],"issued":{"date-parts":[["2018",3,13]]}}}],"schema":"https://github.com/citation-style-language/schema/raw/master/csl-citation.json"} </w:instrText>
      </w:r>
      <w:r w:rsidRPr="000D31E6">
        <w:rPr>
          <w:color w:val="000000" w:themeColor="text1"/>
        </w:rPr>
        <w:fldChar w:fldCharType="separate"/>
      </w:r>
      <w:r w:rsidRPr="008A32B0">
        <w:rPr>
          <w:rFonts w:cs="Times New Roman"/>
          <w:color w:val="000000" w:themeColor="text1"/>
          <w:vertAlign w:val="superscript"/>
        </w:rPr>
        <w:t>30</w:t>
      </w:r>
      <w:r w:rsidRPr="000D31E6">
        <w:rPr>
          <w:color w:val="000000" w:themeColor="text1"/>
        </w:rPr>
        <w:fldChar w:fldCharType="end"/>
      </w:r>
      <w:r w:rsidRPr="000D31E6">
        <w:rPr>
          <w:color w:val="000000" w:themeColor="text1"/>
        </w:rPr>
        <w:t>, whereas midazolam increases GABA-A-mediated inhibitory gain</w:t>
      </w:r>
      <w:r w:rsidRPr="000D31E6">
        <w:rPr>
          <w:color w:val="000000" w:themeColor="text1"/>
        </w:rPr>
        <w:fldChar w:fldCharType="begin"/>
      </w:r>
      <w:r w:rsidRPr="000D31E6">
        <w:rPr>
          <w:color w:val="000000" w:themeColor="text1"/>
        </w:rPr>
        <w:instrText xml:space="preserve"> ADDIN ZOTERO_ITEM CSL_CITATION {"citationID":"QFD2yAjb","properties":{"unsorted":false,"formattedCitation":"\\super 37\\nosupersub{}","plainCitation":"37","noteIndex":0},"citationItems":[{"id":2797,"uris":["http://zotero.org/users/7033572/items/BYUT3X2U"],"itemData":{"id":2797,"type":"article-journal","abstract":"Objective:Pharmacotherapy and behavioral treatments for alcohol use disorder are limited in their effectiveness, and new treatments with innovative mechanisms would be valuable. In this pilot study, the authors tested whether a single subanesthetic infusion of ketamine administered to adults with alcohol dependence and engaged in motivational enhancement therapy affects drinking outcomes.Methods:Participants were randomly assigned to a 52-minute intravenous administration of ketamine (0.71 mg/kg, N=17) or the active control midazolam (0.025 mg/kg, N=23), provided during the second week of a 5-week outpatient regimen of motivational enhancement therapy. Alcohol use following the infusion was assessed with timeline followback method, with abstinence confirmed by urine ethyl glucuronide testing. A longitudinal logistic mixed-effects model was used to model daily abstinence from alcohol over the 21 days after ketamine infusion.Results:Participants (N=40) were mostly middle-aged (mean age=53 years [SD=9.8]), predominantly white (70.3%), and largely employed (71.8%) and consumed an average of five drinks per day prior to entering the study. Ketamine significantly increased the likelihood of abstinence, delayed the time to relapse, and reduced the likelihood of heavy drinking days compared with midazolam. Infusions were well tolerated, with no participants removed from the study as a result of adverse events.Conclusions:A single ketamine infusion was found to improve measures of drinking in persons with alcohol dependence engaged in motivational enhancement therapy. These preliminary data suggest new directions in integrated pharmacotherapy-behavioral treatments for alcohol use disorder. Further research is needed to replicate these promising results in a larger sample.","container-title":"American Journal of Psychiatry","DOI":"10.1176/appi.ajp.2019.19070684","ISSN":"0002-953X","issue":"2","journalAbbreviation":"AJP","page":"125-133","publisher":"American Psychiatric Publishing","source":"psychiatryonline.org (Atypon)","title":"A Single Ketamine Infusion Combined With Motivational Enhancement Therapy for Alcohol Use Disorder: A Randomized Midazolam-Controlled Pilot Trial","title-short":"A Single Ketamine Infusion Combined With Motivational Enhancement Therapy for Alcohol Use Disorder","volume":"177","author":[{"family":"Dakwar","given":"Elias"},{"family":"Levin","given":"Frances"},{"family":"Hart","given":"Carl L."},{"family":"Basaraba","given":"Cale"},{"family":"Choi","given":"Jean"},{"family":"Pavlicova","given":"Martina"},{"family":"Nunes","given":"Edward V."}],"issued":{"date-parts":[["2020",2]]}}}],"schema":"https://github.com/citation-style-language/schema/raw/master/csl-citation.json"} </w:instrText>
      </w:r>
      <w:r w:rsidRPr="000D31E6">
        <w:rPr>
          <w:color w:val="000000" w:themeColor="text1"/>
        </w:rPr>
        <w:fldChar w:fldCharType="separate"/>
      </w:r>
      <w:r w:rsidRPr="008A32B0">
        <w:rPr>
          <w:rFonts w:cs="Times New Roman"/>
          <w:color w:val="000000" w:themeColor="text1"/>
          <w:vertAlign w:val="superscript"/>
        </w:rPr>
        <w:t>37</w:t>
      </w:r>
      <w:r w:rsidRPr="000D31E6">
        <w:rPr>
          <w:color w:val="000000" w:themeColor="text1"/>
        </w:rPr>
        <w:fldChar w:fldCharType="end"/>
      </w:r>
      <w:r w:rsidRPr="000D31E6">
        <w:rPr>
          <w:color w:val="000000" w:themeColor="text1"/>
        </w:rPr>
        <w:t>. We use this predefined mapping to link virtual perturbations to in vivo pharmacological data.</w:t>
      </w:r>
      <w:r w:rsidRPr="008A32B0">
        <w:rPr>
          <w:color w:val="000000" w:themeColor="text1"/>
        </w:rPr>
        <w:t xml:space="preserve"> Pharmaco-fMRI quantifies individual drug effects but cannot manipulate the underlying synaptic processes, and existing whole-brain models do not support controlled neurotransmitter-level perturbation of task-state networks in individuals</w:t>
      </w:r>
      <w:r w:rsidRPr="008A32B0">
        <w:rPr>
          <w:color w:val="000000" w:themeColor="text1"/>
        </w:rPr>
        <w:fldChar w:fldCharType="begin"/>
      </w:r>
      <w:r w:rsidRPr="008A32B0">
        <w:rPr>
          <w:color w:val="000000" w:themeColor="text1"/>
        </w:rPr>
        <w:instrText xml:space="preserve"> ADDIN ZOTERO_ITEM CSL_CITATION {"citationID":"AQAFoQGQ","properties":{"unsorted":false,"formattedCitation":"\\super 5,38\\uc0\\u8211{}40\\nosupersub{}","plainCitation":"5,38–40","noteIndex":0},"citationItems":[{"id":3017,"uris":["http://zotero.org/users/7033572/items/PH53FNYM"],"itemData":{"id":3017,"type":"article-journal","abstract":"Decades of neurobiological research have disclosed the diverse manners in which the response properties of neurons are dynamically modulated to support adaptive cognitive functions. This neuromodulation is achieved through alterations in the biophysical properties of the neuron. However, changes in cognitive function do not arise directly from the modulation of individual neurons, but are mediated by population dynamics in mesoscopic neural ensembles. Understanding this multiscale mapping is an important but nontrivial issue. Here, we bridge these different levels of description by showing how computational models parametrically map classic neuromodulatory processes onto systems-level models of neural activity. The ensuing critical balance of systems-level activity supports perception and action, although our knowledge of this mapping remains incomplete. In this way, quantitative models that link microscale neuronal neuromodulation to systems-level brain function highlight gaps in knowledge and suggest new directions for integrating theoretical and experimental work.","container-title":"Nature Neuroscience","DOI":"10.1038/s41593-021-00824-6","ISSN":"1546-1726","issue":"6","journalAbbreviation":"Nat Neurosci","language":"en","license":"2021 Crown","page":"765-776","publisher":"Nature Publishing Group","source":"www.nature.com","title":"Computational models link cellular mechanisms of neuromodulation to large-scale neural dynamics","volume":"24","author":[{"family":"Shine","given":"James M."},{"family":"Müller","given":"Eli J."},{"family":"Munn","given":"Brandon"},{"family":"Cabral","given":"Joana"},{"family":"Moran","given":"Rosalyn J."},{"family":"Breakspear","given":"Michael"}],"issued":{"date-parts":[["2021",6]]}}},{"id":713,"uris":["http://zotero.org/users/7033572/items/77Z9THAK"],"itemData":{"id":713,"type":"article-journal","abstract":"Cognitive activity requires the collective behavior of cortical, thalamic and spinal neurons across large-scale systems of the CNS. This paper provides an illustrated introduction to dynamic models of large-scale brain activity, from the tenets of the underlying theory to challenges, controversies and recent breakthroughs.","container-title":"Nature Neuroscience","DOI":"10.1038/nn.4497","ISSN":"1546-1726","issue":"3","journalAbbreviation":"Nat Neurosci","language":"en","license":"2017 Nature Publishing Group, a division of Macmillan Publishers Limited. All Rights Reserved.","note":"Bandiera_abtest: a\nCg_type: Nature Research Journals\nnumber: 3\nPrimary_atype: Reviews\nSubject_term: Computational models;Dynamical systems\nSubject_term_id: computational-models;dynamical-systems","page":"340-352","publisher":"Nature Publishing Group","source":"www.nature.com","title":"Dynamic models of large-scale brain activity","volume":"20","author":[{"family":"Breakspear","given":"Michael"}],"issued":{"date-parts":[["2017",3]]}}},{"id":2520,"uris":["http://zotero.org/users/7033572/items/SSQKTLGK"],"itemData":{"id":2520,"type":"article-journal","abstract":"Virtual brain twins are personalized, generative and adaptive brain models based on data from an individual’s brain for scientific and clinical use. After description of key elements of virtual brain twins, we present the standard model for personalized whole-brain network models. The personalization is accomplished using a subject’s brain imaging data by three means: 1) assemble cortical and subcortical areas in the subject-specific brain space; 2) directly map connectivity into the brain models, which can be generalised to other parameters; and 3) estimate relevant parameters through model inversion, typically using probabilistic machine learning. We present the use of personalized whole-brain network models in healthy ageing and five clinical uses: epilepsy, Alzheimer’s disease, multiple sclerosis, Parkinson’s disease and psychiatric disorder. Specifically, we introduce spatial masks for relevant parameters and demonstrate their use based on the physiological and pathophysiological hypotheses. Finally, we pinpoint the key challenges and future directions.","container-title":"National Science Review","DOI":"10.1093/nsr/nwae079","journalAbbreviation":"National Science Review","source":"ResearchGate","title":"Virtual brain twins: from basic neuroscience to clinical use","title-short":"Virtual brain twins","volume":"11","author":[{"family":"Wang","given":"Huifang"},{"family":"Triebkorn","given":"Paul"},{"family":"Breyton","given":"Martin"},{"family":"Dollomaja","given":"Borana"},{"family":"Lemarechal","given":"Jean-Didier"},{"family":"Petkoski","given":"Spase"},{"family":"Sorrentino","given":"Pierpaolo"},{"family":"Depannemaecker","given":"Damien"},{"family":"Hashemi","given":"Meysam"},{"family":"Jirsa","given":"Viktor"}],"issued":{"date-parts":[["2024",3,2]]}}},{"id":2503,"uris":["http://zotero.org/users/7033572/items/AKU8IXGD"],"itemData":{"id":2503,"type":"chapter","abstract":"Whole-Brain Modelling is a scientific field with a short history and a long past. Its various disciplinary roots and conceptual ingredients extend back to as early as the 1940s. It was not until the late 2000s, however, that a nascent paradigm emerged in roughly its current form—concurrently, and in many ways joined at the hip, with its sister field of macro-connectomics. This period saw a handful of seminal papers authored by a certain motley crew of notable theoretical and cognitive neuroscientists, which have served to define much of the landscape of whole-brain modelling as it stands at the start of the 2020s. At the same time, the field has over the past decade expanded in a dozen or more fascinating new methodological, theoretical, and clinical directions. In this chapter we offer a potted Past, Present, and Future of whole-brain modelling, noting what we take to be some of its greatest successes, hardest challenges, and most exciting opportunities.","container-title":"Computational Modelling of the Brain: Modelling Approaches to Cells, Circuits and Networks","DOI":"10.1007/978-3-030-89439-9_13","ISBN":"978-3-030-89439-9","language":"en","page":"313-355","publisher":"Springer International Publishing","publisher-place":"Cham","source":"Springer Link","title":"Whole-Brain Modelling: Past, Present, and Future","title-short":"Whole-Brain Modelling","URL":"https://doi.org/10.1007/978-3-030-89439-9_13","author":[{"family":"Griffiths","given":"John D."},{"family":"Bastiaens","given":"Sorenza P."},{"family":"Kaboodvand","given":"Neda"}],"editor":[{"family":"Giugliano","given":"Michele"},{"family":"Negrello","given":"Mario"},{"family":"Linaro","given":"Daniele"}],"accessed":{"date-parts":[["2024",7,27]]},"issued":{"date-parts":[["2022"]]}}}],"schema":"https://github.com/citation-style-language/schema/raw/master/csl-citation.json"} </w:instrText>
      </w:r>
      <w:r w:rsidRPr="008A32B0">
        <w:rPr>
          <w:color w:val="000000" w:themeColor="text1"/>
        </w:rPr>
        <w:fldChar w:fldCharType="separate"/>
      </w:r>
      <w:r w:rsidR="004946B6" w:rsidRPr="008A32B0">
        <w:rPr>
          <w:rFonts w:cs="Times New Roman"/>
          <w:color w:val="000000"/>
          <w:vertAlign w:val="superscript"/>
        </w:rPr>
        <w:t>5,38–40</w:t>
      </w:r>
      <w:r w:rsidRPr="008A32B0">
        <w:rPr>
          <w:color w:val="000000" w:themeColor="text1"/>
        </w:rPr>
        <w:fldChar w:fldCharType="end"/>
      </w:r>
      <w:r w:rsidRPr="008A32B0">
        <w:rPr>
          <w:color w:val="000000" w:themeColor="text1"/>
        </w:rPr>
        <w:t xml:space="preserve">. </w:t>
      </w:r>
    </w:p>
    <w:p w14:paraId="12F0FDFE" w14:textId="5984EE64" w:rsidR="004C1E86" w:rsidRPr="000D31E6" w:rsidRDefault="00740B9A" w:rsidP="004C1E86">
      <w:pPr>
        <w:spacing w:line="480" w:lineRule="auto"/>
        <w:jc w:val="both"/>
        <w:rPr>
          <w:color w:val="000000" w:themeColor="text1"/>
          <w:lang w:eastAsia="zh-CN"/>
        </w:rPr>
      </w:pPr>
      <w:r w:rsidRPr="000D31E6">
        <w:rPr>
          <w:color w:val="000000" w:themeColor="text1"/>
        </w:rPr>
        <w:lastRenderedPageBreak/>
        <w:t>Here we extend the DTB framework</w:t>
      </w:r>
      <w:r w:rsidRPr="000D31E6">
        <w:rPr>
          <w:color w:val="000000" w:themeColor="text1"/>
        </w:rPr>
        <w:fldChar w:fldCharType="begin"/>
      </w:r>
      <w:r w:rsidR="004946B6" w:rsidRPr="000D31E6">
        <w:rPr>
          <w:color w:val="000000" w:themeColor="text1"/>
        </w:rPr>
        <w:instrText xml:space="preserve"> ADDIN ZOTERO_ITEM CSL_CITATION {"citationID":"TylJz92f","properties":{"unsorted":false,"formattedCitation":"\\super 6,7\\nosupersub{}","plainCitation":"6,7","noteIndex":0},"citationItems":[{"id":2350,"uris":["http://zotero.org/users/7033572/items/DUUKTSIC"],"itemData":{"id":2350,"type":"article-journal","abstract":"The computational human brain model with voxel-wise assimilation method is established based on individual structural and functional imaging data. We found that the more resembling the brain was in both scale and architecture, the more similarity was found between the assimilated model and the biological brain both in resting states and during tasks by quantitative metrics. The hypothesis that resting state activity reflects internal body states was validated by the interoceptive circuit's capability to enhance the similarity between the simulation model and the biological brain. We identified that the removal of connections from the primary visual cortex (V1) to downstream visual pathways significantly decreased the similarity at the hippocampus between the model and its biological counterpart, despite a slight influence on the whole brain. In conclusion, the model and methodology present a solid quantitative framework of digital twin brain (DTB) for discovering the relationship between brain architecture and functions, and for digitally trying and testing diverse cognitive, medical, and lesioning approaches that could be otherwise infeasible to real subjects.","container-title":"National Science Review","DOI":"10.1093/nsr/nwae080","ISSN":"2095-5138","journalAbbreviation":"National Science Review","page":"nwae080","source":"Silverchair","title":"Imitating and exploring human brain's resting and task-performing states via resembling brain computing: scaling and architecture","title-short":"Imitating and exploring human brain's resting and task-performing states via resembling brain computing","author":[{"family":"Lu","given":"Wenlian"},{"family":"Zeng","given":"Longbin"},{"family":"Wang","given":"Jiexiang"},{"family":"Xiang","given":"Shitong"},{"family":"Qi","given":"Yang"},{"family":"Zheng","given":"Qibao"},{"family":"Xu","given":"Ningsheng"},{"family":"Feng","given":"Jianfeng"},{"literal":"DTB Consortium"}],"issued":{"date-parts":[["2024",3,1]]}}},{"id":2690,"uris":["http://zotero.org/users/7033572/items/2RJ8RLMM"],"itemData":{"id":2690,"type":"article-journal","abstract":"Here we present the Digital Brain (DB)—a platform for simulating spiking neuronal networks at the large neuron scale of the human brain on the basis of personalized magnetic resonance imaging data and biological constraints. The DB aims to reproduce both the resting state and certain aspects of the action of the human brain. An architecture with up to 86 billion neurons and 14,012 GPUs—including a two-level routing scheme between GPUs to accelerate spike transmission in up to 47.8 trillion neuronal synapses—was implemented as part of the simulations. We show that the DB can reproduce blood-oxygen-level-dependent signals of the resting state of the human brain with a high correlation coefficient, as well as interact with its perceptual input, as demonstrated in a visual task. These results indicate the feasibility of implementing a digital representation of the human brain, which can open the door to a broad range of potential applications.","container-title":"Nature Computational Science","DOI":"10.1038/s43588-024-00731-3","ISSN":"2662-8457","issue":"12","journalAbbreviation":"Nat Comput Sci","language":"en","license":"2024 The Author(s), under exclusive licence to Springer Nature America, Inc.","page":"890-898","publisher":"Nature Publishing Group","source":"www.nature.com","title":"Simulation and assimilation of the digital human brain","volume":"4","author":[{"family":"Lu","given":"Wenlian"},{"family":"Du","given":"Xin"},{"family":"Wang","given":"Jiexiang"},{"family":"Zeng","given":"Longbin"},{"family":"Ye","given":"Leijun"},{"family":"Xiang","given":"Shitong"},{"family":"Zheng","given":"Qibao"},{"family":"Zhang","given":"Jie"},{"family":"Xu","given":"Ningsheng"},{"family":"Feng","given":"Jianfeng"}],"issued":{"date-parts":[["2024",12]]}}}],"schema":"https://github.com/citation-style-language/schema/raw/master/csl-citation.json"} </w:instrText>
      </w:r>
      <w:r w:rsidRPr="000D31E6">
        <w:rPr>
          <w:color w:val="000000" w:themeColor="text1"/>
        </w:rPr>
        <w:fldChar w:fldCharType="separate"/>
      </w:r>
      <w:r w:rsidRPr="000D31E6">
        <w:rPr>
          <w:color w:val="000000" w:themeColor="text1"/>
          <w:vertAlign w:val="superscript"/>
        </w:rPr>
        <w:t>6,7</w:t>
      </w:r>
      <w:r w:rsidRPr="000D31E6">
        <w:rPr>
          <w:color w:val="000000" w:themeColor="text1"/>
        </w:rPr>
        <w:fldChar w:fldCharType="end"/>
      </w:r>
      <w:r w:rsidRPr="000D31E6">
        <w:rPr>
          <w:color w:val="000000" w:themeColor="text1"/>
          <w:lang w:eastAsia="zh-CN"/>
        </w:rPr>
        <w:t xml:space="preserve">, from </w:t>
      </w:r>
      <w:r w:rsidRPr="000D31E6">
        <w:rPr>
          <w:color w:val="000000" w:themeColor="text1"/>
        </w:rPr>
        <w:t xml:space="preserve">passive </w:t>
      </w:r>
      <w:r w:rsidRPr="000D31E6">
        <w:rPr>
          <w:color w:val="000000" w:themeColor="text1"/>
          <w:lang w:eastAsia="zh-CN"/>
        </w:rPr>
        <w:t>emulation to individualised perturbation. We first establish and independently validate a transdiagnostic NP phenotype, and then develop individualised DTBs in which the phenotype can be perturbed through excitatory and inhibitory synaptic conductance parameters. We examine these perturbations across model resolutions and participants, and test their correspondence with independent pharmacological effects and longitudinal symptom change.</w:t>
      </w:r>
      <w:commentRangeStart w:id="2"/>
      <w:commentRangeEnd w:id="2"/>
      <w:r w:rsidRPr="000D31E6">
        <w:rPr>
          <w:rStyle w:val="affb"/>
          <w:color w:val="000000" w:themeColor="text1"/>
          <w:sz w:val="22"/>
          <w:szCs w:val="22"/>
          <w:lang w:eastAsia="zh-CN"/>
        </w:rPr>
        <w:commentReference w:id="2"/>
      </w:r>
    </w:p>
    <w:p w14:paraId="1AAFA8D2" w14:textId="3F0EDAB9" w:rsidR="00D7490D" w:rsidRPr="008A32B0" w:rsidRDefault="00D7490D" w:rsidP="000571EC">
      <w:pPr>
        <w:adjustRightInd w:val="0"/>
        <w:snapToGrid w:val="0"/>
        <w:spacing w:line="480" w:lineRule="auto"/>
        <w:ind w:right="220"/>
        <w:jc w:val="both"/>
        <w:rPr>
          <w:b/>
          <w:bCs/>
          <w:color w:val="000000" w:themeColor="text1"/>
          <w:lang w:eastAsia="zh-CN"/>
        </w:rPr>
      </w:pPr>
      <w:r w:rsidRPr="008A32B0">
        <w:rPr>
          <w:b/>
          <w:bCs/>
          <w:color w:val="000000" w:themeColor="text1"/>
          <w:lang w:eastAsia="zh-CN"/>
        </w:rPr>
        <w:t>Results</w:t>
      </w:r>
    </w:p>
    <w:p w14:paraId="4EE74AAE" w14:textId="59258653" w:rsidR="004C1E86" w:rsidRPr="000D31E6" w:rsidRDefault="001D5C91" w:rsidP="00DC3A8D">
      <w:pPr>
        <w:adjustRightInd w:val="0"/>
        <w:snapToGrid w:val="0"/>
        <w:spacing w:line="480" w:lineRule="auto"/>
        <w:ind w:right="220"/>
        <w:jc w:val="both"/>
        <w:rPr>
          <w:color w:val="000000" w:themeColor="text1"/>
          <w:lang w:eastAsia="zh-CN"/>
        </w:rPr>
      </w:pPr>
      <w:commentRangeStart w:id="3"/>
      <w:r w:rsidRPr="000D31E6">
        <w:rPr>
          <w:color w:val="000000" w:themeColor="text1"/>
          <w:lang w:eastAsia="zh-CN"/>
        </w:rPr>
        <w:t>The analyses proceeded in five stages (Fig. 1): derivation of the NP phenotype in IMAGEN and validation in STRATIFY; calibration of DTB resolution; perturbation in 12 representative participants spanning major depressive disorder (MDD), alcohol use disorder (AUD), high symptom burden and healthy controls; extension to 288 participants; and tests against two pharmacological datasets (n = 27 and 41) and four-year symptom change (n = 85</w:t>
      </w:r>
      <w:r w:rsidR="00C73CA7" w:rsidRPr="000D31E6">
        <w:rPr>
          <w:color w:val="000000" w:themeColor="text1"/>
          <w:lang w:eastAsia="zh-CN"/>
        </w:rPr>
        <w:t xml:space="preserve"> of 288</w:t>
      </w:r>
      <w:r w:rsidRPr="000D31E6">
        <w:rPr>
          <w:color w:val="000000" w:themeColor="text1"/>
          <w:lang w:eastAsia="zh-CN"/>
        </w:rPr>
        <w:t>). Dataset independence and analytical dependencies are detailed in Supplementary Methods 1.</w:t>
      </w:r>
      <w:commentRangeEnd w:id="3"/>
      <w:r w:rsidRPr="000D31E6">
        <w:rPr>
          <w:rStyle w:val="affb"/>
          <w:color w:val="000000" w:themeColor="text1"/>
          <w:sz w:val="22"/>
          <w:szCs w:val="22"/>
          <w:lang w:eastAsia="zh-CN"/>
        </w:rPr>
        <w:commentReference w:id="3"/>
      </w:r>
    </w:p>
    <w:p w14:paraId="09E89529" w14:textId="21738615" w:rsidR="003A71A4" w:rsidRPr="008A32B0" w:rsidRDefault="00696C2F" w:rsidP="000571EC">
      <w:pPr>
        <w:adjustRightInd w:val="0"/>
        <w:snapToGrid w:val="0"/>
        <w:spacing w:line="480" w:lineRule="auto"/>
        <w:jc w:val="both"/>
        <w:rPr>
          <w:b/>
          <w:bCs/>
          <w:color w:val="000000" w:themeColor="text1"/>
          <w:lang w:eastAsia="zh-CN"/>
        </w:rPr>
      </w:pPr>
      <w:r w:rsidRPr="008A32B0">
        <w:rPr>
          <w:b/>
          <w:bCs/>
          <w:color w:val="000000" w:themeColor="text1"/>
        </w:rPr>
        <w:t xml:space="preserve">A compact cortico-subcortical network phenotype of psychopathology. </w:t>
      </w:r>
    </w:p>
    <w:p w14:paraId="74A20C34" w14:textId="20C685D7" w:rsidR="00B15869" w:rsidRPr="008A32B0" w:rsidRDefault="00B15869" w:rsidP="00B15869">
      <w:pPr>
        <w:spacing w:line="480" w:lineRule="auto"/>
        <w:jc w:val="both"/>
      </w:pPr>
      <w:r w:rsidRPr="008A32B0">
        <w:t>Following our previous work in 14-year-olds</w:t>
      </w:r>
      <w:r w:rsidRPr="008A32B0">
        <w:rPr>
          <w:vertAlign w:val="superscript"/>
        </w:rPr>
        <w:fldChar w:fldCharType="begin"/>
      </w:r>
      <w:r w:rsidR="004946B6" w:rsidRPr="008A32B0">
        <w:rPr>
          <w:vertAlign w:val="superscript"/>
        </w:rPr>
        <w:instrText xml:space="preserve"> ADDIN ZOTERO_ITEM CSL_CITATION {"citationID":"DuJwXhiw","properties":{"unsorted":false,"formattedCitation":"\\super 23\\nosupersub{}","plainCitation":"","noteIndex":0},"citationItems":[{"id":2192,"uris":["http://zotero.org/users/7033572/items/R6IMB2SL"],"itemData":{"id":2192,"type":"article-journal","abstract":"Recent studies proposed a general psychopathology factor underlying common comorbidities among psychiatric disorders. However, its neurobiological mechanisms and generalizability remain elusive. In this study, we used a large longitudinal neuroimaging cohort from adolescence to young adulthood (IMAGEN) to define a neuropsychopathological (NP) factor across externalizing and internalizing symptoms using multitask connectomes. We demonstrate that this NP factor might represent a unified, genetically determined, delayed development of the prefrontal cortex that further leads to poor executive function. We also show this NP factor to be reproducible in multiple developmental periods, from preadolescence to early adulthood, and generalizable to the resting-state connectome and clinical samples (the ADHD-200 Sample and the Stratify Project). In conclusion, we identify a reproducible and general neural basis underlying symptoms of multiple mental health disorders, bridging multidimensional evidence from behavioral, neuroimaging and genetic substrates. These findings may help to develop new therapeutic interventions for psychiatric comorbidities.","container-title":"Nature Medicine","DOI":"10.1038/s41591-023-02317-4","ISSN":"1546-170X","issue":"5","journalAbbreviation":"Nat Med","language":"en","license":"2023 The Author(s)","note":"number: 5","page":"1232-1242","publisher":"Nature Publishing Group","source":"www.nature.com","title":"A shared neural basis underlying psychiatric comorbidity","volume":"29","author":[{"family":"Xie","given":"Chao"},{"family":"Xiang","given":"Shitong"},{"family":"Shen","given":"Chun"},{"family":"Peng","given":"Xuerui"},{"family":"Kang","given":"Jujiao"},{"family":"Li","given":"Yuzhu"},{"family":"Cheng","given":"Wei"},{"family":"He","given":"Shiqi"},{"family":"Banaschewski","given":"Tobias"},{"family":"Barker","given":"Gareth J."},{"family":"Bokde","given":"Arun L. W."},{"family":"Bromberg","given":"Uli"},{"family":"Büchel","given":"Christian"},{"family":"Desrivières","given":"Sylvane"},{"family":"Flor","given":"Herta"},{"family":"Grigis","given":"Antoine"},{"family":"Garavan","given":"Hugh"},{"family":"Gowland","given":"Penny"},{"family":"Heinz","given":"Andreas"},{"family":"Ittermann","given":"Bernd"},{"family":"Martinot","given":"Jean-Luc"},{"family":"Martinot","given":"Marie-Laure Paillère"},{"family":"Nees","given":"Frauke"},{"family":"Orfanos","given":"Dimitri Papadopoulos"},{"family":"Paus","given":"Tomáš"},{"family":"Poustka","given":"Luise"},{"family":"Fröhner","given":"Juliane H."},{"family":"Smolka","given":"Michael N."},{"family":"Walter","given":"Henrik"},{"family":"Whelan","given":"Robert"},{"family":"Sahakian","given":"Barbara J."},{"family":"Robbins","given":"Trevor W."},{"family":"Schumann","given":"Gunter"},{"family":"Jia","given":"Tianye"},{"family":"Feng","given":"Jianfeng"}],"issued":{"date-parts":[["2023",5]]}}}],"schema":"https://github.com/citation-style-language/schema/raw/master/csl-citation.json"} </w:instrText>
      </w:r>
      <w:r w:rsidRPr="008A32B0">
        <w:rPr>
          <w:vertAlign w:val="superscript"/>
        </w:rPr>
        <w:fldChar w:fldCharType="separate"/>
      </w:r>
      <w:r w:rsidRPr="008A32B0">
        <w:rPr>
          <w:vertAlign w:val="superscript"/>
        </w:rPr>
        <w:fldChar w:fldCharType="end"/>
      </w:r>
      <w:r w:rsidR="004946B6" w:rsidRPr="008A32B0">
        <w:rPr>
          <w:vertAlign w:val="superscript"/>
        </w:rPr>
        <w:fldChar w:fldCharType="begin"/>
      </w:r>
      <w:r w:rsidR="004946B6" w:rsidRPr="008A32B0">
        <w:rPr>
          <w:vertAlign w:val="superscript"/>
        </w:rPr>
        <w:instrText xml:space="preserve"> ADDIN ZOTERO_ITEM CSL_CITATION {"citationID":"ADvLTvu1","properties":{"unsorted":false,"formattedCitation":"\\super 23\\nosupersub{}","plainCitation":"23","noteIndex":0},"citationItems":[{"id":2192,"uris":["http://zotero.org/users/7033572/items/R6IMB2SL"],"itemData":{"id":2192,"type":"article-journal","abstract":"Recent studies proposed a general psychopathology factor underlying common comorbidities among psychiatric disorders. However, its neurobiological mechanisms and generalizability remain elusive. In this study, we used a large longitudinal neuroimaging cohort from adolescence to young adulthood (IMAGEN) to define a neuropsychopathological (NP) factor across externalizing and internalizing symptoms using multitask connectomes. We demonstrate that this NP factor might represent a unified, genetically determined, delayed development of the prefrontal cortex that further leads to poor executive function. We also show this NP factor to be reproducible in multiple developmental periods, from preadolescence to early adulthood, and generalizable to the resting-state connectome and clinical samples (the ADHD-200 Sample and the Stratify Project). In conclusion, we identify a reproducible and general neural basis underlying symptoms of multiple mental health disorders, bridging multidimensional evidence from behavioral, neuroimaging and genetic substrates. These findings may help to develop new therapeutic interventions for psychiatric comorbidities.","container-title":"Nature Medicine","DOI":"10.1038/s41591-023-02317-4","ISSN":"1546-170X","issue":"5","journalAbbreviation":"Nat Med","language":"en","license":"2023 The Author(s)","note":"number: 5","page":"1232-1242","publisher":"Nature Publishing Group","source":"www.nature.com","title":"A shared neural basis underlying psychiatric comorbidity","volume":"29","author":[{"family":"Xie","given":"Chao"},{"family":"Xiang","given":"Shitong"},{"family":"Shen","given":"Chun"},{"family":"Peng","given":"Xuerui"},{"family":"Kang","given":"Jujiao"},{"family":"Li","given":"Yuzhu"},{"family":"Cheng","given":"Wei"},{"family":"He","given":"Shiqi"},{"family":"Banaschewski","given":"Tobias"},{"family":"Barker","given":"Gareth J."},{"family":"Bokde","given":"Arun L. W."},{"family":"Bromberg","given":"Uli"},{"family":"Büchel","given":"Christian"},{"family":"Desrivières","given":"Sylvane"},{"family":"Flor","given":"Herta"},{"family":"Grigis","given":"Antoine"},{"family":"Garavan","given":"Hugh"},{"family":"Gowland","given":"Penny"},{"family":"Heinz","given":"Andreas"},{"family":"Ittermann","given":"Bernd"},{"family":"Martinot","given":"Jean-Luc"},{"family":"Martinot","given":"Marie-Laure Paillère"},{"family":"Nees","given":"Frauke"},{"family":"Orfanos","given":"Dimitri Papadopoulos"},{"family":"Paus","given":"Tomáš"},{"family":"Poustka","given":"Luise"},{"family":"Fröhner","given":"Juliane H."},{"family":"Smolka","given":"Michael N."},{"family":"Walter","given":"Henrik"},{"family":"Whelan","given":"Robert"},{"family":"Sahakian","given":"Barbara J."},{"family":"Robbins","given":"Trevor W."},{"family":"Schumann","given":"Gunter"},{"family":"Jia","given":"Tianye"},{"family":"Feng","given":"Jianfeng"}],"issued":{"date-parts":[["2023",5]]}}}],"schema":"https://github.com/citation-style-language/schema/raw/master/csl-citation.json"} </w:instrText>
      </w:r>
      <w:r w:rsidR="004946B6" w:rsidRPr="008A32B0">
        <w:rPr>
          <w:vertAlign w:val="superscript"/>
        </w:rPr>
        <w:fldChar w:fldCharType="separate"/>
      </w:r>
      <w:r w:rsidR="004946B6" w:rsidRPr="008A32B0">
        <w:rPr>
          <w:rFonts w:cs="Times New Roman"/>
          <w:vertAlign w:val="superscript"/>
        </w:rPr>
        <w:t>23</w:t>
      </w:r>
      <w:r w:rsidR="004946B6" w:rsidRPr="008A32B0">
        <w:rPr>
          <w:vertAlign w:val="superscript"/>
        </w:rPr>
        <w:fldChar w:fldCharType="end"/>
      </w:r>
      <w:r w:rsidRPr="008A32B0">
        <w:t xml:space="preserve">, we applied connectome-based predictive modelling to task-based functional connectomes from monetary incentive delay (MID) and stop signal task (SST) in 19-year-old IMAGEN </w:t>
      </w:r>
      <w:r w:rsidRPr="000D31E6">
        <w:rPr>
          <w:lang w:eastAsia="zh-CN"/>
        </w:rPr>
        <w:t>cohort</w:t>
      </w:r>
      <w:r w:rsidRPr="008A32B0">
        <w:rPr>
          <w:lang w:eastAsia="zh-CN"/>
        </w:rPr>
        <w:t xml:space="preserve"> </w:t>
      </w:r>
      <w:r w:rsidRPr="008A32B0">
        <w:t>(</w:t>
      </w:r>
      <w:r w:rsidRPr="000D31E6">
        <w:rPr>
          <w:lang w:eastAsia="zh-CN"/>
        </w:rPr>
        <w:t>n</w:t>
      </w:r>
      <w:r w:rsidRPr="008A32B0">
        <w:rPr>
          <w:lang w:eastAsia="zh-CN"/>
        </w:rPr>
        <w:t>=1050; Table</w:t>
      </w:r>
      <w:r w:rsidRPr="000D31E6">
        <w:t xml:space="preserve"> S1</w:t>
      </w:r>
      <w:r w:rsidRPr="008A32B0">
        <w:t>). Four of the six task conditions showed significant predictive performance across multiple symptom measures</w:t>
      </w:r>
      <w:r w:rsidRPr="000D31E6">
        <w:rPr>
          <w:lang w:eastAsia="zh-CN"/>
        </w:rPr>
        <w:t xml:space="preserve"> </w:t>
      </w:r>
      <w:r w:rsidRPr="008A32B0">
        <w:t>(</w:t>
      </w:r>
      <w:r w:rsidRPr="000D31E6">
        <w:t xml:space="preserve">Fig. </w:t>
      </w:r>
      <w:r w:rsidRPr="000D31E6">
        <w:rPr>
          <w:lang w:eastAsia="zh-CN"/>
        </w:rPr>
        <w:t>2</w:t>
      </w:r>
      <w:r w:rsidRPr="000D31E6">
        <w:t>a; Tables S2-S3)</w:t>
      </w:r>
      <w:r w:rsidRPr="008A32B0">
        <w:t xml:space="preserve">. These yielded two functional connectivity profiles: a positive profile comprising 34 edges and a negative profile of 29, both concentrated within and between default mode, frontoparietal, somatomotor-frontal, limbic and cerebellar systems </w:t>
      </w:r>
      <w:r w:rsidRPr="000D31E6">
        <w:t xml:space="preserve">(Fig. </w:t>
      </w:r>
      <w:r w:rsidRPr="000D31E6">
        <w:rPr>
          <w:lang w:eastAsia="zh-CN"/>
        </w:rPr>
        <w:t>2</w:t>
      </w:r>
      <w:r w:rsidRPr="000D31E6">
        <w:t>b; Table S4</w:t>
      </w:r>
      <w:r w:rsidRPr="008A32B0">
        <w:t>)</w:t>
      </w:r>
      <w:r w:rsidRPr="008A32B0">
        <w:rPr>
          <w:lang w:eastAsia="zh-CN"/>
        </w:rPr>
        <w:t>.</w:t>
      </w:r>
      <w:r w:rsidRPr="008A32B0">
        <w:t xml:space="preserve"> </w:t>
      </w:r>
      <w:r w:rsidRPr="000D31E6">
        <w:t xml:space="preserve">In the positive profile, stronger connectivity was associated with higher levels of </w:t>
      </w:r>
      <w:r w:rsidRPr="000D31E6">
        <w:lastRenderedPageBreak/>
        <w:t>both internalising and externalising symptoms</w:t>
      </w:r>
      <w:r w:rsidRPr="000D31E6">
        <w:rPr>
          <w:lang w:eastAsia="zh-CN"/>
        </w:rPr>
        <w:t>, whereas in the</w:t>
      </w:r>
      <w:r w:rsidRPr="000D31E6">
        <w:t xml:space="preserve"> negative profile, weaker connectivity was associated with higher symptoms.</w:t>
      </w:r>
    </w:p>
    <w:p w14:paraId="7C3FDD83" w14:textId="572B0CDC" w:rsidR="00530FFC" w:rsidRPr="000D31E6" w:rsidRDefault="00C05A12" w:rsidP="00530FFC">
      <w:pPr>
        <w:adjustRightInd w:val="0"/>
        <w:snapToGrid w:val="0"/>
        <w:spacing w:line="480" w:lineRule="auto"/>
        <w:jc w:val="both"/>
        <w:rPr>
          <w:lang w:eastAsia="zh-CN"/>
        </w:rPr>
      </w:pPr>
      <w:r w:rsidRPr="008A32B0">
        <w:rPr>
          <w:color w:val="000000" w:themeColor="text1"/>
        </w:rPr>
        <w:t xml:space="preserve">We computed the summed connectivity strength of positive and negative profiles for each individual in STRATIFY </w:t>
      </w:r>
      <w:r w:rsidRPr="008A32B0">
        <w:t>(</w:t>
      </w:r>
      <w:r w:rsidRPr="000D31E6">
        <w:t>Table S1</w:t>
      </w:r>
      <w:r w:rsidRPr="008A32B0">
        <w:t>)</w:t>
      </w:r>
      <w:r w:rsidRPr="008A32B0">
        <w:rPr>
          <w:color w:val="000000" w:themeColor="text1"/>
        </w:rPr>
        <w:t xml:space="preserve">, yielding positive and negative NP factors. </w:t>
      </w:r>
      <w:r w:rsidRPr="000D31E6">
        <w:t xml:space="preserve">Only the negative </w:t>
      </w:r>
      <w:r w:rsidRPr="000D31E6">
        <w:rPr>
          <w:color w:val="000000" w:themeColor="text1"/>
        </w:rPr>
        <w:t>NP factor</w:t>
      </w:r>
      <w:r w:rsidRPr="000D31E6">
        <w:rPr>
          <w:color w:val="000000" w:themeColor="text1"/>
          <w:lang w:eastAsia="zh-CN"/>
        </w:rPr>
        <w:t xml:space="preserve"> </w:t>
      </w:r>
      <w:r w:rsidRPr="000D31E6">
        <w:t>distinguished patients from controls (225 controls and 202 patients, t(425) = 3.</w:t>
      </w:r>
      <w:r w:rsidRPr="000D31E6">
        <w:rPr>
          <w:lang w:eastAsia="zh-CN"/>
        </w:rPr>
        <w:t>83</w:t>
      </w:r>
      <w:r w:rsidRPr="000D31E6">
        <w:t>, P</w:t>
      </w:r>
      <w:r w:rsidRPr="000D31E6">
        <w:rPr>
          <w:vertAlign w:val="subscript"/>
        </w:rPr>
        <w:t>Bonferroni</w:t>
      </w:r>
      <w:r w:rsidRPr="000D31E6">
        <w:t xml:space="preserve"> = 0.00</w:t>
      </w:r>
      <w:r w:rsidRPr="000D31E6">
        <w:rPr>
          <w:lang w:eastAsia="zh-CN"/>
        </w:rPr>
        <w:t>0</w:t>
      </w:r>
      <w:r w:rsidRPr="000D31E6">
        <w:t>3, Hedges’ g = 0.3</w:t>
      </w:r>
      <w:r w:rsidRPr="000D31E6">
        <w:rPr>
          <w:lang w:eastAsia="zh-CN"/>
        </w:rPr>
        <w:t>7</w:t>
      </w:r>
      <w:r w:rsidRPr="000D31E6">
        <w:t xml:space="preserve">, 95% CI = 0.18-0.56; Fig. </w:t>
      </w:r>
      <w:r w:rsidRPr="000D31E6">
        <w:rPr>
          <w:lang w:eastAsia="zh-CN"/>
        </w:rPr>
        <w:t>2</w:t>
      </w:r>
      <w:r w:rsidRPr="000D31E6">
        <w:t>c</w:t>
      </w:r>
      <w:r w:rsidRPr="000D31E6">
        <w:rPr>
          <w:lang w:eastAsia="zh-CN"/>
        </w:rPr>
        <w:t xml:space="preserve">; </w:t>
      </w:r>
      <w:r w:rsidRPr="000D31E6">
        <w:t>Fig. S1). Patients had lower scores, and the factor also separated controls from each of the MDD (n = 104) and AUD (n = 98) groups (Fig. S1).</w:t>
      </w:r>
    </w:p>
    <w:p w14:paraId="64E119D2" w14:textId="7F5B5BF1" w:rsidR="00B85A90" w:rsidRPr="008A32B0" w:rsidRDefault="00B85A90" w:rsidP="00B85A90">
      <w:pPr>
        <w:spacing w:line="480" w:lineRule="auto"/>
        <w:jc w:val="both"/>
        <w:rPr>
          <w:lang w:eastAsia="zh-CN"/>
        </w:rPr>
      </w:pPr>
      <w:r w:rsidRPr="008A32B0">
        <w:rPr>
          <w:lang w:eastAsia="zh-CN"/>
        </w:rPr>
        <w:t xml:space="preserve">We next examined the neurochemical characteristics of </w:t>
      </w:r>
      <w:r w:rsidRPr="000D31E6">
        <w:rPr>
          <w:lang w:eastAsia="zh-CN"/>
        </w:rPr>
        <w:t>negative</w:t>
      </w:r>
      <w:r w:rsidRPr="008A32B0">
        <w:rPr>
          <w:lang w:eastAsia="zh-CN"/>
        </w:rPr>
        <w:t xml:space="preserve"> NP connectivity-related regions using empirical PET maps</w:t>
      </w:r>
      <w:r w:rsidRPr="008A32B0">
        <w:rPr>
          <w:rFonts w:eastAsiaTheme="minorHAnsi" w:cs="Calibri"/>
          <w:color w:val="1D1B11" w:themeColor="background2" w:themeShade="1A"/>
        </w:rPr>
        <w:fldChar w:fldCharType="begin"/>
      </w:r>
      <w:r w:rsidR="004946B6" w:rsidRPr="008A32B0">
        <w:rPr>
          <w:rFonts w:eastAsiaTheme="minorHAnsi" w:cs="Calibri"/>
          <w:color w:val="1D1B11" w:themeColor="background2" w:themeShade="1A"/>
        </w:rPr>
        <w:instrText xml:space="preserve"> ADDIN ZOTERO_ITEM CSL_CITATION {"citationID":"i2S8Uksp","properties":{"formattedCitation":"\\super 41\\nosupersub{}","plainCitation":"41","noteIndex":0},"citationItems":[{"id":2604,"uris":["http://zotero.org/users/7033572/items/USPPDKCE"],"itemData":{"id":2604,"type":"article-journal","abstract":"Neurotransmitter receptors support the propagation of signals in the human brain. How receptor systems are situated within macro-scale neuroanatomy and how they shape emergent function remain poorly understood, and there exists no comprehensive atlas of receptors. Here we collate positron emission tomography data from more than 1,200 healthy individuals to construct a whole-brain three-dimensional normative atlas of 19 receptors and transporters across nine different neurotransmitter systems. We found that receptor profiles align with structural connectivity and mediate function, including neurophysiological oscillatory dynamics and resting-state hemodynamic functional connectivity. Using the Neurosynth cognitive atlas, we uncovered a topographic gradient of overlapping receptor distributions that separates extrinsic and intrinsic psychological processes. Finally, we found both expected and novel associations between receptor distributions and cortical abnormality patterns across 13 disorders. We replicated all findings in an independently collected autoradiography dataset. This work demonstrates how chemoarchitecture shapes brain structure and function, providing a new direction for studying multi-scale brain organization.","container-title":"Nature Neuroscience","DOI":"10.1038/s41593-022-01186-3","ISSN":"1546-1726","issue":"11","journalAbbreviation":"Nat Neurosci","language":"eng","page":"1569-1581","PMID":"36303070","PMCID":"PMC9630096","source":"PubMed","title":"Mapping neurotransmitter systems to the structural and functional organization of the human neocortex","volume":"25","author":[{"family":"Hansen","given":"Justine Y."},{"family":"Shafiei","given":"Golia"},{"family":"Markello","given":"Ross D."},{"family":"Smart","given":"Kelly"},{"family":"Cox","given":"Sylvia M. L."},{"family":"Nørgaard","given":"Martin"},{"family":"Beliveau","given":"Vincent"},{"family":"Wu","given":"Yanjun"},{"family":"Gallezot","given":"Jean-Dominique"},{"family":"Aumont","given":"Étienne"},{"family":"Servaes","given":"Stijn"},{"family":"Scala","given":"Stephanie G."},{"family":"DuBois","given":"Jonathan M."},{"family":"Wainstein","given":"Gabriel"},{"family":"Bezgin","given":"Gleb"},{"family":"Funck","given":"Thomas"},{"family":"Schmitz","given":"Taylor W."},{"family":"Spreng","given":"R. Nathan"},{"family":"Galovic","given":"Marian"},{"family":"Koepp","given":"Matthias J."},{"family":"Duncan","given":"John S."},{"family":"Coles","given":"Jonathan P."},{"family":"Fryer","given":"Tim D."},{"family":"Aigbirhio","given":"Franklin I."},{"family":"McGinnity","given":"Colm J."},{"family":"Hammers","given":"Alexander"},{"family":"Soucy","given":"Jean-Paul"},{"family":"Baillet","given":"Sylvain"},{"family":"Guimond","given":"Synthia"},{"family":"Hietala","given":"Jarmo"},{"family":"Bedard","given":"Marc-André"},{"family":"Leyton","given":"Marco"},{"family":"Kobayashi","given":"Eliane"},{"family":"Rosa-Neto","given":"Pedro"},{"family":"Ganz","given":"Melanie"},{"family":"Knudsen","given":"Gitte M."},{"family":"Palomero-Gallagher","given":"Nicola"},{"family":"Shine","given":"James M."},{"family":"Carson","given":"Richard E."},{"family":"Tuominen","given":"Lauri"},{"family":"Dagher","given":"Alain"},{"family":"Misic","given":"Bratislav"}],"issued":{"date-parts":[["2022",11]]}}}],"schema":"https://github.com/citation-style-language/schema/raw/master/csl-citation.json"} </w:instrText>
      </w:r>
      <w:r w:rsidRPr="008A32B0">
        <w:rPr>
          <w:rFonts w:eastAsiaTheme="minorHAnsi" w:cs="Calibri"/>
          <w:color w:val="1D1B11" w:themeColor="background2" w:themeShade="1A"/>
        </w:rPr>
        <w:fldChar w:fldCharType="separate"/>
      </w:r>
      <w:r w:rsidR="004946B6" w:rsidRPr="008A32B0">
        <w:rPr>
          <w:rFonts w:cs="Times New Roman"/>
          <w:vertAlign w:val="superscript"/>
        </w:rPr>
        <w:t>41</w:t>
      </w:r>
      <w:r w:rsidRPr="008A32B0">
        <w:rPr>
          <w:rFonts w:eastAsiaTheme="minorHAnsi" w:cs="Calibri"/>
          <w:color w:val="1D1B11" w:themeColor="background2" w:themeShade="1A"/>
        </w:rPr>
        <w:fldChar w:fldCharType="end"/>
      </w:r>
      <w:r w:rsidRPr="008A32B0">
        <w:rPr>
          <w:lang w:eastAsia="zh-CN"/>
        </w:rPr>
        <w:t>. T</w:t>
      </w:r>
      <w:r w:rsidRPr="000D31E6">
        <w:rPr>
          <w:lang w:eastAsia="zh-CN"/>
        </w:rPr>
        <w:t>hese</w:t>
      </w:r>
      <w:r w:rsidRPr="008A32B0">
        <w:rPr>
          <w:lang w:eastAsia="zh-CN"/>
        </w:rPr>
        <w:t xml:space="preserve"> regions showed higher values for the glutamatergic, serotonergic, cholinergic, and cannabinoid systems (all P_corrected &lt; 0.05; Ta</w:t>
      </w:r>
      <w:r w:rsidRPr="000D31E6">
        <w:rPr>
          <w:lang w:eastAsia="zh-CN"/>
        </w:rPr>
        <w:t>ble S5;</w:t>
      </w:r>
      <w:r w:rsidRPr="008A32B0">
        <w:rPr>
          <w:lang w:eastAsia="zh-CN"/>
        </w:rPr>
        <w:t xml:space="preserve"> </w:t>
      </w:r>
      <w:r w:rsidRPr="000D31E6">
        <w:rPr>
          <w:lang w:eastAsia="zh-CN"/>
        </w:rPr>
        <w:t>Fig. S</w:t>
      </w:r>
      <w:r w:rsidRPr="008A32B0">
        <w:rPr>
          <w:lang w:eastAsia="zh-CN"/>
        </w:rPr>
        <w:t>2), providing a neurochemical rationale for probing th</w:t>
      </w:r>
      <w:r w:rsidRPr="000D31E6">
        <w:rPr>
          <w:lang w:eastAsia="zh-CN"/>
        </w:rPr>
        <w:t>is</w:t>
      </w:r>
      <w:r w:rsidRPr="008A32B0">
        <w:rPr>
          <w:lang w:eastAsia="zh-CN"/>
        </w:rPr>
        <w:t xml:space="preserve"> NP profile through excitatory and inhibitory synaptic conductance parameters</w:t>
      </w:r>
      <w:r w:rsidRPr="008A32B0">
        <w:fldChar w:fldCharType="begin"/>
      </w:r>
      <w:r w:rsidR="004946B6" w:rsidRPr="008A32B0">
        <w:instrText xml:space="preserve"> ADDIN ZOTERO_ITEM CSL_CITATION {"citationID":"GiZ9eIXy","properties":{"unsorted":false,"formattedCitation":"\\super 42,43\\nosupersub{}","plainCitation":"42,43","noteIndex":0},"citationItems":[{"id":2770,"uris":["http://zotero.org/users/7033572/items/FLK5FXT5"],"itemData":{"id":2770,"type":"article-journal","abstract":"The dynamics of networks of sparsely connected excitatory and inhibitory integrate-and-fire neurons are studied analytically. The analysis reveals a rich repertoire of states, including synchronous states in which neurons fire regularly; asynchronous states with stationary global activity and very irregular individual cell activity; and states in which the global activity oscillates but individual cells fire irregularly, typically at rates lower than the global oscillation frequency. The network can switch between these states, provided the external frequency, or the balance between excitation and inhibition, is varied. Two types of network oscillations are observed. In the fast oscillatory state, the network frequency is almost fully controlled by the synaptic time scale. In the slow oscillatory state, the network frequency depends mostly on the membrane time constant. Finite size effects in the asynchronous state are also discussed.","container-title":"Journal of Computational Neuroscience","DOI":"10.1023/a:1008925309027","ISSN":"0929-5313","issue":"3","journalAbbreviation":"J Comput Neurosci","language":"eng","page":"183-208","PMID":"10809012","source":"PubMed","title":"Dynamics of sparsely connected networks of excitatory and inhibitory spiking neurons","volume":"8","author":[{"family":"Brunel","given":"N."}],"issued":{"date-parts":[["2000"]]}}},{"id":3000,"uris":["http://zotero.org/users/7033572/items/JB8CRPY7"],"itemData":{"id":3000,"type":"article-journal","abstract":"Pharmacological data clearly indicate that both muscarinic and nicotinic acetylcholine receptors have a role in the encoding of new memories. Localized lesions and antagonist infusions demonstrate the anatomical locus of these cholinergic effects, and computational modeling links the function of cholinergic modulation to specific cellular effects within these regions. Acetylcholine has been shown to increase the strength of afferent input relative to feedback, to contribute to theta rhythm oscillations, activate intrinsic mechanisms for persistent spiking, and increase the modification of synapses. These effects might enhance different types of encoding in different cortical structures. In particular, the effects in entorhinal and perirhinal cortex and hippocampus might be important for encoding new episodic memories.","collection-title":"Motor systems / Neurobiology of behaviour","container-title":"Current Opinion in Neurobiology","DOI":"10.1016/j.conb.2006.09.002","ISSN":"0959-4388","issue":"6","journalAbbreviation":"Current Opinion in Neurobiology","page":"710-715","source":"ScienceDirect","title":"The role of acetylcholine in learning and memory","volume":"16","author":[{"family":"Hasselmo","given":"Michael E"}],"issued":{"date-parts":[["2006",12,1]]}}}],"schema":"https://github.com/citation-style-language/schema/raw/master/csl-citation.json"} </w:instrText>
      </w:r>
      <w:r w:rsidRPr="008A32B0">
        <w:fldChar w:fldCharType="separate"/>
      </w:r>
      <w:r w:rsidR="004946B6" w:rsidRPr="008A32B0">
        <w:rPr>
          <w:rFonts w:cs="Times New Roman"/>
          <w:vertAlign w:val="superscript"/>
        </w:rPr>
        <w:t>42,43</w:t>
      </w:r>
      <w:r w:rsidRPr="008A32B0">
        <w:fldChar w:fldCharType="end"/>
      </w:r>
      <w:r w:rsidRPr="008A32B0">
        <w:rPr>
          <w:lang w:eastAsia="zh-CN"/>
        </w:rPr>
        <w:t>.</w:t>
      </w:r>
    </w:p>
    <w:p w14:paraId="3E83C1B1" w14:textId="5F338F75" w:rsidR="008839DE" w:rsidRPr="008A32B0" w:rsidRDefault="008839DE" w:rsidP="00183050">
      <w:pPr>
        <w:spacing w:line="480" w:lineRule="auto"/>
        <w:jc w:val="both"/>
        <w:rPr>
          <w:lang w:eastAsia="zh-CN"/>
        </w:rPr>
      </w:pPr>
      <w:r w:rsidRPr="000D31E6">
        <w:t>Finally, we reduced the negative NP profile to 12 edges that could be faithfully represented by the DTB (Fig. 2d)</w:t>
      </w:r>
      <w:r w:rsidRPr="000D31E6">
        <w:rPr>
          <w:lang w:eastAsia="zh-CN"/>
        </w:rPr>
        <w:t>.</w:t>
      </w:r>
      <w:r w:rsidRPr="000D31E6">
        <w:t xml:space="preserve"> The 17 excluded edges all involved cerebellar or brainstem nodes, which have distinct cytoarchitecture and neuronal dynamics from cortical regions</w:t>
      </w:r>
      <w:r w:rsidRPr="000D31E6">
        <w:rPr>
          <w:rFonts w:eastAsiaTheme="minorHAnsi" w:cs="Calibri"/>
        </w:rPr>
        <w:fldChar w:fldCharType="begin"/>
      </w:r>
      <w:r w:rsidR="004946B6" w:rsidRPr="000D31E6">
        <w:rPr>
          <w:rFonts w:eastAsiaTheme="minorHAnsi" w:cs="Calibri"/>
        </w:rPr>
        <w:instrText xml:space="preserve"> ADDIN ZOTERO_ITEM CSL_CITATION {"citationID":"mQULTxpl","properties":{"formattedCitation":"\\super 44\\nosupersub{}","plainCitation":"44","noteIndex":0},"citationItems":[{"id":"TYpNCDSl/pXllVHf3","uris":["http://zotero.org/users/11196491/items/QPGHXPHP"],"itemData":{"id":1927,"type":"book","ISBN":"978-1-259-64224-1","note":"LCCN: 2021702182","publisher":"McGraw Hill LLC","title":"Principles of Neural Science, Sixth Edition","URL":"https://books.google.com.hk/books?id=IYoEEAAAQBAJ","author":[{"family":"Kandel","given":"E.R."},{"family":"Koester","given":"J.D."},{"family":"Mack","given":"S.H."},{"family":"Siegelbaum","given":"S.A."}],"issued":{"date-parts":[["2021"]]}}}],"schema":"https://github.com/citation-style-language/schema/raw/master/csl-citation.json"} </w:instrText>
      </w:r>
      <w:r w:rsidRPr="000D31E6">
        <w:rPr>
          <w:rFonts w:eastAsiaTheme="minorHAnsi" w:cs="Calibri"/>
        </w:rPr>
        <w:fldChar w:fldCharType="separate"/>
      </w:r>
      <w:r w:rsidR="004946B6" w:rsidRPr="008A32B0">
        <w:rPr>
          <w:rFonts w:cs="Times New Roman"/>
          <w:vertAlign w:val="superscript"/>
        </w:rPr>
        <w:t>44</w:t>
      </w:r>
      <w:r w:rsidRPr="000D31E6">
        <w:rPr>
          <w:rFonts w:eastAsiaTheme="minorHAnsi" w:cs="Calibri"/>
        </w:rPr>
        <w:fldChar w:fldCharType="end"/>
      </w:r>
      <w:r w:rsidRPr="000D31E6">
        <w:rPr>
          <w:rFonts w:eastAsiaTheme="minorHAnsi" w:cs="Calibri"/>
        </w:rPr>
        <w:t xml:space="preserve"> and are not separately parameterized in the current DTB framework </w:t>
      </w:r>
      <w:r w:rsidRPr="000D31E6">
        <w:t>(Methods). The summed strength of the remaining 12 edges discriminated patients from controls to a similar extent as the full profile (t(425) = 3.3</w:t>
      </w:r>
      <w:r w:rsidRPr="000D31E6">
        <w:rPr>
          <w:lang w:eastAsia="zh-CN"/>
        </w:rPr>
        <w:t>8</w:t>
      </w:r>
      <w:r w:rsidRPr="000D31E6">
        <w:t>, P</w:t>
      </w:r>
      <w:r w:rsidRPr="000D31E6">
        <w:rPr>
          <w:vertAlign w:val="subscript"/>
        </w:rPr>
        <w:t>Bonferroni</w:t>
      </w:r>
      <w:r w:rsidRPr="000D31E6">
        <w:t xml:space="preserve"> = 0.00</w:t>
      </w:r>
      <w:r w:rsidRPr="000D31E6">
        <w:rPr>
          <w:lang w:eastAsia="zh-CN"/>
        </w:rPr>
        <w:t>16</w:t>
      </w:r>
      <w:r w:rsidRPr="000D31E6">
        <w:t>; g = 0.3</w:t>
      </w:r>
      <w:r w:rsidRPr="000D31E6">
        <w:rPr>
          <w:lang w:eastAsia="zh-CN"/>
        </w:rPr>
        <w:t>3</w:t>
      </w:r>
      <w:r w:rsidRPr="000D31E6">
        <w:t xml:space="preserve">, 95% CI </w:t>
      </w:r>
      <w:r w:rsidRPr="000D31E6">
        <w:rPr>
          <w:lang w:eastAsia="zh-CN"/>
        </w:rPr>
        <w:t>0.14-0.52</w:t>
      </w:r>
      <w:r w:rsidRPr="000D31E6">
        <w:t xml:space="preserve">; Table S6; Fig. </w:t>
      </w:r>
      <w:r w:rsidRPr="000D31E6">
        <w:rPr>
          <w:lang w:eastAsia="zh-CN"/>
        </w:rPr>
        <w:t>2</w:t>
      </w:r>
      <w:r w:rsidRPr="000D31E6">
        <w:t xml:space="preserve">e), and correlated strongly with the full 29-edge profile (r = 0.72, P </w:t>
      </w:r>
      <w:r w:rsidRPr="000D31E6">
        <w:rPr>
          <w:lang w:eastAsia="zh-CN"/>
        </w:rPr>
        <w:t>&lt;0.000</w:t>
      </w:r>
      <w:r w:rsidRPr="000D31E6">
        <w:t xml:space="preserve">1; Fig. S3). Five of the 12 edges showed significant reductions in patients after FDR correction (Fig. </w:t>
      </w:r>
      <w:r w:rsidRPr="000D31E6">
        <w:rPr>
          <w:lang w:eastAsia="zh-CN"/>
        </w:rPr>
        <w:t>S3</w:t>
      </w:r>
      <w:r w:rsidRPr="000D31E6">
        <w:t>; Table S6)</w:t>
      </w:r>
      <w:r w:rsidRPr="000D31E6">
        <w:rPr>
          <w:lang w:eastAsia="zh-CN"/>
        </w:rPr>
        <w:t xml:space="preserve">. </w:t>
      </w:r>
      <w:r w:rsidRPr="008A32B0">
        <w:t>This 12-edge circuit served as the NP factor throughout.</w:t>
      </w:r>
    </w:p>
    <w:p w14:paraId="7AF02FFC" w14:textId="1D372BA3" w:rsidR="00DB4238" w:rsidRPr="008A32B0" w:rsidRDefault="00DB4238" w:rsidP="00DB4238">
      <w:pPr>
        <w:adjustRightInd w:val="0"/>
        <w:snapToGrid w:val="0"/>
        <w:spacing w:line="480" w:lineRule="auto"/>
        <w:jc w:val="both"/>
        <w:rPr>
          <w:b/>
          <w:bCs/>
          <w:color w:val="000000" w:themeColor="text1"/>
        </w:rPr>
      </w:pPr>
      <w:r w:rsidRPr="008A32B0">
        <w:rPr>
          <w:b/>
          <w:bCs/>
          <w:color w:val="000000" w:themeColor="text1"/>
        </w:rPr>
        <w:t xml:space="preserve">Calibration determines </w:t>
      </w:r>
      <w:r w:rsidRPr="000D31E6">
        <w:rPr>
          <w:b/>
          <w:bCs/>
          <w:color w:val="000000" w:themeColor="text1"/>
          <w:lang w:eastAsia="zh-CN"/>
        </w:rPr>
        <w:t xml:space="preserve">the </w:t>
      </w:r>
      <w:r w:rsidRPr="008A32B0">
        <w:rPr>
          <w:b/>
          <w:bCs/>
          <w:color w:val="000000" w:themeColor="text1"/>
          <w:lang w:eastAsia="zh-CN"/>
        </w:rPr>
        <w:t xml:space="preserve">appropriate </w:t>
      </w:r>
      <w:r w:rsidRPr="008A32B0">
        <w:rPr>
          <w:b/>
          <w:bCs/>
          <w:color w:val="000000" w:themeColor="text1"/>
        </w:rPr>
        <w:t>simulation scale for each inference</w:t>
      </w:r>
      <w:r w:rsidRPr="008A32B0">
        <w:rPr>
          <w:b/>
          <w:bCs/>
          <w:color w:val="000000" w:themeColor="text1"/>
          <w:lang w:eastAsia="zh-CN"/>
        </w:rPr>
        <w:t>.</w:t>
      </w:r>
      <w:r w:rsidRPr="008A32B0">
        <w:rPr>
          <w:b/>
          <w:bCs/>
          <w:color w:val="000000" w:themeColor="text1"/>
        </w:rPr>
        <w:t xml:space="preserve"> </w:t>
      </w:r>
    </w:p>
    <w:p w14:paraId="0954063B" w14:textId="6AAEB559" w:rsidR="002C0CBB" w:rsidRPr="000D31E6" w:rsidRDefault="008574CF" w:rsidP="002C0CBB">
      <w:pPr>
        <w:adjustRightInd w:val="0"/>
        <w:snapToGrid w:val="0"/>
        <w:spacing w:line="480" w:lineRule="auto"/>
        <w:jc w:val="both"/>
        <w:rPr>
          <w:color w:val="000000" w:themeColor="text1"/>
          <w:lang w:eastAsia="zh-CN"/>
        </w:rPr>
      </w:pPr>
      <w:r w:rsidRPr="000D31E6">
        <w:rPr>
          <w:color w:val="000000" w:themeColor="text1"/>
          <w:lang w:eastAsia="zh-CN"/>
        </w:rPr>
        <w:lastRenderedPageBreak/>
        <w:t>The DTB has three design dimensions that are partly confounded in a single-participant comparison: the number of simulated neurons, the spatial resolution of empirical data, and the neuronal scale at which assimilation hyperparameters are estimated. We therefore evaluated seven DTB configurations in the same 12 participants (</w:t>
      </w:r>
      <w:r w:rsidRPr="000D31E6">
        <w:rPr>
          <w:rFonts w:eastAsiaTheme="minorHAnsi"/>
          <w:color w:val="000000" w:themeColor="text1"/>
        </w:rPr>
        <w:t xml:space="preserve">demographic information in </w:t>
      </w:r>
      <w:r w:rsidRPr="000D31E6">
        <w:rPr>
          <w:color w:val="000000" w:themeColor="text1"/>
        </w:rPr>
        <w:t>Table S7</w:t>
      </w:r>
      <w:r w:rsidR="00CF2B82" w:rsidRPr="000D31E6">
        <w:rPr>
          <w:color w:val="000000" w:themeColor="text1"/>
        </w:rPr>
        <w:t>a</w:t>
      </w:r>
      <w:r w:rsidRPr="000D31E6">
        <w:rPr>
          <w:color w:val="000000" w:themeColor="text1"/>
          <w:lang w:eastAsia="zh-CN"/>
        </w:rPr>
        <w:t>), spanning region-wise and voxel-wise representations and neuronal scales from 3 million to 1 billion neurons (Supplementary Methods 2, 3; Supplementary Results 1). Two alternative brain models, the spatial autoregressive (SAR)</w:t>
      </w:r>
      <w:r w:rsidR="003347D4" w:rsidRPr="008A32B0">
        <w:fldChar w:fldCharType="begin"/>
      </w:r>
      <w:r w:rsidR="003347D4" w:rsidRPr="008A32B0">
        <w:instrText xml:space="preserve"> ADDIN ZOTERO_ITEM CSL_CITATION {"citationID":"cLtFqo3t","properties":{"unsorted":false,"formattedCitation":"\\super 45\\nosupersub{}","plainCitation":"45","noteIndex":0},"citationItems":[{"id":"TYpNCDSl/7R6QpG4E","uris":["http://zotero.org/users/9171162/items/FTA7J9UA"],"itemData":{"id":"TYpNCDSl/7R6QpG4E","type":"article-journal","abstract":"Investigating the relationship between brain structure and function is a central endeavor for neuroscience research. Yet, the mechanisms shaping this relationship largely remain to be elucidated and are highly debated. In particular, the existence and relative contributions of anatomical constraints and dynamical physiological mechanisms of different types remain to be established. We addressed this issue by systematically comparing functional connectivity (FC) from resting-state functional magnetic resonance imaging data with simulations from increasingly complex computational models, and by manipulating anatomical connectivity obtained from fiber tractography based on diffusion-weighted imaging. We hypothesized that FC reflects the interplay of at least three types of components: (i) a backbone of anatomical connectivity, (ii) a stationary dynamical regime directly driven by the underlying anatomy, and (iii) other stationary and non-stationary dynamics not directly related to the anatomy. We showed that anatomical connectivity alone accounts for up to 15% of FC variance; that there is a stationary regime accounting for up to an additional 20% of variance and that this regime can be associated to a stationary FC; that a simple stationary model of FC better explains FC than more complex models; and that there is a large remaining variance (around 65%), which must contain the non-stationarities of FC evidenced in the literature. We also show that homotopic connections across cerebral hemispheres, which are typically improperly estimated, play a strong role in shaping all aspects of FC, notably indirect connections and the topographic organization of brain networks.","container-title":"PLOS Computational Biology","DOI":"10.1371/journal.pcbi.1003530","ISSN":"1553-7358","issue":"3","journalAbbreviation":"PLOS Computational Biology","language":"en","note":"SAR","page":"e1003530","publisher":"Public Library of Science","source":"PLoS Journals","title":"Relating Structure and Function in the Human Brain: Relative Contributions of Anatomy, Stationary Dynamics, and Non-stationarities","title-short":"Relating Structure and Function in the Human Brain","volume":"10","author":[{"family":"Messé","given":"Arnaud"},{"family":"Rudrauf","given":"David"},{"family":"Benali","given":"Habib"},{"family":"Marrelec","given":"Guillaume"}],"issued":{"date-parts":[["2014",3,20]]}}}],"schema":"https://github.com/citation-style-language/schema/raw/master/csl-citation.json"} </w:instrText>
      </w:r>
      <w:r w:rsidR="003347D4" w:rsidRPr="008A32B0">
        <w:fldChar w:fldCharType="separate"/>
      </w:r>
      <w:r w:rsidR="003347D4" w:rsidRPr="000D31E6">
        <w:rPr>
          <w:rFonts w:cs="Calibri"/>
          <w:vertAlign w:val="superscript"/>
        </w:rPr>
        <w:t>45</w:t>
      </w:r>
      <w:r w:rsidR="003347D4" w:rsidRPr="008A32B0">
        <w:fldChar w:fldCharType="end"/>
      </w:r>
      <w:r w:rsidRPr="000D31E6">
        <w:rPr>
          <w:color w:val="000000" w:themeColor="text1"/>
          <w:lang w:eastAsia="zh-CN"/>
        </w:rPr>
        <w:t xml:space="preserve"> and reduced Wong-Wang (rWW)</w:t>
      </w:r>
      <w:r w:rsidR="003347D4" w:rsidRPr="000D31E6">
        <w:rPr>
          <w:color w:val="000000" w:themeColor="text1"/>
          <w:lang w:eastAsia="zh-CN"/>
        </w:rPr>
        <w:fldChar w:fldCharType="begin"/>
      </w:r>
      <w:r w:rsidR="003347D4" w:rsidRPr="000D31E6">
        <w:rPr>
          <w:color w:val="000000" w:themeColor="text1"/>
          <w:lang w:eastAsia="zh-CN"/>
        </w:rPr>
        <w:instrText xml:space="preserve"> ADDIN ZOTERO_ITEM CSL_CITATION {"citationID":"gXQAbbWm","properties":{"unsorted":false,"formattedCitation":"\\super 46\\nosupersub{}","plainCitation":"46","noteIndex":0},"citationItems":[{"id":2918,"uris":["http://zotero.org/users/7033572/items/ZD67J49M"],"itemData":{"id":2918,"type":"article-journal","abstract":"The spontaneous activity of the brain shows different features at different scales. On one hand, neuroimaging studies show that long-range correlations are highly structured in spatiotemporal patterns, known as resting-state networks, on the other hand, neurophysiological reports show that short-range correlations between neighboring neurons are low, despite a large amount of shared presynaptic inputs. Different dynamical mechanisms of local decorrelation have been proposed, among which is feedback inhibition. Here, we investigated the effect of locally regulating the feedback inhibition on the global dynamics of a large-scale brain model, in which the long-range connections are given by diffusion imaging data of human subjects. We used simulations and analytical methods to show that locally constraining the feedback inhibition to compensate for the excess of long-range excitatory connectivity, to preserve the asynchronous state, crucially changes the characteristics of the emergent resting and evoked activity. First, it significantly improves the model's prediction of the empirical human functional connectivity. Second, relaxing this constraint leads to an unrealistic network evoked activity, with systematic coactivation of cortical areas which are components of the default-mode network, whereas regulation of feedback inhibition prevents this. Finally, information theoretic analysis shows that regulation of the local feedback inhibition increases both the entropy and the Fisher information of the network evoked responses. Hence, it enhances the information capacity and the discrimination accuracy of the global network. In conclusion, the local excitation–inhibition ratio impacts the structure of the spontaneous activity and the information transmission at the large-scale brain level.","container-title":"Journal of Neuroscience","DOI":"10.1523/JNEUROSCI.5068-13.2014","ISSN":"0270-6474, 1529-2401","issue":"23","journalAbbreviation":"J. Neurosci.","language":"en","license":"Copyright © 2014 the authors 0270-6474/14/347886-13$15.00/0","page":"7886-7898","PMID":"24899711","publisher":"Society for Neuroscience","section":"Articles","source":"www.jneurosci.org","title":"How Local Excitation–Inhibition Ratio Impacts the Whole Brain Dynamics","volume":"34","author":[{"family":"Deco","given":"Gustavo"},{"family":"Ponce-Alvarez","given":"Adrián"},{"family":"Hagmann","given":"Patric"},{"family":"Romani","given":"Gian Luca"},{"family":"Mantini","given":"Dante"},{"family":"Corbetta","given":"Maurizio"}],"issued":{"date-parts":[["2014",6,4]]}}}],"schema":"https://github.com/citation-style-language/schema/raw/master/csl-citation.json"} </w:instrText>
      </w:r>
      <w:r w:rsidR="003347D4" w:rsidRPr="000D31E6">
        <w:rPr>
          <w:color w:val="000000" w:themeColor="text1"/>
          <w:lang w:eastAsia="zh-CN"/>
        </w:rPr>
        <w:fldChar w:fldCharType="separate"/>
      </w:r>
      <w:r w:rsidR="003347D4" w:rsidRPr="008A32B0">
        <w:rPr>
          <w:rFonts w:cs="Times New Roman"/>
          <w:color w:val="000000"/>
          <w:vertAlign w:val="superscript"/>
        </w:rPr>
        <w:t>46</w:t>
      </w:r>
      <w:r w:rsidR="003347D4" w:rsidRPr="000D31E6">
        <w:rPr>
          <w:color w:val="000000" w:themeColor="text1"/>
          <w:lang w:eastAsia="zh-CN"/>
        </w:rPr>
        <w:fldChar w:fldCharType="end"/>
      </w:r>
      <w:r w:rsidRPr="000D31E6">
        <w:rPr>
          <w:color w:val="000000" w:themeColor="text1"/>
          <w:lang w:eastAsia="zh-CN"/>
        </w:rPr>
        <w:t xml:space="preserve"> models, were included as benchmarks. Neuronal activity is modelled as coupled excitatory and inhibitory populations of leaky integrate-and-fire neurons with AMPA- and GABA-A-mediated synapses (Methods; Fig. S4; Table S8).</w:t>
      </w:r>
    </w:p>
    <w:p w14:paraId="22473737" w14:textId="2E2F3CA9" w:rsidR="006F4093" w:rsidRPr="000D31E6" w:rsidRDefault="006F4093" w:rsidP="00996F6B">
      <w:pPr>
        <w:adjustRightInd w:val="0"/>
        <w:snapToGrid w:val="0"/>
        <w:spacing w:line="480" w:lineRule="auto"/>
        <w:jc w:val="both"/>
        <w:rPr>
          <w:color w:val="000000" w:themeColor="text1"/>
          <w:lang w:eastAsia="zh-CN"/>
        </w:rPr>
      </w:pPr>
      <w:r w:rsidRPr="000D31E6">
        <w:rPr>
          <w:color w:val="000000" w:themeColor="text1"/>
        </w:rPr>
        <w:t>These configurations were chosen after two screens in one healthy participant, which fixed the ends of the design: voxel-wise fidelity approached saturation at about 1 billion neurons and region-wise fidelity at about 3 million (Tables S9a, S9b; Supplementary Results 2</w:t>
      </w:r>
      <w:r w:rsidR="000C00B8" w:rsidRPr="000D31E6">
        <w:rPr>
          <w:color w:val="000000" w:themeColor="text1"/>
        </w:rPr>
        <w:t>;</w:t>
      </w:r>
      <w:r w:rsidR="000C00B8" w:rsidRPr="008A32B0">
        <w:t xml:space="preserve"> </w:t>
      </w:r>
      <w:r w:rsidR="000C00B8" w:rsidRPr="000D31E6">
        <w:rPr>
          <w:color w:val="000000" w:themeColor="text1"/>
        </w:rPr>
        <w:t>Fig. S5</w:t>
      </w:r>
      <w:r w:rsidRPr="000D31E6">
        <w:rPr>
          <w:color w:val="000000" w:themeColor="text1"/>
        </w:rPr>
        <w:t>). For voxel-wise data, only hyper-parameters estimated at 100 million neurons yielded consistently high correlations with empirical BOLD (r = 0.89-0.90 across 10-million-, 100-million- and 1-billion-neuron models</w:t>
      </w:r>
      <w:r w:rsidRPr="000D31E6">
        <w:rPr>
          <w:color w:val="000000" w:themeColor="text1"/>
          <w:lang w:eastAsia="zh-CN"/>
        </w:rPr>
        <w:t xml:space="preserve">; </w:t>
      </w:r>
      <w:r w:rsidRPr="000D31E6">
        <w:rPr>
          <w:color w:val="000000" w:themeColor="text1"/>
        </w:rPr>
        <w:t>Fig. 3a</w:t>
      </w:r>
      <w:r w:rsidRPr="000D31E6">
        <w:rPr>
          <w:color w:val="000000" w:themeColor="text1"/>
          <w:lang w:eastAsia="zh-CN"/>
        </w:rPr>
        <w:t>)</w:t>
      </w:r>
      <w:r w:rsidRPr="000D31E6">
        <w:rPr>
          <w:color w:val="000000" w:themeColor="text1"/>
        </w:rPr>
        <w:t xml:space="preserve">. In 10-million-neuron models, using 10-million-neuron hyper-parameters substantially reduced assimilation accuracy for both voxel-wise (r = 0.77; </w:t>
      </w:r>
      <w:r w:rsidRPr="000D31E6">
        <w:rPr>
          <w:rFonts w:ascii="Cambria" w:hAnsi="Cambria" w:cs="Cambria"/>
          <w:color w:val="000000" w:themeColor="text1"/>
        </w:rPr>
        <w:t>Δ</w:t>
      </w:r>
      <w:r w:rsidRPr="000D31E6">
        <w:rPr>
          <w:color w:val="000000" w:themeColor="text1"/>
        </w:rPr>
        <w:t xml:space="preserve">r = 0.12, paired t(11) = 15.65, P &lt; 0.0001) and 1,000-region data (r = 0.69; </w:t>
      </w:r>
      <w:r w:rsidRPr="000D31E6">
        <w:rPr>
          <w:rFonts w:ascii="Cambria" w:hAnsi="Cambria" w:cs="Cambria"/>
          <w:color w:val="000000" w:themeColor="text1"/>
        </w:rPr>
        <w:t>Δ</w:t>
      </w:r>
      <w:r w:rsidRPr="000D31E6">
        <w:rPr>
          <w:color w:val="000000" w:themeColor="text1"/>
        </w:rPr>
        <w:t>r = 0.21, t(11) = 21.21, P &lt; 0.0001). At 268 regions, however, 3-million-neuron hyper-parameters achieved similarly high accuracy (r = 0.91). Increasing the simulated neuron count from 3 million to 10 million at this resolution had a negligible effect (</w:t>
      </w:r>
      <w:r w:rsidRPr="000D31E6">
        <w:rPr>
          <w:rFonts w:ascii="Cambria" w:hAnsi="Cambria" w:cs="Cambria"/>
          <w:color w:val="000000" w:themeColor="text1"/>
        </w:rPr>
        <w:t>Δ</w:t>
      </w:r>
      <w:r w:rsidRPr="000D31E6">
        <w:rPr>
          <w:color w:val="000000" w:themeColor="text1"/>
        </w:rPr>
        <w:t xml:space="preserve">r = </w:t>
      </w:r>
      <w:r w:rsidR="00955B9C" w:rsidRPr="000D31E6">
        <w:rPr>
          <w:color w:val="000000" w:themeColor="text1"/>
        </w:rPr>
        <w:t>-</w:t>
      </w:r>
      <w:r w:rsidRPr="000D31E6">
        <w:rPr>
          <w:color w:val="000000" w:themeColor="text1"/>
        </w:rPr>
        <w:t>0.0002), indicating that the neuronal scale required for effective assimilation depended on spatial resolution.</w:t>
      </w:r>
    </w:p>
    <w:p w14:paraId="07044499" w14:textId="51C4CBB8" w:rsidR="006F4093" w:rsidRPr="000D31E6" w:rsidRDefault="006F4093" w:rsidP="00996F6B">
      <w:pPr>
        <w:adjustRightInd w:val="0"/>
        <w:snapToGrid w:val="0"/>
        <w:spacing w:line="480" w:lineRule="auto"/>
        <w:jc w:val="both"/>
        <w:rPr>
          <w:color w:val="000000" w:themeColor="text1"/>
        </w:rPr>
      </w:pPr>
      <w:r w:rsidRPr="000D31E6">
        <w:rPr>
          <w:color w:val="000000" w:themeColor="text1"/>
        </w:rPr>
        <w:lastRenderedPageBreak/>
        <w:t xml:space="preserve">Whole-brain functional connectivity showed the same dependence on hyperparameter scale. With 100-million-neuron hyper-parameters, voxel-wise models achieved similar whole-brain correlations across 10 million, 100 million and 1 billion simulated neurons (r = 0.61, 0.61 and 0.59; Fig. 3b; </w:t>
      </w:r>
      <w:r w:rsidRPr="000D31E6">
        <w:rPr>
          <w:color w:val="000000" w:themeColor="text1"/>
          <w:lang w:eastAsia="zh-CN"/>
        </w:rPr>
        <w:t>Table S10</w:t>
      </w:r>
      <w:r w:rsidRPr="000D31E6">
        <w:rPr>
          <w:color w:val="000000" w:themeColor="text1"/>
        </w:rPr>
        <w:t>), whereas changing only the hyper-parameter scale from 100 million to 10 million neurons decreased the correlation from 0.61 to 0.08 (</w:t>
      </w:r>
      <w:r w:rsidRPr="000D31E6">
        <w:rPr>
          <w:rFonts w:ascii="Cambria" w:hAnsi="Cambria" w:cs="Cambria"/>
          <w:color w:val="000000" w:themeColor="text1"/>
        </w:rPr>
        <w:t>Δ</w:t>
      </w:r>
      <w:r w:rsidRPr="000D31E6">
        <w:rPr>
          <w:color w:val="000000" w:themeColor="text1"/>
        </w:rPr>
        <w:t xml:space="preserve">r = 0.54, paired t(11) = 40.90, P &lt; 0.0001). Regional models achieved r = 0.50 (1,000 regions) and 0.35 (268 regions), with no detectable difference between 3-million- and 10-million-neuron models at 268 regions (P = 0.76). Both regional DTBs exceeded the SAR and rWW benchmarks (3 M/268 versus SAR: </w:t>
      </w:r>
      <w:r w:rsidRPr="000D31E6">
        <w:rPr>
          <w:rFonts w:ascii="Cambria" w:hAnsi="Cambria" w:cs="Cambria"/>
          <w:color w:val="000000" w:themeColor="text1"/>
        </w:rPr>
        <w:t>Δ</w:t>
      </w:r>
      <w:r w:rsidRPr="000D31E6">
        <w:rPr>
          <w:color w:val="000000" w:themeColor="text1"/>
        </w:rPr>
        <w:t xml:space="preserve">r = 0.11, t(11) = 9.89, P &lt; 0.0001; versus rWW: </w:t>
      </w:r>
      <w:r w:rsidRPr="000D31E6">
        <w:rPr>
          <w:rFonts w:ascii="Cambria" w:hAnsi="Cambria" w:cs="Cambria"/>
          <w:color w:val="000000" w:themeColor="text1"/>
        </w:rPr>
        <w:t>Δ</w:t>
      </w:r>
      <w:r w:rsidRPr="000D31E6">
        <w:rPr>
          <w:color w:val="000000" w:themeColor="text1"/>
        </w:rPr>
        <w:t>r = 0.20, t(11) = 16.14, P &lt; 0.0001).</w:t>
      </w:r>
    </w:p>
    <w:p w14:paraId="0A26BAC6" w14:textId="0613265B" w:rsidR="006F4093" w:rsidRPr="000D31E6" w:rsidRDefault="006F4093" w:rsidP="00996F6B">
      <w:pPr>
        <w:adjustRightInd w:val="0"/>
        <w:snapToGrid w:val="0"/>
        <w:spacing w:line="480" w:lineRule="auto"/>
        <w:jc w:val="both"/>
        <w:rPr>
          <w:color w:val="000000" w:themeColor="text1"/>
          <w:lang w:eastAsia="zh-CN"/>
        </w:rPr>
      </w:pPr>
      <w:r w:rsidRPr="000D31E6">
        <w:rPr>
          <w:color w:val="000000" w:themeColor="text1"/>
        </w:rPr>
        <w:t>NP-connectivity error was lowest for the voxel-wise models using 100-million-neuron hyper-parameters (mean MSE = 0.06 ± 0.03;</w:t>
      </w:r>
      <w:r w:rsidRPr="000D31E6">
        <w:rPr>
          <w:color w:val="000000" w:themeColor="text1"/>
          <w:lang w:eastAsia="zh-CN"/>
        </w:rPr>
        <w:t xml:space="preserve"> </w:t>
      </w:r>
      <w:r w:rsidRPr="000D31E6">
        <w:rPr>
          <w:color w:val="000000" w:themeColor="text1"/>
        </w:rPr>
        <w:t xml:space="preserve">Fig. 3c; Table S11), with a significant effect of hyperparameter scale in the 10-million-neuron voxel-wise model (MSE 0.050 versus 0.10, paired t(11) = </w:t>
      </w:r>
      <w:r w:rsidR="00955B9C" w:rsidRPr="000D31E6">
        <w:rPr>
          <w:color w:val="000000" w:themeColor="text1"/>
        </w:rPr>
        <w:t>-</w:t>
      </w:r>
      <w:r w:rsidRPr="000D31E6">
        <w:rPr>
          <w:color w:val="000000" w:themeColor="text1"/>
        </w:rPr>
        <w:t xml:space="preserve">2.53, P = 0.028), but no clear separation between voxel-wise and 268-region models (P = 0.355). In contrast, simulation variability decreased monotonically with the number of simulated neurons, from 0.37 ± 0.23 at 3 million to 0.13 ± 0.04 at 1 billion neurons (Spearman </w:t>
      </w:r>
      <w:r w:rsidRPr="000D31E6">
        <w:rPr>
          <w:rFonts w:ascii="Cambria" w:hAnsi="Cambria" w:cs="Cambria"/>
          <w:color w:val="000000" w:themeColor="text1"/>
        </w:rPr>
        <w:t>ρ</w:t>
      </w:r>
      <w:r w:rsidRPr="000D31E6">
        <w:rPr>
          <w:color w:val="000000" w:themeColor="text1"/>
        </w:rPr>
        <w:t xml:space="preserve"> = </w:t>
      </w:r>
      <w:r w:rsidR="00955B9C" w:rsidRPr="000D31E6">
        <w:rPr>
          <w:color w:val="000000" w:themeColor="text1"/>
        </w:rPr>
        <w:t>-</w:t>
      </w:r>
      <w:r w:rsidRPr="000D31E6">
        <w:rPr>
          <w:color w:val="000000" w:themeColor="text1"/>
        </w:rPr>
        <w:t xml:space="preserve">0.82, P = 0.046; Fig. 3d; Table S12). </w:t>
      </w:r>
    </w:p>
    <w:p w14:paraId="730C4C9B" w14:textId="0673A029" w:rsidR="00996F6B" w:rsidRPr="000D31E6" w:rsidRDefault="006F4093" w:rsidP="00996F6B">
      <w:pPr>
        <w:adjustRightInd w:val="0"/>
        <w:snapToGrid w:val="0"/>
        <w:spacing w:line="480" w:lineRule="auto"/>
        <w:jc w:val="both"/>
        <w:rPr>
          <w:color w:val="000000" w:themeColor="text1"/>
        </w:rPr>
      </w:pPr>
      <w:r w:rsidRPr="000D31E6">
        <w:rPr>
          <w:color w:val="000000" w:themeColor="text1"/>
        </w:rPr>
        <w:t xml:space="preserve">Across configurations, NP-connectivity profiles were highly similar within the 100-million-neuron hyper-parameter voxel-wise family (mean </w:t>
      </w:r>
      <w:r w:rsidRPr="000D31E6">
        <w:rPr>
          <w:rFonts w:ascii="Cambria" w:hAnsi="Cambria" w:cs="Cambria"/>
          <w:color w:val="000000" w:themeColor="text1"/>
        </w:rPr>
        <w:t>ρ</w:t>
      </w:r>
      <w:r w:rsidRPr="000D31E6">
        <w:rPr>
          <w:color w:val="000000" w:themeColor="text1"/>
        </w:rPr>
        <w:t xml:space="preserve"> = 0.90</w:t>
      </w:r>
      <w:r w:rsidRPr="000D31E6">
        <w:rPr>
          <w:color w:val="000000" w:themeColor="text1"/>
          <w:lang w:eastAsia="zh-CN"/>
        </w:rPr>
        <w:t>;</w:t>
      </w:r>
      <w:r w:rsidRPr="008A32B0">
        <w:t xml:space="preserve"> </w:t>
      </w:r>
      <w:r w:rsidRPr="000D31E6">
        <w:rPr>
          <w:color w:val="000000" w:themeColor="text1"/>
          <w:lang w:eastAsia="zh-CN"/>
        </w:rPr>
        <w:t>all three pairs P &lt; 0.0001; Extended Data Fig. 1</w:t>
      </w:r>
      <w:r w:rsidRPr="000D31E6">
        <w:rPr>
          <w:color w:val="000000" w:themeColor="text1"/>
        </w:rPr>
        <w:t>) and the 3-million-neuron hyper-parameter regional family (</w:t>
      </w:r>
      <w:r w:rsidRPr="000D31E6">
        <w:rPr>
          <w:rFonts w:ascii="Cambria" w:hAnsi="Cambria" w:cs="Cambria"/>
          <w:color w:val="000000" w:themeColor="text1"/>
        </w:rPr>
        <w:t>ρ</w:t>
      </w:r>
      <w:r w:rsidRPr="000D31E6">
        <w:rPr>
          <w:color w:val="000000" w:themeColor="text1"/>
        </w:rPr>
        <w:t xml:space="preserve"> = 0.89,</w:t>
      </w:r>
      <w:r w:rsidRPr="000D31E6">
        <w:rPr>
          <w:color w:val="000000" w:themeColor="text1"/>
          <w:lang w:eastAsia="zh-CN"/>
        </w:rPr>
        <w:t xml:space="preserve"> P &lt; 0.0001</w:t>
      </w:r>
      <w:r w:rsidRPr="000D31E6">
        <w:rPr>
          <w:color w:val="000000" w:themeColor="text1"/>
        </w:rPr>
        <w:t xml:space="preserve">), but less similar between these families (mean </w:t>
      </w:r>
      <w:r w:rsidRPr="000D31E6">
        <w:rPr>
          <w:rFonts w:ascii="Cambria" w:hAnsi="Cambria" w:cs="Cambria"/>
          <w:color w:val="000000" w:themeColor="text1"/>
        </w:rPr>
        <w:t>ρ</w:t>
      </w:r>
      <w:r w:rsidRPr="000D31E6">
        <w:rPr>
          <w:color w:val="000000" w:themeColor="text1"/>
        </w:rPr>
        <w:t xml:space="preserve"> = 0.47). The 3 M/268 and 1 B models nevertheless retained positive correspondence (</w:t>
      </w:r>
      <w:r w:rsidRPr="000D31E6">
        <w:rPr>
          <w:rFonts w:ascii="Cambria" w:hAnsi="Cambria" w:cs="Cambria"/>
          <w:color w:val="000000" w:themeColor="text1"/>
        </w:rPr>
        <w:t>ρ</w:t>
      </w:r>
      <w:r w:rsidRPr="000D31E6">
        <w:rPr>
          <w:color w:val="000000" w:themeColor="text1"/>
        </w:rPr>
        <w:t xml:space="preserve"> = 0.53, P = 0.0003).</w:t>
      </w:r>
    </w:p>
    <w:p w14:paraId="03BF72C2" w14:textId="6C0D9AE4" w:rsidR="006F4093" w:rsidRPr="000D31E6" w:rsidRDefault="006F4093" w:rsidP="00996F6B">
      <w:pPr>
        <w:adjustRightInd w:val="0"/>
        <w:snapToGrid w:val="0"/>
        <w:spacing w:line="480" w:lineRule="auto"/>
        <w:jc w:val="both"/>
        <w:rPr>
          <w:color w:val="000000" w:themeColor="text1"/>
        </w:rPr>
      </w:pPr>
      <w:r w:rsidRPr="000D31E6">
        <w:rPr>
          <w:color w:val="000000" w:themeColor="text1"/>
        </w:rPr>
        <w:lastRenderedPageBreak/>
        <w:t>Considering fidelity, stability, and computational cost together, we used the 1-billion-neuron voxel-wise model as the reference, since it had the lowest simulation variability, the 100-million-neuron voxel-wise model for virtual perturbation parameter exploration, and the 3-million-neuron, 268-region model for population-scale perturbation analyses, one of the two configurations that assimilated well, at substantially lower computational cost.</w:t>
      </w:r>
    </w:p>
    <w:p w14:paraId="67F627AC" w14:textId="0B26F2A4" w:rsidR="006254D8" w:rsidRPr="008A32B0" w:rsidRDefault="006254D8" w:rsidP="006254D8">
      <w:pPr>
        <w:adjustRightInd w:val="0"/>
        <w:snapToGrid w:val="0"/>
        <w:spacing w:line="480" w:lineRule="auto"/>
        <w:jc w:val="both"/>
        <w:rPr>
          <w:b/>
          <w:bCs/>
          <w:color w:val="000000" w:themeColor="text1"/>
        </w:rPr>
      </w:pPr>
      <w:r w:rsidRPr="008A32B0">
        <w:rPr>
          <w:b/>
          <w:bCs/>
          <w:color w:val="000000" w:themeColor="text1"/>
        </w:rPr>
        <w:t>Individual digital twins reveal a bidirectionally tunable NP factor.</w:t>
      </w:r>
    </w:p>
    <w:p w14:paraId="5D1A0FFB" w14:textId="7312A169" w:rsidR="006254D8" w:rsidRPr="000D31E6" w:rsidRDefault="003347D4" w:rsidP="000571EC">
      <w:pPr>
        <w:adjustRightInd w:val="0"/>
        <w:snapToGrid w:val="0"/>
        <w:spacing w:line="480" w:lineRule="auto"/>
        <w:jc w:val="both"/>
        <w:rPr>
          <w:color w:val="000000" w:themeColor="text1"/>
        </w:rPr>
      </w:pPr>
      <w:r w:rsidRPr="000D31E6">
        <w:rPr>
          <w:color w:val="000000" w:themeColor="text1"/>
        </w:rPr>
        <w:t>Perturbation parameter searches were performed in the tractable 100-million-neuron build, with perturbations applied as forward simulations without re-assimilation</w:t>
      </w:r>
      <w:r w:rsidR="000B4666" w:rsidRPr="000D31E6">
        <w:rPr>
          <w:color w:val="000000" w:themeColor="text1"/>
        </w:rPr>
        <w:t xml:space="preserve"> (Methods; Tables S13-S14).</w:t>
      </w:r>
      <w:r w:rsidR="000B4666" w:rsidRPr="000D31E6">
        <w:rPr>
          <w:color w:val="000000" w:themeColor="text1"/>
          <w:lang w:val="en-GB"/>
        </w:rPr>
        <w:t xml:space="preserve"> </w:t>
      </w:r>
    </w:p>
    <w:p w14:paraId="17FD3081" w14:textId="6B66260A" w:rsidR="003C1B14" w:rsidRPr="000D31E6" w:rsidRDefault="00F231F7" w:rsidP="00F231F7">
      <w:pPr>
        <w:adjustRightInd w:val="0"/>
        <w:snapToGrid w:val="0"/>
        <w:spacing w:line="480" w:lineRule="auto"/>
        <w:jc w:val="both"/>
        <w:rPr>
          <w:color w:val="000000" w:themeColor="text1"/>
          <w:lang w:eastAsia="zh-CN"/>
        </w:rPr>
      </w:pPr>
      <w:r w:rsidRPr="000D31E6">
        <w:rPr>
          <w:color w:val="000000" w:themeColor="text1"/>
          <w:lang w:eastAsia="zh-CN"/>
        </w:rPr>
        <w:t>We first varied AMPA conductance and identified 0.0044 as producing the strongest NP response within the predefined perturbational range (Methods). Holding AMPA conductance at 0.0044, we then varied GABA-A conductance and identified 0.0040 as the value producing the strongest NP response (Fig. 3e-f). Applying these parameters to the 12 participants across model scales produced an overall increase in NP-factor strength for both AMPA and GABA-A upregulation. In these 12 participants, however, no build showed a significant group-level AMPA effect after FDR correction, and only the 268-region builds showed a GABA-A effect (Supplementary Results 3.2; Table S15). Because GABA-A was applied on top of the AMPA-adjusted model, the GABA-A condition includes the AMPA step. </w:t>
      </w:r>
    </w:p>
    <w:p w14:paraId="0BEEBBD2" w14:textId="2A6271AC" w:rsidR="00CD40F0" w:rsidRPr="000D31E6" w:rsidRDefault="00577D17" w:rsidP="000571EC">
      <w:pPr>
        <w:adjustRightInd w:val="0"/>
        <w:snapToGrid w:val="0"/>
        <w:spacing w:line="480" w:lineRule="auto"/>
        <w:jc w:val="both"/>
      </w:pPr>
      <w:r w:rsidRPr="000D31E6">
        <w:rPr>
          <w:color w:val="000000" w:themeColor="text1"/>
          <w:lang w:eastAsia="zh-CN"/>
        </w:rPr>
        <w:t>At the individual level, however, responses were heterogeneous, with some participants showing increases and others decreases in NP-factor strength. Perturbational responses converged between the 100-million- and 1-billion-neuron models (r=0.86 and 0.83, both P &lt;0.0001; Extended Data Fig. 1), and less so between the 3-million-neuron regional and 1-</w:t>
      </w:r>
      <w:r w:rsidRPr="000D31E6">
        <w:rPr>
          <w:color w:val="000000" w:themeColor="text1"/>
          <w:lang w:eastAsia="zh-CN"/>
        </w:rPr>
        <w:lastRenderedPageBreak/>
        <w:t xml:space="preserve">billion-neuron models (AMPA r = 0.32, GABA-A r = 0.18). </w:t>
      </w:r>
      <w:r w:rsidRPr="000D31E6">
        <w:t>Half of the NP edges in 1-billion model shifted in the same direction as the summed factor, indicating that responses were distributed across the circuit (</w:t>
      </w:r>
      <w:r w:rsidRPr="000D31E6">
        <w:rPr>
          <w:lang w:eastAsia="zh-CN"/>
        </w:rPr>
        <w:t>Fig. S6</w:t>
      </w:r>
      <w:r w:rsidRPr="000D31E6">
        <w:t>).</w:t>
      </w:r>
    </w:p>
    <w:p w14:paraId="63F5A654" w14:textId="30323544" w:rsidR="003A71A4" w:rsidRPr="008A32B0" w:rsidRDefault="00696C2F" w:rsidP="000571EC">
      <w:pPr>
        <w:adjustRightInd w:val="0"/>
        <w:snapToGrid w:val="0"/>
        <w:spacing w:line="480" w:lineRule="auto"/>
        <w:jc w:val="both"/>
        <w:rPr>
          <w:b/>
          <w:bCs/>
          <w:color w:val="000000" w:themeColor="text1"/>
        </w:rPr>
      </w:pPr>
      <w:r w:rsidRPr="008A32B0">
        <w:rPr>
          <w:b/>
          <w:bCs/>
          <w:color w:val="000000" w:themeColor="text1"/>
        </w:rPr>
        <w:t>Population-scale perturbations shift the NP factor and stratify individuals.</w:t>
      </w:r>
    </w:p>
    <w:p w14:paraId="7B0F543E" w14:textId="7A684810" w:rsidR="00011987" w:rsidRPr="008A32B0" w:rsidRDefault="00011987" w:rsidP="00011987">
      <w:pPr>
        <w:adjustRightInd w:val="0"/>
        <w:snapToGrid w:val="0"/>
        <w:spacing w:line="480" w:lineRule="auto"/>
        <w:jc w:val="both"/>
        <w:rPr>
          <w:color w:val="000000" w:themeColor="text1"/>
        </w:rPr>
      </w:pPr>
      <w:r w:rsidRPr="008A32B0">
        <w:rPr>
          <w:color w:val="000000" w:themeColor="text1"/>
        </w:rPr>
        <w:t xml:space="preserve">We applied the calibrated </w:t>
      </w:r>
      <w:r w:rsidRPr="000D31E6">
        <w:rPr>
          <w:color w:val="000000" w:themeColor="text1"/>
          <w:lang w:eastAsia="zh-CN"/>
        </w:rPr>
        <w:t>3</w:t>
      </w:r>
      <w:r w:rsidRPr="008A32B0">
        <w:rPr>
          <w:color w:val="000000" w:themeColor="text1"/>
        </w:rPr>
        <w:t xml:space="preserve">-million-neuron regional DTBs to 288 participants, comprising 72 patients with MDD, 58 with AUD and 69 healthy controls from STRATIFY, and 89 individuals with high internalising and externalising symptoms from IMAGEN. The models reproduced individual whole-brain </w:t>
      </w:r>
      <w:r w:rsidRPr="008A32B0">
        <w:rPr>
          <w:color w:val="000000" w:themeColor="text1"/>
          <w:lang w:eastAsia="zh-CN"/>
        </w:rPr>
        <w:t>BOLD signals</w:t>
      </w:r>
      <w:r w:rsidRPr="008A32B0">
        <w:rPr>
          <w:color w:val="000000" w:themeColor="text1"/>
        </w:rPr>
        <w:t xml:space="preserve"> with moderate-to-high accuracy</w:t>
      </w:r>
      <w:r w:rsidRPr="008A32B0">
        <w:rPr>
          <w:color w:val="000000" w:themeColor="text1"/>
          <w:lang w:eastAsia="zh-CN"/>
        </w:rPr>
        <w:t>,</w:t>
      </w:r>
      <w:r w:rsidRPr="008A32B0">
        <w:rPr>
          <w:color w:val="000000" w:themeColor="text1"/>
        </w:rPr>
        <w:t xml:space="preserve"> and simulated FC predicted task-relevant performance more accurately than empirical connectomes (Table S16; Supplementary Results 4.1; Fig. S7). The models also captured the empirical NP-factor distribution and case-control differences (patients vs controls Welch t(118.1)=</w:t>
      </w:r>
      <w:r w:rsidR="00955B9C" w:rsidRPr="008A32B0">
        <w:rPr>
          <w:color w:val="000000" w:themeColor="text1"/>
        </w:rPr>
        <w:t>-</w:t>
      </w:r>
      <w:r w:rsidRPr="008A32B0">
        <w:rPr>
          <w:color w:val="000000" w:themeColor="text1"/>
        </w:rPr>
        <w:t>3.36, q=0.0016, g=</w:t>
      </w:r>
      <w:r w:rsidR="00955B9C" w:rsidRPr="008A32B0">
        <w:rPr>
          <w:color w:val="000000" w:themeColor="text1"/>
        </w:rPr>
        <w:t>-</w:t>
      </w:r>
      <w:r w:rsidRPr="008A32B0">
        <w:rPr>
          <w:color w:val="000000" w:themeColor="text1"/>
        </w:rPr>
        <w:t>0.53; patients vs high-symptom Welch t(168.4)=</w:t>
      </w:r>
      <w:r w:rsidR="00955B9C" w:rsidRPr="008A32B0">
        <w:rPr>
          <w:color w:val="000000" w:themeColor="text1"/>
        </w:rPr>
        <w:t>-</w:t>
      </w:r>
      <w:r w:rsidRPr="008A32B0">
        <w:rPr>
          <w:color w:val="000000" w:themeColor="text1"/>
        </w:rPr>
        <w:t>3.66, q=0.001, g=</w:t>
      </w:r>
      <w:r w:rsidR="00955B9C" w:rsidRPr="008A32B0">
        <w:rPr>
          <w:color w:val="000000" w:themeColor="text1"/>
        </w:rPr>
        <w:t>-</w:t>
      </w:r>
      <w:r w:rsidRPr="008A32B0">
        <w:rPr>
          <w:color w:val="000000" w:themeColor="text1"/>
        </w:rPr>
        <w:t>0.52</w:t>
      </w:r>
      <w:r w:rsidRPr="008A32B0">
        <w:rPr>
          <w:color w:val="000000" w:themeColor="text1"/>
          <w:lang w:eastAsia="zh-CN"/>
        </w:rPr>
        <w:t xml:space="preserve">; </w:t>
      </w:r>
      <w:r w:rsidRPr="008A32B0">
        <w:rPr>
          <w:color w:val="000000" w:themeColor="text1"/>
        </w:rPr>
        <w:t>Fi</w:t>
      </w:r>
      <w:r w:rsidRPr="000D31E6">
        <w:rPr>
          <w:color w:val="000000" w:themeColor="text1"/>
        </w:rPr>
        <w:t>g. 4a-b</w:t>
      </w:r>
      <w:r w:rsidRPr="008A32B0">
        <w:rPr>
          <w:color w:val="000000" w:themeColor="text1"/>
        </w:rPr>
        <w:t>).</w:t>
      </w:r>
      <w:r w:rsidR="004D2CB8" w:rsidRPr="008A32B0" w:rsidDel="004D2CB8">
        <w:rPr>
          <w:color w:val="000000" w:themeColor="text1"/>
        </w:rPr>
        <w:t xml:space="preserve"> </w:t>
      </w:r>
    </w:p>
    <w:p w14:paraId="20F82921" w14:textId="4419981D" w:rsidR="003A71A4" w:rsidRPr="008A32B0" w:rsidRDefault="00581BB3" w:rsidP="000571EC">
      <w:pPr>
        <w:adjustRightInd w:val="0"/>
        <w:snapToGrid w:val="0"/>
        <w:spacing w:line="480" w:lineRule="auto"/>
        <w:jc w:val="both"/>
        <w:rPr>
          <w:color w:val="000000" w:themeColor="text1"/>
        </w:rPr>
      </w:pPr>
      <w:r w:rsidRPr="008A32B0">
        <w:rPr>
          <w:color w:val="000000" w:themeColor="text1"/>
        </w:rPr>
        <w:t>Virtual perturbations shifted NP factors in patients towards control values: group differences were significant at baseline but absent after either modulation (A</w:t>
      </w:r>
      <w:r w:rsidRPr="000D31E6">
        <w:rPr>
          <w:color w:val="000000" w:themeColor="text1"/>
        </w:rPr>
        <w:t xml:space="preserve">MPA F(2,285) = </w:t>
      </w:r>
      <w:r w:rsidRPr="008A32B0">
        <w:rPr>
          <w:color w:val="000000" w:themeColor="text1"/>
        </w:rPr>
        <w:t>0.95</w:t>
      </w:r>
      <w:r w:rsidRPr="000D31E6">
        <w:rPr>
          <w:color w:val="000000" w:themeColor="text1"/>
        </w:rPr>
        <w:t>, P = 0.</w:t>
      </w:r>
      <w:r w:rsidRPr="008A32B0">
        <w:rPr>
          <w:color w:val="000000" w:themeColor="text1"/>
        </w:rPr>
        <w:t>39</w:t>
      </w:r>
      <w:r w:rsidRPr="000D31E6">
        <w:rPr>
          <w:color w:val="000000" w:themeColor="text1"/>
        </w:rPr>
        <w:t>; GABA-A F(2,285) = 0.</w:t>
      </w:r>
      <w:r w:rsidRPr="008A32B0">
        <w:rPr>
          <w:color w:val="000000" w:themeColor="text1"/>
        </w:rPr>
        <w:t>85</w:t>
      </w:r>
      <w:r w:rsidRPr="000D31E6">
        <w:rPr>
          <w:color w:val="000000" w:themeColor="text1"/>
        </w:rPr>
        <w:t xml:space="preserve">, P = 0.43; </w:t>
      </w:r>
      <w:r w:rsidRPr="008A32B0">
        <w:rPr>
          <w:color w:val="000000" w:themeColor="text1"/>
        </w:rPr>
        <w:t>Fig. 4b-e). Individual responses were again heterogeneous and bidirectional (Fig. 4f-g), but their direction carried clinical information. Participants whose NP factor rose under both perturbations were more common among patients (89.2%) than among high-symptom individuals (69</w:t>
      </w:r>
      <w:r w:rsidRPr="000D31E6">
        <w:rPr>
          <w:color w:val="000000" w:themeColor="text1"/>
        </w:rPr>
        <w:t xml:space="preserve">.7%) or controls (73.9%; </w:t>
      </w:r>
      <w:r w:rsidRPr="000D31E6">
        <w:rPr>
          <w:rFonts w:ascii="Cambria" w:hAnsi="Cambria" w:cs="Cambria"/>
          <w:color w:val="000000" w:themeColor="text1"/>
        </w:rPr>
        <w:t>χ</w:t>
      </w:r>
      <w:r w:rsidRPr="000D31E6">
        <w:rPr>
          <w:color w:val="000000" w:themeColor="text1"/>
        </w:rPr>
        <w:t xml:space="preserve">²(2) = 14.17, P = 0.0008; </w:t>
      </w:r>
      <w:r w:rsidRPr="008A32B0">
        <w:rPr>
          <w:color w:val="000000" w:themeColor="text1"/>
        </w:rPr>
        <w:t>Tables S17; Fig. 4h). This pattern was not explained by sex or site (Supplementary Results 4.3</w:t>
      </w:r>
      <w:r w:rsidR="00E76F40" w:rsidRPr="000D31E6">
        <w:rPr>
          <w:color w:val="000000" w:themeColor="text1"/>
          <w:lang w:eastAsia="zh-CN"/>
        </w:rPr>
        <w:t>,</w:t>
      </w:r>
      <w:r w:rsidR="00E76F40" w:rsidRPr="008A32B0">
        <w:rPr>
          <w:color w:val="000000" w:themeColor="text1"/>
          <w:lang w:eastAsia="zh-CN"/>
        </w:rPr>
        <w:t xml:space="preserve"> Table S18</w:t>
      </w:r>
      <w:r w:rsidRPr="008A32B0">
        <w:rPr>
          <w:color w:val="000000" w:themeColor="text1"/>
        </w:rPr>
        <w:t>). These participants also had lower simulated baseline NP factors (Fig. 4i) and greater symptom burden, including poorer attention and less social support (Fig. S8).</w:t>
      </w:r>
    </w:p>
    <w:p w14:paraId="06359E41" w14:textId="5322B11D" w:rsidR="00F57101" w:rsidRPr="000D31E6" w:rsidRDefault="00F57101" w:rsidP="00F57101">
      <w:pPr>
        <w:adjustRightInd w:val="0"/>
        <w:snapToGrid w:val="0"/>
        <w:spacing w:line="480" w:lineRule="auto"/>
        <w:jc w:val="both"/>
        <w:rPr>
          <w:color w:val="000000" w:themeColor="text1"/>
        </w:rPr>
      </w:pPr>
      <w:r w:rsidRPr="008A32B0">
        <w:rPr>
          <w:color w:val="000000" w:themeColor="text1"/>
        </w:rPr>
        <w:lastRenderedPageBreak/>
        <w:t>Baseline NP was inversely correlated with perturbation-induced change for both AMPA (r=</w:t>
      </w:r>
      <w:r w:rsidR="00955B9C" w:rsidRPr="008A32B0">
        <w:rPr>
          <w:color w:val="000000" w:themeColor="text1"/>
        </w:rPr>
        <w:t>-</w:t>
      </w:r>
      <w:r w:rsidRPr="008A32B0">
        <w:rPr>
          <w:color w:val="000000" w:themeColor="text1"/>
        </w:rPr>
        <w:t>0.82) and GABA-A (r=</w:t>
      </w:r>
      <w:r w:rsidR="00955B9C" w:rsidRPr="008A32B0">
        <w:rPr>
          <w:color w:val="000000" w:themeColor="text1"/>
        </w:rPr>
        <w:t>-</w:t>
      </w:r>
      <w:r w:rsidRPr="008A32B0">
        <w:rPr>
          <w:color w:val="000000" w:themeColor="text1"/>
        </w:rPr>
        <w:t>0.24; both P&lt;0.0001</w:t>
      </w:r>
      <w:r w:rsidRPr="000D31E6">
        <w:rPr>
          <w:color w:val="000000" w:themeColor="text1"/>
        </w:rPr>
        <w:t>)</w:t>
      </w:r>
      <w:r w:rsidRPr="008A32B0">
        <w:rPr>
          <w:color w:val="000000" w:themeColor="text1"/>
        </w:rPr>
        <w:t xml:space="preserve">. </w:t>
      </w:r>
      <w:r w:rsidRPr="000D31E6">
        <w:rPr>
          <w:color w:val="000000" w:themeColor="text1"/>
        </w:rPr>
        <w:t>Oldham’s method confirmed baseline-dependent convergence for AMPA (r=</w:t>
      </w:r>
      <w:r w:rsidR="00955B9C" w:rsidRPr="000D31E6">
        <w:rPr>
          <w:color w:val="000000" w:themeColor="text1"/>
        </w:rPr>
        <w:t>-</w:t>
      </w:r>
      <w:r w:rsidRPr="000D31E6">
        <w:rPr>
          <w:color w:val="000000" w:themeColor="text1"/>
        </w:rPr>
        <w:t xml:space="preserve">0.47, 95% CI </w:t>
      </w:r>
      <w:r w:rsidR="00955B9C" w:rsidRPr="000D31E6">
        <w:rPr>
          <w:color w:val="000000" w:themeColor="text1"/>
        </w:rPr>
        <w:t>-</w:t>
      </w:r>
      <w:r w:rsidRPr="000D31E6">
        <w:rPr>
          <w:color w:val="000000" w:themeColor="text1"/>
        </w:rPr>
        <w:t xml:space="preserve">0.55 to </w:t>
      </w:r>
      <w:r w:rsidR="00955B9C" w:rsidRPr="000D31E6">
        <w:rPr>
          <w:color w:val="000000" w:themeColor="text1"/>
        </w:rPr>
        <w:t>-</w:t>
      </w:r>
      <w:r w:rsidRPr="000D31E6">
        <w:rPr>
          <w:color w:val="000000" w:themeColor="text1"/>
        </w:rPr>
        <w:t>0.37, P&lt;0.0001; variance ratio=0.37; Extended Data Fig. 2), but indicated divergence for GABA-A (r=0.59, P&lt;0.001); 282 of 288 participants showed increased NP factors after GABA-A modulation. Thus, baseline-dependent convergence was specific to excitatory modulation.</w:t>
      </w:r>
    </w:p>
    <w:p w14:paraId="1AC645C6" w14:textId="3E52CFF7" w:rsidR="00F57101" w:rsidRPr="000D31E6" w:rsidRDefault="00F57101" w:rsidP="00F57101">
      <w:pPr>
        <w:adjustRightInd w:val="0"/>
        <w:snapToGrid w:val="0"/>
        <w:spacing w:line="480" w:lineRule="auto"/>
        <w:jc w:val="both"/>
        <w:rPr>
          <w:color w:val="000000" w:themeColor="text1"/>
          <w:lang w:eastAsia="zh-CN"/>
        </w:rPr>
      </w:pPr>
      <w:bookmarkStart w:id="4" w:name="OLE_LINK3"/>
      <w:bookmarkStart w:id="5" w:name="OLE_LINK4"/>
      <w:r w:rsidRPr="000D31E6">
        <w:rPr>
          <w:color w:val="000000" w:themeColor="text1"/>
        </w:rPr>
        <w:t>Virtual perturbations extended beyond the NP circuit. Across the 23,436 edges among 217 modelled nodes, AMPA modulation significantly altered 69.5-83.2% of edges (FDR q&lt;0.05), although most effects were modest (median |dz|=0.32-0.40; 6.5-12.3% exceeded |dz|=0.8; Table S19</w:t>
      </w:r>
      <w:r w:rsidRPr="000D31E6">
        <w:rPr>
          <w:color w:val="000000" w:themeColor="text1"/>
          <w:lang w:eastAsia="zh-CN"/>
        </w:rPr>
        <w:t xml:space="preserve">; </w:t>
      </w:r>
      <w:r w:rsidR="00F648C1" w:rsidRPr="000D31E6">
        <w:rPr>
          <w:color w:val="000000" w:themeColor="text1"/>
          <w:lang w:eastAsia="zh-CN"/>
        </w:rPr>
        <w:t xml:space="preserve">Supplementary Results 5; </w:t>
      </w:r>
      <w:r w:rsidRPr="000D31E6">
        <w:rPr>
          <w:color w:val="000000" w:themeColor="text1"/>
          <w:lang w:eastAsia="zh-CN"/>
        </w:rPr>
        <w:t>Extended Data Fig. 3)</w:t>
      </w:r>
      <w:r w:rsidRPr="000D31E6">
        <w:rPr>
          <w:color w:val="000000" w:themeColor="text1"/>
        </w:rPr>
        <w:t xml:space="preserve">. Combined AMPA and GABA-A modulation produced broader and larger effects (82.8-89.7% at q&lt;0.05; 16.0-29.0% exceeding |dz|=0.8). </w:t>
      </w:r>
      <w:bookmarkEnd w:id="4"/>
      <w:bookmarkEnd w:id="5"/>
      <w:r w:rsidRPr="000D31E6">
        <w:rPr>
          <w:color w:val="000000" w:themeColor="text1"/>
        </w:rPr>
        <w:t>A depression-specific network derived from the same CPM analysis in IMAGEN also reproduced a similar case-control deficit and shift towards control values under AMPA modulation (Supplementary Results 6; Extended Data Fig. 4).</w:t>
      </w:r>
    </w:p>
    <w:p w14:paraId="0161040B" w14:textId="583B4984" w:rsidR="00581BB3" w:rsidRPr="000D31E6" w:rsidRDefault="00581BB3" w:rsidP="00F57101">
      <w:pPr>
        <w:adjustRightInd w:val="0"/>
        <w:snapToGrid w:val="0"/>
        <w:spacing w:line="480" w:lineRule="auto"/>
        <w:jc w:val="both"/>
        <w:rPr>
          <w:color w:val="000000" w:themeColor="text1"/>
          <w:lang w:eastAsia="zh-CN"/>
        </w:rPr>
      </w:pPr>
      <w:r w:rsidRPr="008A32B0">
        <w:rPr>
          <w:b/>
          <w:bCs/>
          <w:color w:val="000000" w:themeColor="text1"/>
        </w:rPr>
        <w:t xml:space="preserve">Pharmacological </w:t>
      </w:r>
      <w:r w:rsidRPr="008A32B0">
        <w:rPr>
          <w:b/>
          <w:bCs/>
        </w:rPr>
        <w:t>perturbation</w:t>
      </w:r>
      <w:r w:rsidRPr="008A32B0">
        <w:rPr>
          <w:b/>
          <w:bCs/>
          <w:color w:val="000000" w:themeColor="text1"/>
        </w:rPr>
        <w:t xml:space="preserve"> in vivo mirrors the model’s predictions</w:t>
      </w:r>
    </w:p>
    <w:p w14:paraId="605BCF43" w14:textId="7BE7587C" w:rsidR="00713DB2" w:rsidRPr="008A32B0" w:rsidRDefault="00713DB2" w:rsidP="00642188">
      <w:pPr>
        <w:adjustRightInd w:val="0"/>
        <w:snapToGrid w:val="0"/>
        <w:spacing w:line="480" w:lineRule="auto"/>
        <w:jc w:val="both"/>
        <w:rPr>
          <w:color w:val="000000" w:themeColor="text1"/>
        </w:rPr>
      </w:pPr>
      <w:r w:rsidRPr="008A32B0">
        <w:rPr>
          <w:color w:val="000000" w:themeColor="text1"/>
        </w:rPr>
        <w:t>We tested the two pharmacological</w:t>
      </w:r>
      <w:r w:rsidRPr="000D31E6">
        <w:rPr>
          <w:color w:val="000000" w:themeColor="text1"/>
          <w:lang w:eastAsia="zh-CN"/>
        </w:rPr>
        <w:t>-</w:t>
      </w:r>
      <w:r w:rsidRPr="008A32B0">
        <w:rPr>
          <w:color w:val="000000" w:themeColor="text1"/>
        </w:rPr>
        <w:t>synaptic pairings at the individual level, comparing the AMPA perturbation with ketamine and the GABA-A perturbation with midazolam. We first analysed a published three-way crossover dataset</w:t>
      </w:r>
      <w:r w:rsidR="004D2CB8" w:rsidRPr="008A32B0">
        <w:rPr>
          <w:vertAlign w:val="superscript"/>
        </w:rPr>
        <w:fldChar w:fldCharType="begin"/>
      </w:r>
      <w:r w:rsidR="004D2CB8" w:rsidRPr="008A32B0">
        <w:rPr>
          <w:vertAlign w:val="superscript"/>
        </w:rPr>
        <w:instrText xml:space="preserve"> ADDIN ZOTERO_ITEM CSL_CITATION {"citationID":"IjQlPhgQ","properties":{"unsorted":false,"formattedCitation":"\\super 34\\nosupersub{}","plainCitation":"34","noteIndex":0},"citationItems":[{"id":2620,"uris":["http://zotero.org/users/7033572/items/ZMZBHG3K"],"itemData":{"id":2620,"type":"article-journal","abstract":"The identification of biomarkers of drug action can be supported by non-invasive brain imaging techniques, such as electroencephalography (EEG) and functional magnetic resonance imaging (fMRI), with simultaneous collection plausibly overcoming the limitations of either modality alone. Despite this, few studies have assessed the feasibility and utility of recording simultaneous EEG/fMRI in a drug study.","container-title":"Psychopharmacology","DOI":"10.1007/s00213-018-5064-8","ISSN":"1432-2072","issue":"12","journalAbbreviation":"Psychopharmacology","language":"en","page":"3479-3493","source":"Springer Link","title":"Comparison of local spectral modulation, and temporal correlation, of simultaneously recorded EEG/fMRI signals during ketamine and midazolam sedation","volume":"235","author":[{"family":"Forsyth","given":"Anna"},{"family":"McMillan","given":"Rebecca"},{"family":"Campbell","given":"Doug"},{"family":"Malpas","given":"Gemma"},{"family":"Maxwell","given":"Elizabeth"},{"family":"Sleigh","given":"Jamie"},{"family":"Dukart","given":"Juergen"},{"family":"Hipp","given":"Joerg F"},{"family":"Muthukumaraswamy","given":"Suresh D"}],"issued":{"date-parts":[["2018",12,1]]}}}],"schema":"https://github.com/citation-style-language/schema/raw/master/csl-citation.json"} </w:instrText>
      </w:r>
      <w:r w:rsidR="004D2CB8" w:rsidRPr="008A32B0">
        <w:rPr>
          <w:vertAlign w:val="superscript"/>
        </w:rPr>
        <w:fldChar w:fldCharType="separate"/>
      </w:r>
      <w:r w:rsidR="004D2CB8" w:rsidRPr="008A32B0">
        <w:rPr>
          <w:rFonts w:cs="Times New Roman"/>
          <w:vertAlign w:val="superscript"/>
        </w:rPr>
        <w:t>34</w:t>
      </w:r>
      <w:r w:rsidR="004D2CB8" w:rsidRPr="008A32B0">
        <w:rPr>
          <w:vertAlign w:val="superscript"/>
        </w:rPr>
        <w:fldChar w:fldCharType="end"/>
      </w:r>
      <w:r w:rsidRPr="000D31E6">
        <w:rPr>
          <w:rFonts w:eastAsia="宋体" w:cs="宋体"/>
          <w:lang w:eastAsia="zh-CN"/>
        </w:rPr>
        <w:t xml:space="preserve"> </w:t>
      </w:r>
      <w:r w:rsidRPr="008A32B0">
        <w:rPr>
          <w:color w:val="000000" w:themeColor="text1"/>
        </w:rPr>
        <w:t>comprising 27 healthy men (27.30 ± 6.20 years) who performed the MID task after ketamine, midazolam or placebo (Supplementary Methods 4)</w:t>
      </w:r>
      <w:r w:rsidRPr="008A32B0">
        <w:rPr>
          <w:color w:val="000000" w:themeColor="text1"/>
          <w:lang w:eastAsia="zh-CN"/>
        </w:rPr>
        <w:t>.</w:t>
      </w:r>
      <w:r w:rsidRPr="008A32B0">
        <w:rPr>
          <w:color w:val="000000" w:themeColor="text1"/>
        </w:rPr>
        <w:t xml:space="preserve"> Because pharmacological data were available only for the MID task, NP connectivity was quantified as the summed strength of the six MID edges in the NP circuit. </w:t>
      </w:r>
      <w:r w:rsidRPr="000D31E6">
        <w:rPr>
          <w:color w:val="000000" w:themeColor="text1"/>
        </w:rPr>
        <w:t xml:space="preserve">A second, clinical dataset extended the test beyond healthy men and one task: 25 </w:t>
      </w:r>
      <w:r w:rsidRPr="000D31E6">
        <w:rPr>
          <w:color w:val="000000" w:themeColor="text1"/>
        </w:rPr>
        <w:lastRenderedPageBreak/>
        <w:t>patients with MDD and 16 controls of both sexes received ketamine and saline placebo during an emotional face evaluation task</w:t>
      </w:r>
      <w:r w:rsidRPr="000D31E6">
        <w:rPr>
          <w:rFonts w:eastAsiaTheme="minorHAnsi"/>
          <w:color w:val="0070C0"/>
          <w:lang w:eastAsia="zh-CN"/>
        </w:rPr>
        <w:fldChar w:fldCharType="begin"/>
      </w:r>
      <w:r w:rsidR="003347D4" w:rsidRPr="000D31E6">
        <w:rPr>
          <w:rFonts w:eastAsiaTheme="minorHAnsi"/>
          <w:color w:val="0070C0"/>
          <w:lang w:eastAsia="zh-CN"/>
        </w:rPr>
        <w:instrText xml:space="preserve"> ADDIN ZOTERO_ITEM CSL_CITATION {"citationID":"op5qz37I","properties":{"unsorted":false,"formattedCitation":"\\super 47\\nosupersub{}","plainCitation":"47","noteIndex":0},"citationItems":[{"id":3114,"uris":["http://zotero.org/users/7033572/items/KY9UM6TM"],"itemData":{"id":3114,"type":"report","abstract":"Depressive disorders may be severe, chronic and often life-threatening illnesses.\nImpairment in physical and social functioning resulting from depression can be just as severe as other chronic medical illnesses.\nRecent preclinical and clinical studies suggest that the glutamatergic system is involved in the mechanism of action of antidepressants.This study examines whether ketamine can cause a rapid-next day antidepressant effect in patients with Major Depressive Disorder.This study was designed to address the questions:Does the NMDA antagonist ketamine produce rapid antidepressant effects in patients with treatment-resistant major depression?\nWhat are the neurobiological correlates of antidepressant response (examining multi-modal MRI, MEG, polysomnography and serum markers) Patients, ages 18 to 65 years with treatment-resistant major (unipolar) depression will in a double-blind crossover study receive either intravenous ketamine or saline solution.","genre":"Clinical trial registration","note":"submitted: 2004-07-30","number":"NCT00088699","publisher":"clinicaltrials.gov","source":"clinicaltrials.gov","title":"Investigation of the Rapid (Next Day) Antidepressant Effects of an NMDA Antagonist","title-short":"Rapid Antidepressant Effects of Ketamine in Major Depression","URL":"https://clinicaltrials.gov/study/NCT00088699","author":[{"literal":"National Institute of Mental Health (NIMH)"}],"accessed":{"date-parts":[["2026",9,11]]},"issued":{"date-parts":[["2018",9,12]]}}}],"schema":"https://github.com/citation-style-language/schema/raw/master/csl-citation.json"} </w:instrText>
      </w:r>
      <w:r w:rsidRPr="000D31E6">
        <w:rPr>
          <w:rFonts w:eastAsiaTheme="minorHAnsi"/>
          <w:color w:val="0070C0"/>
          <w:lang w:eastAsia="zh-CN"/>
        </w:rPr>
        <w:fldChar w:fldCharType="separate"/>
      </w:r>
      <w:r w:rsidR="003347D4" w:rsidRPr="008A32B0">
        <w:rPr>
          <w:rFonts w:cs="Times New Roman"/>
          <w:vertAlign w:val="superscript"/>
        </w:rPr>
        <w:t>47</w:t>
      </w:r>
      <w:r w:rsidRPr="000D31E6">
        <w:rPr>
          <w:rFonts w:eastAsiaTheme="minorHAnsi"/>
          <w:color w:val="0070C0"/>
          <w:lang w:eastAsia="zh-CN"/>
        </w:rPr>
        <w:fldChar w:fldCharType="end"/>
      </w:r>
      <w:r w:rsidRPr="000D31E6">
        <w:rPr>
          <w:color w:val="000000" w:themeColor="text1"/>
        </w:rPr>
        <w:t>.</w:t>
      </w:r>
    </w:p>
    <w:p w14:paraId="25908CE6" w14:textId="07BF3337" w:rsidR="006A3A3F" w:rsidRPr="000D31E6" w:rsidRDefault="00642188" w:rsidP="006A3A3F">
      <w:pPr>
        <w:adjustRightInd w:val="0"/>
        <w:snapToGrid w:val="0"/>
        <w:spacing w:line="480" w:lineRule="auto"/>
        <w:jc w:val="both"/>
        <w:rPr>
          <w:color w:val="000000" w:themeColor="text1"/>
        </w:rPr>
      </w:pPr>
      <w:r w:rsidRPr="008A32B0">
        <w:rPr>
          <w:color w:val="000000" w:themeColor="text1"/>
        </w:rPr>
        <w:t xml:space="preserve">In the healthy volunteers, neither ketamine nor midazolam significantly changed NP connectivity relative to placebo at the group level (ketamine </w:t>
      </w:r>
      <w:r w:rsidR="00955B9C" w:rsidRPr="008A32B0">
        <w:rPr>
          <w:color w:val="000000" w:themeColor="text1"/>
        </w:rPr>
        <w:t>-</w:t>
      </w:r>
      <w:r w:rsidRPr="008A32B0">
        <w:rPr>
          <w:color w:val="000000" w:themeColor="text1"/>
        </w:rPr>
        <w:t xml:space="preserve">0.20, 95% CI </w:t>
      </w:r>
      <w:r w:rsidR="00955B9C" w:rsidRPr="008A32B0">
        <w:rPr>
          <w:color w:val="000000" w:themeColor="text1"/>
        </w:rPr>
        <w:t>-</w:t>
      </w:r>
      <w:r w:rsidRPr="008A32B0">
        <w:rPr>
          <w:color w:val="000000" w:themeColor="text1"/>
        </w:rPr>
        <w:t xml:space="preserve">0.45 to 0.05, </w:t>
      </w:r>
      <w:r w:rsidRPr="002D06C6">
        <w:rPr>
          <w:color w:val="000000" w:themeColor="text1"/>
        </w:rPr>
        <w:t>t(25) = -1.68, P = 0.10;</w:t>
      </w:r>
      <w:r w:rsidRPr="008A32B0">
        <w:rPr>
          <w:color w:val="000000" w:themeColor="text1"/>
        </w:rPr>
        <w:t xml:space="preserve"> midazolam </w:t>
      </w:r>
      <w:r w:rsidR="00955B9C" w:rsidRPr="008A32B0">
        <w:rPr>
          <w:color w:val="000000" w:themeColor="text1"/>
        </w:rPr>
        <w:t>-</w:t>
      </w:r>
      <w:r w:rsidRPr="008A32B0">
        <w:rPr>
          <w:color w:val="000000" w:themeColor="text1"/>
        </w:rPr>
        <w:t xml:space="preserve">0.25, t(25) = </w:t>
      </w:r>
      <w:r w:rsidR="00955B9C" w:rsidRPr="008A32B0">
        <w:rPr>
          <w:color w:val="000000" w:themeColor="text1"/>
        </w:rPr>
        <w:t>-</w:t>
      </w:r>
      <w:r w:rsidRPr="008A32B0">
        <w:rPr>
          <w:color w:val="000000" w:themeColor="text1"/>
        </w:rPr>
        <w:t xml:space="preserve">1.38, P = 0.18; Fig. S9). Individual responses, however, were again heterogeneous. </w:t>
      </w:r>
      <w:commentRangeStart w:id="6"/>
      <w:r w:rsidRPr="000D31E6">
        <w:rPr>
          <w:color w:val="000000" w:themeColor="text1"/>
        </w:rPr>
        <w:t>Grouping participants by response direction, as for the DTBs (both drugs increasing NP connectivity versus at least one decreasing), those with lower baseline tended to increase and those with higher baseline to decrease</w:t>
      </w:r>
      <w:r w:rsidR="0092377A" w:rsidRPr="000D31E6">
        <w:rPr>
          <w:color w:val="000000" w:themeColor="text1"/>
        </w:rPr>
        <w:t xml:space="preserve">, consistent with the simulations </w:t>
      </w:r>
      <w:r w:rsidRPr="000D31E6">
        <w:rPr>
          <w:color w:val="000000" w:themeColor="text1"/>
        </w:rPr>
        <w:t>(Fig. 5a-c; the grouping is sign-defined and descriptive, Supplementary Results 7.1).</w:t>
      </w:r>
      <w:commentRangeEnd w:id="6"/>
      <w:r w:rsidRPr="000D31E6">
        <w:rPr>
          <w:rStyle w:val="affb"/>
          <w:color w:val="000000" w:themeColor="text1"/>
          <w:sz w:val="22"/>
          <w:szCs w:val="22"/>
        </w:rPr>
        <w:commentReference w:id="6"/>
      </w:r>
      <w:r w:rsidRPr="000D31E6">
        <w:rPr>
          <w:color w:val="000000" w:themeColor="text1"/>
        </w:rPr>
        <w:t xml:space="preserve"> </w:t>
      </w:r>
      <w:r w:rsidRPr="008A32B0">
        <w:rPr>
          <w:color w:val="000000" w:themeColor="text1"/>
        </w:rPr>
        <w:t xml:space="preserve">Baseline NP connectivity was inversely associated with midazolam-induced change (r = -0.52, P = 0.0056) and showed a similar trend for ketamine (r = -0.35, P = 0.069), </w:t>
      </w:r>
      <w:r w:rsidRPr="000D31E6">
        <w:rPr>
          <w:color w:val="000000" w:themeColor="text1"/>
        </w:rPr>
        <w:t>although neither association was supported by Oldham’s test (</w:t>
      </w:r>
      <w:r w:rsidR="004D2CB8" w:rsidRPr="000D31E6">
        <w:rPr>
          <w:color w:val="000000" w:themeColor="text1"/>
        </w:rPr>
        <w:t xml:space="preserve">Supplementary Results 7.2; </w:t>
      </w:r>
      <w:r w:rsidRPr="000D31E6">
        <w:rPr>
          <w:color w:val="000000" w:themeColor="text1"/>
        </w:rPr>
        <w:t>Extended Data Fig. 2).</w:t>
      </w:r>
    </w:p>
    <w:p w14:paraId="142F0937" w14:textId="4D1C7FCC" w:rsidR="006A3A3F" w:rsidRPr="000D31E6" w:rsidRDefault="006A3A3F" w:rsidP="006A3A3F">
      <w:pPr>
        <w:adjustRightInd w:val="0"/>
        <w:snapToGrid w:val="0"/>
        <w:spacing w:line="480" w:lineRule="auto"/>
        <w:jc w:val="both"/>
        <w:rPr>
          <w:color w:val="000000" w:themeColor="text1"/>
        </w:rPr>
      </w:pPr>
      <w:r w:rsidRPr="000D31E6">
        <w:rPr>
          <w:color w:val="000000" w:themeColor="text1"/>
        </w:rPr>
        <w:t>To test whether this correspondence extended beyond the predefined NP circuit, we examined the whole-brain functional connectome. Among edges showing nominal drug effects, 67.9% of ketamine-responsive edges and 71.6% of midazolam-responsive edges changed in the direction predicted by the receptor-matched DTB perturbations (node-level sign-flip permutation tests, P = 0.005 and P = 0.001, respectively; Supplementary Methods 5; Table S20; Extended Data Fig. 5).</w:t>
      </w:r>
    </w:p>
    <w:p w14:paraId="07C23ED4" w14:textId="75E1614D" w:rsidR="006A3A3F" w:rsidRPr="000D31E6" w:rsidRDefault="00F7439F" w:rsidP="006A3A3F">
      <w:pPr>
        <w:adjustRightInd w:val="0"/>
        <w:snapToGrid w:val="0"/>
        <w:spacing w:line="480" w:lineRule="auto"/>
        <w:jc w:val="both"/>
        <w:rPr>
          <w:color w:val="000000" w:themeColor="text1"/>
          <w:lang w:eastAsia="zh-CN"/>
        </w:rPr>
      </w:pPr>
      <w:r w:rsidRPr="000D31E6">
        <w:rPr>
          <w:color w:val="000000" w:themeColor="text1"/>
        </w:rPr>
        <w:t>I</w:t>
      </w:r>
      <w:r w:rsidRPr="000D31E6">
        <w:rPr>
          <w:color w:val="000000" w:themeColor="text1"/>
          <w:lang w:eastAsia="zh-CN"/>
        </w:rPr>
        <w:t>n the clinical dataset,</w:t>
      </w:r>
      <w:r w:rsidR="0092377A" w:rsidRPr="008A32B0">
        <w:rPr>
          <w:rFonts w:eastAsia="宋体" w:cs="宋体"/>
          <w:lang w:eastAsia="zh-CN"/>
        </w:rPr>
        <w:t xml:space="preserve"> k</w:t>
      </w:r>
      <w:r w:rsidR="0092377A" w:rsidRPr="000D31E6">
        <w:rPr>
          <w:color w:val="000000" w:themeColor="text1"/>
          <w:lang w:eastAsia="zh-CN"/>
        </w:rPr>
        <w:t xml:space="preserve">etamine moved patients and controls in opposite directions among participants with usable data in both sessions (MDD = 22, controls = 14; group × drug interaction t = 3.43, P = 0.0018; Fig. 5d). Patients also showed the same baseline NP deficit seen in STRATIFY (t = </w:t>
      </w:r>
      <w:r w:rsidR="00955B9C" w:rsidRPr="000D31E6">
        <w:rPr>
          <w:color w:val="000000" w:themeColor="text1"/>
          <w:lang w:eastAsia="zh-CN"/>
        </w:rPr>
        <w:t>-</w:t>
      </w:r>
      <w:r w:rsidR="0092377A" w:rsidRPr="000D31E6">
        <w:rPr>
          <w:color w:val="000000" w:themeColor="text1"/>
          <w:lang w:eastAsia="zh-CN"/>
        </w:rPr>
        <w:t xml:space="preserve">2.51, P = </w:t>
      </w:r>
      <w:r w:rsidR="0092377A" w:rsidRPr="008A32B0">
        <w:rPr>
          <w:bCs/>
          <w:color w:val="000000" w:themeColor="text1"/>
        </w:rPr>
        <w:t>0.017</w:t>
      </w:r>
      <w:r w:rsidR="0092377A" w:rsidRPr="000D31E6">
        <w:rPr>
          <w:color w:val="000000" w:themeColor="text1"/>
          <w:lang w:eastAsia="zh-CN"/>
        </w:rPr>
        <w:t xml:space="preserve">; Fig. 5e). </w:t>
      </w:r>
      <w:r w:rsidRPr="000D31E6">
        <w:t xml:space="preserve">Patients, whose baseline NP connectivity </w:t>
      </w:r>
      <w:r w:rsidRPr="000D31E6">
        <w:lastRenderedPageBreak/>
        <w:t>was lower, increased and controls decreased, extending the qualitative pattern seen in the healthy volunteers and under virtual AMPA modulation. </w:t>
      </w:r>
    </w:p>
    <w:p w14:paraId="15314EDA" w14:textId="65C760A7" w:rsidR="006A3A3F" w:rsidRPr="000D31E6" w:rsidRDefault="003F347B" w:rsidP="006A3A3F">
      <w:pPr>
        <w:adjustRightInd w:val="0"/>
        <w:snapToGrid w:val="0"/>
        <w:spacing w:line="480" w:lineRule="auto"/>
        <w:jc w:val="both"/>
      </w:pPr>
      <w:r w:rsidRPr="000D31E6">
        <w:t xml:space="preserve">These neural changes were also related to clinical symptoms. Depressive severity decreased in patients (t = -4.22, P = 0.0006, Methods) but not controls (P = 0.21), and the magnitude of NP connectivity change was associated with symptom improvement (partial r = </w:t>
      </w:r>
      <w:r w:rsidR="00955B9C" w:rsidRPr="008A32B0">
        <w:rPr>
          <w:bCs/>
          <w:color w:val="000000" w:themeColor="text1"/>
        </w:rPr>
        <w:t>-</w:t>
      </w:r>
      <w:r w:rsidR="0092377A" w:rsidRPr="008A32B0">
        <w:rPr>
          <w:bCs/>
          <w:color w:val="000000" w:themeColor="text1"/>
        </w:rPr>
        <w:t>0.56</w:t>
      </w:r>
      <w:r w:rsidRPr="000D31E6">
        <w:t xml:space="preserve">, P = </w:t>
      </w:r>
      <w:r w:rsidR="0092377A" w:rsidRPr="008A32B0">
        <w:rPr>
          <w:bCs/>
          <w:color w:val="000000" w:themeColor="text1"/>
        </w:rPr>
        <w:t>0.016</w:t>
      </w:r>
      <w:r w:rsidRPr="000D31E6">
        <w:t>; Fig. 5f</w:t>
      </w:r>
      <w:r w:rsidR="00725066" w:rsidRPr="000D31E6">
        <w:t>; Supplementary Results 8</w:t>
      </w:r>
      <w:r w:rsidRPr="000D31E6">
        <w:t xml:space="preserve">). </w:t>
      </w:r>
      <w:r w:rsidRPr="000D31E6">
        <w:rPr>
          <w:lang w:eastAsia="zh-CN"/>
        </w:rPr>
        <w:t>I</w:t>
      </w:r>
      <w:r w:rsidRPr="000D31E6">
        <w:t>n addition, greater similarity between MDD</w:t>
      </w:r>
      <w:r w:rsidRPr="000D31E6">
        <w:rPr>
          <w:lang w:eastAsia="zh-CN"/>
        </w:rPr>
        <w:t xml:space="preserve"> </w:t>
      </w:r>
      <w:r w:rsidRPr="000D31E6">
        <w:t xml:space="preserve">patients’ ketamine-session whole-brain FC patterns and the AMPA-modulated virtual pattern derived from the STRATIFY MDD group was associated with greater symptom improvement on the MADRS (Spearman </w:t>
      </w:r>
      <w:r w:rsidRPr="000D31E6">
        <w:rPr>
          <w:rFonts w:ascii="Cambria" w:hAnsi="Cambria" w:cs="Cambria"/>
        </w:rPr>
        <w:t>ρ</w:t>
      </w:r>
      <w:r w:rsidRPr="000D31E6">
        <w:t xml:space="preserve"> = -0.56, Pperm = 0.0068, qFDR = 0.027 across the four symptom measures; Fig. 5g</w:t>
      </w:r>
      <w:r w:rsidRPr="000D31E6">
        <w:rPr>
          <w:color w:val="000000" w:themeColor="text1"/>
        </w:rPr>
        <w:t>; Supplementary Methods 5)</w:t>
      </w:r>
      <w:r w:rsidRPr="000D31E6">
        <w:t>.</w:t>
      </w:r>
    </w:p>
    <w:p w14:paraId="46766598" w14:textId="3F5E3988" w:rsidR="003A71A4" w:rsidRPr="008A32B0" w:rsidRDefault="00696C2F" w:rsidP="000571EC">
      <w:pPr>
        <w:adjustRightInd w:val="0"/>
        <w:snapToGrid w:val="0"/>
        <w:spacing w:line="480" w:lineRule="auto"/>
        <w:jc w:val="both"/>
        <w:rPr>
          <w:b/>
          <w:bCs/>
          <w:color w:val="000000" w:themeColor="text1"/>
        </w:rPr>
      </w:pPr>
      <w:r w:rsidRPr="008A32B0">
        <w:rPr>
          <w:b/>
          <w:bCs/>
          <w:color w:val="000000" w:themeColor="text1"/>
        </w:rPr>
        <w:t xml:space="preserve">Simulated baseline connectivity carries prognostic information. </w:t>
      </w:r>
    </w:p>
    <w:p w14:paraId="264D16F6" w14:textId="55EBE30D" w:rsidR="0092377A" w:rsidRPr="008A32B0" w:rsidRDefault="003F347B" w:rsidP="0092377A">
      <w:pPr>
        <w:adjustRightInd w:val="0"/>
        <w:snapToGrid w:val="0"/>
        <w:spacing w:line="480" w:lineRule="auto"/>
        <w:jc w:val="both"/>
      </w:pPr>
      <w:r w:rsidRPr="008A32B0">
        <w:t xml:space="preserve">Of the 288 participants with an individually fitted </w:t>
      </w:r>
      <w:r w:rsidR="0092377A" w:rsidRPr="008A32B0">
        <w:t>DTB</w:t>
      </w:r>
      <w:r w:rsidR="0092377A" w:rsidRPr="000D31E6">
        <w:rPr>
          <w:lang w:eastAsia="zh-CN"/>
        </w:rPr>
        <w:t>s</w:t>
      </w:r>
      <w:r w:rsidRPr="008A32B0">
        <w:t xml:space="preserve">, 85 had symptom assessments at both age 19 and age 23 (72 high-symptom participants and 13 healthy controls) and formed the longitudinal sample. </w:t>
      </w:r>
      <w:r w:rsidR="0092377A" w:rsidRPr="008A32B0">
        <w:t>We tested whether the 12 NP edges from each participant’s baseline simulation at age 19 predicted subsequent symptom change, using the same 12 empirically measured edges for comparison. </w:t>
      </w:r>
    </w:p>
    <w:p w14:paraId="6832FF2D" w14:textId="0FF387C5" w:rsidR="003F347B" w:rsidRPr="008A32B0" w:rsidDel="0092377A" w:rsidRDefault="0092377A" w:rsidP="003F347B">
      <w:pPr>
        <w:adjustRightInd w:val="0"/>
        <w:snapToGrid w:val="0"/>
        <w:spacing w:line="480" w:lineRule="auto"/>
        <w:jc w:val="both"/>
      </w:pPr>
      <w:r w:rsidRPr="008A32B0">
        <w:t xml:space="preserve">With sex, recruitment site and mean head motion included as covariates in every model, </w:t>
      </w:r>
      <w:r w:rsidR="00593DAF" w:rsidRPr="008A32B0">
        <w:t>the 12 simulated NP edges predicted four-year symptom change (</w:t>
      </w:r>
      <w:r w:rsidR="00593DAF" w:rsidRPr="008A32B0">
        <w:rPr>
          <w:rFonts w:ascii="Cambria" w:hAnsi="Cambria" w:cs="Cambria"/>
        </w:rPr>
        <w:t>Δ</w:t>
      </w:r>
      <w:r w:rsidR="00593DAF" w:rsidRPr="008A32B0">
        <w:t>R² = 0.33 over the covariates, F(12,63) = 3.02, P = 0.0022; leave-one-out r = 0.32, permutation P = 0.0088</w:t>
      </w:r>
      <w:r w:rsidR="00593DAF" w:rsidRPr="008A32B0">
        <w:rPr>
          <w:lang w:eastAsia="zh-CN"/>
        </w:rPr>
        <w:t xml:space="preserve">; </w:t>
      </w:r>
      <w:r w:rsidR="00593DAF" w:rsidRPr="008A32B0">
        <w:t>Fig. 5h,i) and added information beyond age-19 symptom load (</w:t>
      </w:r>
      <w:r w:rsidR="00593DAF" w:rsidRPr="008A32B0">
        <w:rPr>
          <w:rFonts w:ascii="Cambria" w:hAnsi="Cambria" w:cs="Cambria"/>
        </w:rPr>
        <w:t>Δ</w:t>
      </w:r>
      <w:r w:rsidR="00593DAF" w:rsidRPr="008A32B0">
        <w:t>R² = 0.25, F(12,62) = 2.53, P = 0.0088), whereas the same 12 edges measured by fMRI did not (P = 0.12, Extended Data Fig. 6)</w:t>
      </w:r>
      <w:r w:rsidRPr="008A32B0">
        <w:t xml:space="preserve">. </w:t>
      </w:r>
      <w:r w:rsidR="00593DAF" w:rsidRPr="008A32B0">
        <w:t>Compared at matched degrees of freedom, the simulated edges added information beyond the empirical edges (</w:t>
      </w:r>
      <w:r w:rsidR="00593DAF" w:rsidRPr="008A32B0">
        <w:rPr>
          <w:rFonts w:ascii="Cambria" w:hAnsi="Cambria" w:cs="Cambria"/>
        </w:rPr>
        <w:t>Δ</w:t>
      </w:r>
      <w:r w:rsidR="00593DAF" w:rsidRPr="008A32B0">
        <w:t xml:space="preserve">R² = 0.22, F(12,51) = 1.95, P = 0.049) but not the reverse (P = 0.58); </w:t>
      </w:r>
      <w:r w:rsidR="00593DAF" w:rsidRPr="008A32B0">
        <w:lastRenderedPageBreak/>
        <w:t>at one degree of freedom the ordering reversed, the summed measured factor reaching a larger increment over the covariates than the summed simulated factor (ΔR² = 0.14, F(1,74) = 13.27, P = 0.0005 versus ΔR² = 0.06, F(1,74) = 5.18, P = 0.026). The two summed read-outs were only weakly correlated (r = 0.20, P = 0.069), and adding the summed measured factor to the twelve simulated edges improved the fit further (</w:t>
      </w:r>
      <w:r w:rsidR="00593DAF" w:rsidRPr="008A32B0">
        <w:rPr>
          <w:rFonts w:ascii="Cambria" w:hAnsi="Cambria" w:cs="Cambria"/>
        </w:rPr>
        <w:t>Δ</w:t>
      </w:r>
      <w:r w:rsidR="00593DAF" w:rsidRPr="008A32B0">
        <w:t>R² = 0.07, F(1,62) = 7.94, P = 0.0065) without a significant gain in cross-validated accuracy (r = 0.32 to 0.39; Williams t(82) = 1.53, P = 0.13). The prognostic information in the simulated network therefore lies in the pattern across the twelve edges and that in the measured network in its summed magnitude, and the two are partly independent (Extended Data Fig. 6; Supplementary Results 9)</w:t>
      </w:r>
      <w:r w:rsidRPr="008A32B0">
        <w:t xml:space="preserve">. </w:t>
      </w:r>
    </w:p>
    <w:p w14:paraId="77DC6B05" w14:textId="52096A60" w:rsidR="008F0D93" w:rsidRPr="000D31E6" w:rsidDel="0092377A" w:rsidRDefault="0092377A" w:rsidP="008F0D93">
      <w:pPr>
        <w:adjustRightInd w:val="0"/>
        <w:snapToGrid w:val="0"/>
        <w:spacing w:line="480" w:lineRule="auto"/>
        <w:jc w:val="both"/>
        <w:rPr>
          <w:color w:val="000000" w:themeColor="text1"/>
          <w:lang w:eastAsia="zh-CN"/>
        </w:rPr>
      </w:pPr>
      <w:r w:rsidRPr="008A32B0">
        <w:t xml:space="preserve">The simulated network therefore showed detectable prognostic information that was not detected in the corresponding empirical network. </w:t>
      </w:r>
    </w:p>
    <w:p w14:paraId="5C7873BC" w14:textId="0A70C303" w:rsidR="00F36591" w:rsidRPr="008A32B0" w:rsidRDefault="00195BE9" w:rsidP="000571EC">
      <w:pPr>
        <w:adjustRightInd w:val="0"/>
        <w:snapToGrid w:val="0"/>
        <w:spacing w:line="480" w:lineRule="auto"/>
        <w:jc w:val="both"/>
        <w:rPr>
          <w:b/>
          <w:bCs/>
          <w:color w:val="000000" w:themeColor="text1"/>
          <w:lang w:eastAsia="zh-CN"/>
        </w:rPr>
      </w:pPr>
      <w:r w:rsidRPr="008A32B0">
        <w:rPr>
          <w:b/>
          <w:bCs/>
          <w:color w:val="000000" w:themeColor="text1"/>
        </w:rPr>
        <w:t>Robustness</w:t>
      </w:r>
    </w:p>
    <w:p w14:paraId="60C46573" w14:textId="27CAC50D" w:rsidR="00756BD9" w:rsidRPr="000D31E6" w:rsidRDefault="00756BD9" w:rsidP="00756BD9">
      <w:pPr>
        <w:adjustRightInd w:val="0"/>
        <w:snapToGrid w:val="0"/>
        <w:spacing w:line="480" w:lineRule="auto"/>
        <w:jc w:val="both"/>
        <w:rPr>
          <w:color w:val="000000" w:themeColor="text1"/>
          <w:lang w:eastAsia="zh-CN"/>
        </w:rPr>
      </w:pPr>
      <w:r w:rsidRPr="000D31E6">
        <w:rPr>
          <w:color w:val="000000" w:themeColor="text1"/>
          <w:lang w:eastAsia="zh-CN"/>
        </w:rPr>
        <w:t xml:space="preserve">The findings were robust across model construction, spatial resolution, perturbation strength and cognitive context (Supplementary Results 10-13). Five repeated assimilations in one participant yielded near-identical NP profiles (ICC = 0.995; Fig. S10; Supplementary Results 11.2), and held-out task trials could be correctly fingerprinted without re-assimilation (four participants; 100% versus 95.8% using empirical data; Extended Data Fig. 7; Supplementary Results 11.3). </w:t>
      </w:r>
      <w:r w:rsidR="00E94DBA" w:rsidRPr="000D31E6">
        <w:rPr>
          <w:color w:val="000000" w:themeColor="text1"/>
          <w:lang w:eastAsia="zh-CN"/>
        </w:rPr>
        <w:t>Assimilation using data-driven activation-defined regions produced similar simulation results (Fig. S11; Supplementary Results 11.4).</w:t>
      </w:r>
      <w:r w:rsidR="0049768E" w:rsidRPr="000D31E6">
        <w:rPr>
          <w:color w:val="000000" w:themeColor="text1"/>
          <w:lang w:eastAsia="zh-CN"/>
        </w:rPr>
        <w:t xml:space="preserve"> </w:t>
      </w:r>
      <w:r w:rsidR="00CD2610" w:rsidRPr="000D31E6">
        <w:rPr>
          <w:color w:val="000000" w:themeColor="text1"/>
          <w:lang w:eastAsia="zh-CN"/>
        </w:rPr>
        <w:t xml:space="preserve">Group-level effects were preserved across </w:t>
      </w:r>
      <w:r w:rsidR="0049768E" w:rsidRPr="000D31E6">
        <w:rPr>
          <w:color w:val="000000" w:themeColor="text1"/>
          <w:lang w:eastAsia="zh-CN"/>
        </w:rPr>
        <w:t xml:space="preserve">different diagnostic groups (Fig. S12) and </w:t>
      </w:r>
      <w:r w:rsidR="00CD2610" w:rsidRPr="000D31E6">
        <w:rPr>
          <w:color w:val="000000" w:themeColor="text1"/>
          <w:lang w:eastAsia="zh-CN"/>
        </w:rPr>
        <w:t>perturbation strengths in the 3-million-neuron build</w:t>
      </w:r>
      <w:r w:rsidR="0049768E" w:rsidRPr="000D31E6">
        <w:rPr>
          <w:color w:val="000000" w:themeColor="text1"/>
          <w:lang w:eastAsia="zh-CN"/>
        </w:rPr>
        <w:t xml:space="preserve"> (Fig. S13)</w:t>
      </w:r>
      <w:r w:rsidR="00CD2610" w:rsidRPr="000D31E6">
        <w:rPr>
          <w:color w:val="000000" w:themeColor="text1"/>
          <w:lang w:eastAsia="zh-CN"/>
        </w:rPr>
        <w:t>, while individual-level response direction generalised across cognitive contexts</w:t>
      </w:r>
      <w:r w:rsidR="000C00B8" w:rsidRPr="000D31E6">
        <w:rPr>
          <w:color w:val="000000" w:themeColor="text1"/>
          <w:lang w:eastAsia="zh-CN"/>
        </w:rPr>
        <w:t xml:space="preserve"> </w:t>
      </w:r>
      <w:r w:rsidRPr="000D31E6">
        <w:rPr>
          <w:color w:val="000000" w:themeColor="text1"/>
          <w:lang w:eastAsia="zh-CN"/>
        </w:rPr>
        <w:t>(Extended Data Fig. 8;</w:t>
      </w:r>
      <w:r w:rsidR="00593DAF" w:rsidRPr="000D31E6">
        <w:rPr>
          <w:color w:val="000000" w:themeColor="text1"/>
          <w:lang w:eastAsia="zh-CN"/>
        </w:rPr>
        <w:t xml:space="preserve"> </w:t>
      </w:r>
      <w:r w:rsidR="00F648C1" w:rsidRPr="000D31E6">
        <w:rPr>
          <w:color w:val="000000" w:themeColor="text1"/>
          <w:lang w:eastAsia="zh-CN"/>
        </w:rPr>
        <w:t>Table S21</w:t>
      </w:r>
      <w:r w:rsidRPr="000D31E6">
        <w:rPr>
          <w:color w:val="000000" w:themeColor="text1"/>
          <w:lang w:eastAsia="zh-CN"/>
        </w:rPr>
        <w:t xml:space="preserve">). AMPA-induced change in NP </w:t>
      </w:r>
      <w:r w:rsidRPr="000D31E6">
        <w:rPr>
          <w:color w:val="000000" w:themeColor="text1"/>
          <w:lang w:eastAsia="zh-CN"/>
        </w:rPr>
        <w:lastRenderedPageBreak/>
        <w:t xml:space="preserve">connectivity was unrelated to head motion (r = </w:t>
      </w:r>
      <w:r w:rsidR="00955B9C" w:rsidRPr="000D31E6">
        <w:rPr>
          <w:color w:val="000000" w:themeColor="text1"/>
          <w:lang w:eastAsia="zh-CN"/>
        </w:rPr>
        <w:t>-</w:t>
      </w:r>
      <w:r w:rsidRPr="000D31E6">
        <w:rPr>
          <w:color w:val="000000" w:themeColor="text1"/>
          <w:lang w:eastAsia="zh-CN"/>
        </w:rPr>
        <w:t>0.04), whereas GABA-A-induced change showed a weak association (r = 0.20, Bonferroni-corrected P = 0.003); the empirical NP factor itself was borderline (r = 0.16, corrected P = 0.049). All population analyses were residualised for mean framewise displacement, and group effects were unchanged by this adjustment (Extended Data Fig. 9; Table S22-S23; Supplementary Results 13).</w:t>
      </w:r>
      <w:r w:rsidR="00E94DBA" w:rsidRPr="000D31E6">
        <w:rPr>
          <w:color w:val="000000" w:themeColor="text1"/>
          <w:lang w:eastAsia="zh-CN"/>
        </w:rPr>
        <w:t xml:space="preserve"> All detailed statistical information were available in Table S24.</w:t>
      </w:r>
      <w:commentRangeStart w:id="7"/>
      <w:commentRangeEnd w:id="7"/>
      <w:r w:rsidRPr="000D31E6">
        <w:rPr>
          <w:rStyle w:val="affb"/>
          <w:color w:val="000000" w:themeColor="text1"/>
          <w:sz w:val="22"/>
          <w:szCs w:val="22"/>
          <w:lang w:eastAsia="zh-CN"/>
        </w:rPr>
        <w:commentReference w:id="7"/>
      </w:r>
    </w:p>
    <w:p w14:paraId="5804ECA8" w14:textId="252B1E18" w:rsidR="003A71A4" w:rsidRPr="008A32B0" w:rsidRDefault="00696C2F" w:rsidP="000571EC">
      <w:pPr>
        <w:adjustRightInd w:val="0"/>
        <w:snapToGrid w:val="0"/>
        <w:spacing w:line="480" w:lineRule="auto"/>
        <w:jc w:val="both"/>
        <w:rPr>
          <w:b/>
          <w:bCs/>
          <w:color w:val="000000" w:themeColor="text1"/>
          <w:lang w:eastAsia="zh-CN"/>
        </w:rPr>
      </w:pPr>
      <w:r w:rsidRPr="008A32B0">
        <w:rPr>
          <w:b/>
          <w:bCs/>
          <w:color w:val="000000" w:themeColor="text1"/>
        </w:rPr>
        <w:t>Discussion</w:t>
      </w:r>
    </w:p>
    <w:p w14:paraId="4FF7D394" w14:textId="1A307740" w:rsidR="003A71A4" w:rsidRPr="000D31E6" w:rsidRDefault="009959EC" w:rsidP="0025198C">
      <w:pPr>
        <w:adjustRightInd w:val="0"/>
        <w:snapToGrid w:val="0"/>
        <w:spacing w:line="480" w:lineRule="auto"/>
        <w:jc w:val="both"/>
        <w:rPr>
          <w:color w:val="000000" w:themeColor="text1"/>
          <w:lang w:eastAsia="zh-CN"/>
        </w:rPr>
      </w:pPr>
      <w:r w:rsidRPr="008A32B0">
        <w:rPr>
          <w:color w:val="000000" w:themeColor="text1"/>
        </w:rPr>
        <w:t xml:space="preserve">We simulated a transdiagnostic, behaviourally relevant task-evoked functional network phenotype (i.e., NP factor) within individualised neuronal-scale digital twin brain models. By systematically perturbing AMPA- and GABA-A-mediated synaptic gain, we quantified individual-specific, bidirectional network responses and </w:t>
      </w:r>
      <w:r w:rsidRPr="008A32B0">
        <w:rPr>
          <w:color w:val="000000" w:themeColor="text1"/>
          <w:lang w:eastAsia="zh-CN"/>
        </w:rPr>
        <w:t xml:space="preserve">related </w:t>
      </w:r>
      <w:r w:rsidRPr="008A32B0">
        <w:rPr>
          <w:color w:val="000000" w:themeColor="text1"/>
        </w:rPr>
        <w:t>these virtual response profiles to both pharmacological fMRI effects and longitudinal symptom trajectories. These results move digital brain models from descriptive simulation toward controlled perturbation.</w:t>
      </w:r>
      <w:r w:rsidRPr="000D31E6">
        <w:rPr>
          <w:color w:val="000000" w:themeColor="text1"/>
        </w:rPr>
        <w:t xml:space="preserve"> </w:t>
      </w:r>
    </w:p>
    <w:p w14:paraId="49AB408F" w14:textId="23B2AD8C" w:rsidR="0025198C" w:rsidRPr="008A32B0" w:rsidRDefault="00696C2F" w:rsidP="0025198C">
      <w:pPr>
        <w:adjustRightInd w:val="0"/>
        <w:snapToGrid w:val="0"/>
        <w:spacing w:line="480" w:lineRule="auto"/>
        <w:jc w:val="both"/>
        <w:rPr>
          <w:color w:val="000000" w:themeColor="text1"/>
          <w:lang w:eastAsia="zh-CN"/>
        </w:rPr>
      </w:pPr>
      <w:r w:rsidRPr="008A32B0">
        <w:rPr>
          <w:color w:val="000000" w:themeColor="text1"/>
        </w:rPr>
        <w:t xml:space="preserve">The NP factor is well suited to this approach because it represents a low-dimensional, </w:t>
      </w:r>
      <w:r w:rsidRPr="008A32B0">
        <w:rPr>
          <w:color w:val="000000" w:themeColor="text1"/>
          <w:lang w:eastAsia="zh-CN"/>
        </w:rPr>
        <w:t xml:space="preserve">continuous, transdiagnostic circuit phenotype </w:t>
      </w:r>
      <w:r w:rsidRPr="008A32B0">
        <w:rPr>
          <w:color w:val="000000" w:themeColor="text1"/>
        </w:rPr>
        <w:t>that relates to a broad spectrum of internalising and externalising symptoms across heterogeneous populations. It is characterised by reduced functional integration among limbic, default-mode, frontoparietal control, and cingulo-opercular networks, which jointly support reward processing, cognitive control, and attention allocation</w:t>
      </w:r>
      <w:r w:rsidRPr="008A32B0">
        <w:rPr>
          <w:rFonts w:eastAsiaTheme="minorHAnsi" w:cs="Calibri"/>
          <w:color w:val="000000" w:themeColor="text1"/>
          <w:shd w:val="clear" w:color="auto" w:fill="FFFFFF"/>
        </w:rPr>
        <w:fldChar w:fldCharType="begin"/>
      </w:r>
      <w:r w:rsidR="003347D4" w:rsidRPr="008A32B0">
        <w:rPr>
          <w:rFonts w:eastAsiaTheme="minorHAnsi" w:cs="Calibri"/>
          <w:color w:val="000000" w:themeColor="text1"/>
          <w:shd w:val="clear" w:color="auto" w:fill="FFFFFF"/>
        </w:rPr>
        <w:instrText xml:space="preserve"> ADDIN ZOTERO_ITEM CSL_CITATION {"citationID":"660IXkuJ","properties":{"formattedCitation":"\\super 48\\uc0\\u8211{}51\\nosupersub{}","plainCitation":"48–51","noteIndex":0},"citationItems":[{"id":2062,"uris":["http://zotero.org/users/7033572/items/FVREK7QQ"],"itemData":{"id":2062,"type":"article-journal","abstract":"Although cells in many brain regions respond to reward, the cortical-basal ganglia circuit is at the heart of the reward system. The key structures in this network are the anterior cingulate cortex, the orbital prefrontal cortex, the ventral striatum, the ventral pallidum, and the midbrain dopamine neurons. In addition, other structures, including the dorsal prefrontal cortex, amygdala, hippocampus, thalamus, and lateral habenular nucleus, and specific brainstem structures such as the pedunculopontine nucleus, and the raphe nucleus, are key components in regulating the reward circuit. Connectivity between these areas forms a complex neural network that mediates different aspects of reward processing. Advances in neuroimaging techniques allow better spatial and temporal resolution. These studies now demonstrate that human functional and structural imaging results map increasingly close to primate anatomy.","container-title":"Neuropsychopharmacology","DOI":"10.1038/npp.2009.129","ISSN":"1740-634X","issue":"1","journalAbbreviation":"Neuropsychopharmacol","language":"en","license":"2010 American College of Neuropsychopharmacology","note":"number: 1","page":"4-26","publisher":"Nature Publishing Group","source":"www.nature.com","title":"The Reward Circuit: Linking Primate Anatomy and Human Imaging","title-short":"The Reward Circuit","volume":"35","author":[{"family":"Haber","given":"Suzanne N."},{"family":"Knutson","given":"Brian"}],"issued":{"date-parts":[["2010",1]]}}},{"id":325,"uris":["http://zotero.org/users/7033572/items/BJTWV4FI"],"itemData":{"id":325,"type":"article-journal","container-title":"Annals of the New York Academy of Sciences","DOI":"10.1196/annals.1440.011","ISSN":"00778923","issue":"1","language":"en","page":"1-38","source":"DOI.org (Crossref)","title":"The brain's default network: anatomy, function, and relevance to disease","title-short":"&lt;i&gt;The Brain's Default Network&lt;/i&gt;","volume":"1124","author":[{"family":"Buckner","given":"Randy L."},{"family":"Andrews-Hanna","given":"Jessica R."},{"family":"Schacter","given":"Daniel L."}],"issued":{"date-parts":[["2008",3]]}},"label":"page"},{"id":186,"uris":["http://zotero.org/users/7033572/items/WZSNRL4L"],"itemData":{"id":186,"type":"article-journal","abstract":"Extensive evidence suggests the human ability to adaptively implement a wide variety of tasks is preferentially due to the operation of a fronto-parietal brain network. We hypothesized that this network’s adaptability is made possible by ‘flexible hubs’ – brain regions that rapidly update their pattern of global functional connectivity according to task demands. We utilized recent advances in characterizing brain network organization and dynamics to identify mechanisms consistent with the flexible hub theory. We found that the fronto-parietal network’s brain-wide functional connectivity pattern shifted more than other networks’ across a variety of task states, and that these connectivity patterns could be used to identify the current task. Further, these patterns were consistent across practiced and novel tasks, suggesting reuse of flexible hub connectivity patterns facilitates adaptive (novel) task performance. Together, these findings support a central role for fronto-parietal flexible hubs in cognitive control and adaptive implementation of task demands generally.","container-title":"Nature Neuroscience","DOI":"10.1038/nn.3470","ISSN":"1097-6256, 1546-1726","issue":"9","journalAbbreviation":"Nat Neurosci","language":"en","page":"1348-1355","source":"DOI.org (Crossref)","title":"Multi-task connectivity reveals flexible hubs for adaptive task control","volume":"16","author":[{"family":"Cole","given":"Michael W"},{"family":"Reynolds","given":"Jeremy R"},{"family":"Power","given":"Jonathan D"},{"family":"Repovs","given":"Grega"},{"family":"Anticevic","given":"Alan"},{"family":"Braver","given":"Todd S"}],"issued":{"date-parts":[["2013",9]]}}},{"id":2897,"uris":["http://zotero.org/users/7033572/items/Z8L7U2CH"],"itemData":{"id":2897,"type":"article-journal","abstract":"Real-world complex systems may be mathematically modeled as graphs, revealing properties of the system. Here we study graphs of functional brain organization in healthy adults using resting state functional connectivity MRI. We propose two novel brain-wide graphs, one of 264 putative functional areas, the other a modification of voxelwise networks that eliminates potentially artificial short-distance relationships. These graphs contain many subgraphs in good agreement with known functional brain systems. Other subgraphs lack established functional identities; we suggest possible functional characteristics for these subgraphs. Further, graph measures of the areal network indicate that the default mode subgraph shares network properties with sensory and motor subgraphs: it is internally integrated but isolated from other subgraphs, much like a \"processing\" system. The modified voxelwise graph also reveals spatial motifs in the patterning of systems across the cortex.","container-title":"Neuron","DOI":"10.1016/j.neuron.2011.09.006","ISSN":"1097-4199","issue":"4","journalAbbreviation":"Neuron","language":"eng","page":"665-678","PMID":"22099467","PMCID":"PMC3222858","source":"PubMed","title":"Functional network organization of the human brain","volume":"72","author":[{"family":"Power","given":"Jonathan D."},{"family":"Cohen","given":"Alexander L."},{"family":"Nelson","given":"Steven M."},{"family":"Wig","given":"Gagan S."},{"family":"Barnes","given":"Kelly Anne"},{"family":"Church","given":"Jessica A."},{"family":"Vogel","given":"Alecia C."},{"family":"Laumann","given":"Timothy O."},{"family":"Miezin","given":"Fran M."},{"family":"Schlaggar","given":"Bradley L."},{"family":"Petersen","given":"Steven E."}],"issued":{"date-parts":[["2011",11,17]]}}}],"schema":"https://github.com/citation-style-language/schema/raw/master/csl-citation.json"} </w:instrText>
      </w:r>
      <w:r w:rsidRPr="008A32B0">
        <w:rPr>
          <w:rFonts w:eastAsiaTheme="minorHAnsi" w:cs="Calibri"/>
          <w:color w:val="000000" w:themeColor="text1"/>
          <w:shd w:val="clear" w:color="auto" w:fill="FFFFFF"/>
        </w:rPr>
        <w:fldChar w:fldCharType="separate"/>
      </w:r>
      <w:r w:rsidR="003347D4" w:rsidRPr="008A32B0">
        <w:rPr>
          <w:rFonts w:cs="Times New Roman"/>
          <w:color w:val="000000"/>
          <w:vertAlign w:val="superscript"/>
        </w:rPr>
        <w:t>48–51</w:t>
      </w:r>
      <w:r w:rsidRPr="008A32B0">
        <w:rPr>
          <w:rFonts w:eastAsiaTheme="minorHAnsi" w:cs="Calibri"/>
          <w:color w:val="000000" w:themeColor="text1"/>
          <w:shd w:val="clear" w:color="auto" w:fill="FFFFFF"/>
        </w:rPr>
        <w:fldChar w:fldCharType="end"/>
      </w:r>
      <w:r w:rsidRPr="008A32B0">
        <w:rPr>
          <w:color w:val="000000" w:themeColor="text1"/>
        </w:rPr>
        <w:t>.</w:t>
      </w:r>
      <w:r w:rsidRPr="000D31E6">
        <w:rPr>
          <w:rFonts w:eastAsia="宋体" w:cs="宋体"/>
          <w:color w:val="000000" w:themeColor="text1"/>
          <w:lang w:eastAsia="zh-CN"/>
        </w:rPr>
        <w:t xml:space="preserve"> </w:t>
      </w:r>
      <w:r w:rsidRPr="008A32B0">
        <w:rPr>
          <w:color w:val="000000" w:themeColor="text1"/>
        </w:rPr>
        <w:t>Embedding this phenotype within individualised DTBs makes it possible to ask how a defined circuit configuration responds to controlled perturbation, rather than simply whether connectivity is associated with symptoms</w:t>
      </w:r>
      <w:r w:rsidRPr="008A32B0">
        <w:rPr>
          <w:rFonts w:eastAsiaTheme="minorHAnsi" w:cs="Calibri"/>
          <w:color w:val="000000" w:themeColor="text1"/>
          <w:shd w:val="clear" w:color="auto" w:fill="FFFFFF"/>
        </w:rPr>
        <w:fldChar w:fldCharType="begin"/>
      </w:r>
      <w:r w:rsidR="003347D4" w:rsidRPr="008A32B0">
        <w:rPr>
          <w:rFonts w:eastAsiaTheme="minorHAnsi" w:cs="Calibri"/>
          <w:color w:val="000000" w:themeColor="text1"/>
          <w:shd w:val="clear" w:color="auto" w:fill="FFFFFF"/>
        </w:rPr>
        <w:instrText xml:space="preserve"> ADDIN ZOTERO_ITEM CSL_CITATION {"citationID":"1YDCyaD5","properties":{"formattedCitation":"\\super 52,53\\nosupersub{}","plainCitation":"52,53","noteIndex":0},"citationItems":[{"id":1097,"uris":["http://zotero.org/users/7033572/items/QKB4U7Y2"],"itemData":{"id":1097,"type":"article-journal","container-title":"Nature Neuroscience","DOI":"10.1038/s41593-019-0510-4","ISSN":"1097-6256, 1546-1726","issue":"11","journalAbbreviation":"Nat Neurosci","language":"en","page":"1751-1760","source":"DOI.org (Crossref)","title":"Advancing functional connectivity research from association to causation","volume":"22","author":[{"family":"Reid","given":"Andrew T."},{"family":"Headley","given":"Drew B."},{"family":"Mill","given":"Ravi D."},{"family":"Sanchez-Romero","given":"Ruben"},{"family":"Uddin","given":"Lucina Q."},{"family":"Marinazzo","given":"Daniele"},{"family":"Lurie","given":"Daniel J."},{"family":"Valdés-Sosa","given":"Pedro A."},{"family":"Hanson","given":"Stephen José"},{"family":"Biswal","given":"Bharat B."},{"family":"Calhoun","given":"Vince"},{"family":"Poldrack","given":"Russell A."},{"family":"Cole","given":"Michael W."}],"issued":{"date-parts":[["2019",11]]}}},{"id":2905,"uris":["http://zotero.org/users/7033572/items/L3Z6FZH7"],"itemData":{"id":2905,"type":"article-journal","abstract":"Over the past 20 years, neuroimaging has become a predominant technique in systems neuroscience. One might envisage that over the next 20 years the neuroimaging of distributed processing and connectivity will play a major role in disclosing the brain's functional architecture and operational principles. The inception of this journal has been foreshadowed by an ever-increasing number of publications on functional connectivity, causal modeling, connectomics, and multivariate analyses of distributed patterns of brain responses. I accepted the invitation to write this review with great pleasure and hope to celebrate and critique the achievements to date, while addressing the challenges ahead.","container-title":"Brain Connectivity","DOI":"10.1089/brain.2011.0008","ISSN":"2158-0014","issue":"1","page":"13-36","publisher":"Mary Ann Liebert, Inc., publishers","source":"liebertpub.com (Atypon)","title":"Functional and Effective Connectivity: A Review","title-short":"Functional and Effective Connectivity","volume":"1","author":[{"family":"Friston","given":"Karl J."}],"issued":{"date-parts":[["2011",1]]}}}],"schema":"https://github.com/citation-style-language/schema/raw/master/csl-citation.json"} </w:instrText>
      </w:r>
      <w:r w:rsidRPr="008A32B0">
        <w:rPr>
          <w:rFonts w:eastAsiaTheme="minorHAnsi" w:cs="Calibri"/>
          <w:color w:val="000000" w:themeColor="text1"/>
          <w:shd w:val="clear" w:color="auto" w:fill="FFFFFF"/>
        </w:rPr>
        <w:fldChar w:fldCharType="separate"/>
      </w:r>
      <w:r w:rsidR="003347D4" w:rsidRPr="008A32B0">
        <w:rPr>
          <w:rFonts w:cs="Times New Roman"/>
          <w:color w:val="000000"/>
          <w:vertAlign w:val="superscript"/>
        </w:rPr>
        <w:t>52,53</w:t>
      </w:r>
      <w:r w:rsidRPr="008A32B0">
        <w:rPr>
          <w:rFonts w:eastAsiaTheme="minorHAnsi" w:cs="Calibri"/>
          <w:color w:val="000000" w:themeColor="text1"/>
          <w:shd w:val="clear" w:color="auto" w:fill="FFFFFF"/>
        </w:rPr>
        <w:fldChar w:fldCharType="end"/>
      </w:r>
      <w:r w:rsidRPr="008A32B0">
        <w:rPr>
          <w:color w:val="000000" w:themeColor="text1"/>
        </w:rPr>
        <w:t>. Task-state modelling matters because clinically important circuit abnormalities can be context-dependent</w:t>
      </w:r>
      <w:r w:rsidRPr="008A32B0">
        <w:rPr>
          <w:rFonts w:eastAsiaTheme="minorHAnsi" w:cs="Calibri"/>
          <w:color w:val="000000" w:themeColor="text1"/>
          <w:shd w:val="clear" w:color="auto" w:fill="FFFFFF"/>
        </w:rPr>
        <w:fldChar w:fldCharType="begin"/>
      </w:r>
      <w:r w:rsidR="003347D4" w:rsidRPr="008A32B0">
        <w:rPr>
          <w:rFonts w:eastAsiaTheme="minorHAnsi" w:cs="Calibri"/>
          <w:color w:val="000000" w:themeColor="text1"/>
          <w:shd w:val="clear" w:color="auto" w:fill="FFFFFF"/>
        </w:rPr>
        <w:instrText xml:space="preserve"> ADDIN ZOTERO_ITEM CSL_CITATION {"citationID":"WjdZzpcW","properties":{"formattedCitation":"\\super 13,54\\nosupersub{}","plainCitation":"13,54","noteIndex":0},"citationItems":[{"id":2819,"uris":["http://zotero.org/users/7033572/items/88IMBGJL"],"itemData":{"id":2819,"type":"article-journal","abstract":"Objective:Cognitive deficits are a common feature of psychiatric disorders. The authors investigated the nature of disruptions in neural circuitry underlying cognitive control capacities across psychiatric disorders through a transdiagnostic neuroimaging meta-analysis.Method:A PubMed search was conducted for whole-brain functional neuroimaging articles published through June 2015 that compared activation in patients with axis I disorders and matched healthy control participants during cognitive control tasks. Tasks that probed performance or conflict monitoring, response inhibition or selection, set shifting, verbal fluency, and recognition or working memory were included. Activation likelihood estimation meta-analyses were conducted on peak voxel coordinates.Results:The 283 experiments submitted to meta-analysis included 5,728 control participants and 5,493 patients with various disorders (schizophrenia, bipolar or unipolar depression, anxiety disorders, and substance use disorders). Transdiagnostically abnormal activation was evident in the left prefrontal cortex as well as the anterior insula, the right ventrolateral prefrontal cortex, the right intraparietal sulcus, and the midcingulate/presupplementary motor area. Disruption was also observed in a more anterior cluster in the dorsal cingulate cortex, which overlapped with a network of structural perturbation that the authors previously reported in a transdiagnostic meta-analysis of gray matter volume.Conclusions:These findings demonstrate a common pattern of disruption across major psychiatric disorders that parallels the “multiple-demand network” observed in intact cognition. This network interfaces with the anterior-cingulo-insular or “salience network” demonstrated to be transdiagnostically vulnerable to gray matter reduction. Thus, networks intrinsic to adaptive, flexible cognition are vulnerable to broad-spectrum psychopathology. Dysfunction in these networks may reflect an intermediate transdiagnostic phenotype, which could be leveraged to advance therapeutics.","container-title":"American Journal of Psychiatry","DOI":"10.1176/appi.ajp.2017.16040400","ISSN":"0002-953X","issue":"7","journalAbbreviation":"AJP","page":"676-685","publisher":"American Psychiatric Publishing","source":"psychiatryonline.org (Atypon)","title":"Identification of Common Neural Circuit Disruptions in Cognitive Control Across Psychiatric Disorders","volume":"174","author":[{"family":"McTeague","given":"Lisa M."},{"family":"Huemer","given":"Julia"},{"family":"Carreon","given":"David M."},{"family":"Jiang","given":"Ying"},{"family":"Eickhoff","given":"Simon B."},{"family":"Etkin","given":"Amit"}],"issued":{"date-parts":[["2017",7]]}}},{"id":2165,"uris":["http://zotero.org/users/7033572/items/FM3QJ77W"],"itemData":{"id":2165,"type":"article-journal","abstract":"Objective:\n\nThe authors examined whether alterations in the brain’s reward network operate as a mechanism across the spectrum of risk for depression. They then tested whether these alterations are specific to anhedonia as compared with low mood and whether they are predictive of depressive outcomes.\n\nMethod:\n\nFunctional MRI was used to collect blood-oxygen-level-dependent (BOLD) responses to anticipation of reward in the monetary incentive task in 1,576 adolescents in a community-based sample. Adolescents with current subthreshold depression and clinical depression were compared with matched healthy subjects. In addition, BOLD responses were compared across adolescents with anhedonia, low mood, or both symptoms, cross-sectionally and longitudinally.\n\nResults:\n\nActivity in the ventral striatum was reduced in participants with subthreshold and clinical depression relative to healthy comparison subjects. Low ventral striatum activation predicted transition to subthreshold or clinical depression in previously healthy adolescents at 2-year follow-up. Brain responses during reward anticipation decreased in a graded manner between healthy adolescents, adolescents with current or future subthreshold depression, and adolescents with current or future clinical depression. Low ventral striatum activity was associated with anhedonia but not low mood; however, the combined presence of both symptoms showed the strongest reductions in the ventral striatum in all analyses.\n\nConclusions:\n\nThe findings suggest that reduced striatal activation operates as a mechanism across the risk spectrum for depression. It is associated with anhedonia in healthy adolescents and is a behavioral indicator of positive valence systems, consistent with predictions based on the Research Domain Criteria.","container-title":"American Journal of Psychiatry","DOI":"10.1176/appi.ajp.2015.14101298","ISSN":"0002-953X","issue":"12","journalAbbreviation":"AJP","page":"1215-1223","publisher":"American Psychiatric Publishing","source":"ajp.psychiatryonline.org (Atypon)","title":"The Brain’s Response to Reward Anticipation and Depression in Adolescence: Dimensionality, Specificity, and Longitudinal Predictions in a Community-Based Sample","title-short":"The Brain’s Response to Reward Anticipation and Depression in Adolescence","volume":"172","author":[{"family":"Stringaris","given":"Argyris"},{"family":"Vidal-Ribas Belil","given":"Pablo"},{"family":"Artiges","given":"Eric"},{"family":"Lemaitre","given":"Hervé"},{"family":"Gollier-Briant","given":"Fanny"},{"family":"Wolke","given":"Selina"},{"family":"Vulser","given":"Hélène"},{"family":"Miranda","given":"Ruben"},{"family":"Penttilä","given":"Jani"},{"family":"Struve","given":"Maren"},{"family":"Fadai","given":"Tahmine"},{"family":"Kappel","given":"Viola"},{"family":"Grimmer","given":"Yvonne"},{"family":"Goodman","given":"Robert"},{"family":"Poustka","given":"Luise"},{"family":"Conrod","given":"Patricia"},{"family":"Cattrell","given":"Anna"},{"family":"Banaschewski","given":"Tobias"},{"family":"Bokde","given":"Arun L.W."},{"family":"Bromberg","given":"Uli"},{"family":"Büchel","given":"Christian"},{"family":"Flor","given":"Herta"},{"family":"Frouin","given":"Vincent"},{"family":"Gallinat","given":"Juergen"},{"family":"Garavan","given":"Hugh"},{"family":"Gowland","given":"Penny"},{"family":"Heinz","given":"Andreas"},{"family":"Ittermann","given":"Bernd"},{"family":"Nees","given":"Frauke"},{"family":"Papadopoulos","given":"Dimitri"},{"family":"Paus","given":"Tomas"},{"family":"Smolka","given":"Michael N."},{"family":"Walter","given":"Henrik"},{"family":"Whelan","given":"Rob"},{"family":"Martinot","given":"Jean-Luc"},{"family":"Schumann","given":"Gunter"},{"family":"Paillère-Martinot","given":"Marie-Laure"}],"issued":{"date-parts":[["2015",12]]}}}],"schema":"https://github.com/citation-style-language/schema/raw/master/csl-citation.json"} </w:instrText>
      </w:r>
      <w:r w:rsidRPr="008A32B0">
        <w:rPr>
          <w:rFonts w:eastAsiaTheme="minorHAnsi" w:cs="Calibri"/>
          <w:color w:val="000000" w:themeColor="text1"/>
          <w:shd w:val="clear" w:color="auto" w:fill="FFFFFF"/>
        </w:rPr>
        <w:fldChar w:fldCharType="separate"/>
      </w:r>
      <w:r w:rsidR="003347D4" w:rsidRPr="008A32B0">
        <w:rPr>
          <w:rFonts w:cs="Times New Roman"/>
          <w:color w:val="000000"/>
          <w:vertAlign w:val="superscript"/>
        </w:rPr>
        <w:t>13,54</w:t>
      </w:r>
      <w:r w:rsidRPr="008A32B0">
        <w:rPr>
          <w:rFonts w:eastAsiaTheme="minorHAnsi" w:cs="Calibri"/>
          <w:color w:val="000000" w:themeColor="text1"/>
          <w:shd w:val="clear" w:color="auto" w:fill="FFFFFF"/>
        </w:rPr>
        <w:fldChar w:fldCharType="end"/>
      </w:r>
      <w:r w:rsidRPr="008A32B0">
        <w:rPr>
          <w:rFonts w:eastAsiaTheme="minorHAnsi" w:cs="Calibri"/>
          <w:color w:val="000000" w:themeColor="text1"/>
          <w:shd w:val="clear" w:color="auto" w:fill="FFFFFF"/>
        </w:rPr>
        <w:t xml:space="preserve"> and may not be inferable from </w:t>
      </w:r>
      <w:r w:rsidRPr="008A32B0">
        <w:rPr>
          <w:color w:val="000000" w:themeColor="text1"/>
        </w:rPr>
        <w:t>resting-state activity alone</w:t>
      </w:r>
      <w:r w:rsidRPr="008A32B0">
        <w:rPr>
          <w:rFonts w:eastAsiaTheme="minorHAnsi" w:cs="Calibri"/>
          <w:color w:val="000000" w:themeColor="text1"/>
          <w:shd w:val="clear" w:color="auto" w:fill="FFFFFF"/>
        </w:rPr>
        <w:fldChar w:fldCharType="begin"/>
      </w:r>
      <w:r w:rsidR="003347D4" w:rsidRPr="008A32B0">
        <w:rPr>
          <w:rFonts w:eastAsiaTheme="minorHAnsi" w:cs="Calibri"/>
          <w:color w:val="000000" w:themeColor="text1"/>
          <w:shd w:val="clear" w:color="auto" w:fill="FFFFFF"/>
        </w:rPr>
        <w:instrText xml:space="preserve"> ADDIN ZOTERO_ITEM CSL_CITATION {"citationID":"7v1epBgV","properties":{"formattedCitation":"\\super 55\\nosupersub{}","plainCitation":"55","noteIndex":0},"citationItems":[{"id":2091,"uris":["http://zotero.org/users/7033572/items/9U5L8FGM"],"itemData":{"id":2091,"type":"article-journal","container-title":"The Journal of Neuroscience","DOI":"10.1523/JNEUROSCI.1713-20.2021","ISSN":"0270-6474, 1529-2401","issue":"12","journalAbbreviation":"J. Neurosci.","language":"en","page":"2684-2702","source":"DOI.org (Crossref)","title":"The Functional Relevance of Task-State Functional Connectivity","volume":"41","author":[{"family":"Cole","given":"Michael W."},{"family":"Ito","given":"Takuya"},{"family":"Cocuzza","given":"Carrisa"},{"family":"Sanchez-Romero","given":"Ruben"}],"issued":{"date-parts":[["2021",3,24]]}},"label":"page"}],"schema":"https://github.com/citation-style-language/schema/raw/master/csl-citation.json"} </w:instrText>
      </w:r>
      <w:r w:rsidRPr="008A32B0">
        <w:rPr>
          <w:rFonts w:eastAsiaTheme="minorHAnsi" w:cs="Calibri"/>
          <w:color w:val="000000" w:themeColor="text1"/>
          <w:shd w:val="clear" w:color="auto" w:fill="FFFFFF"/>
        </w:rPr>
        <w:fldChar w:fldCharType="separate"/>
      </w:r>
      <w:r w:rsidR="003347D4" w:rsidRPr="008A32B0">
        <w:rPr>
          <w:rFonts w:cs="Times New Roman"/>
          <w:color w:val="000000"/>
          <w:vertAlign w:val="superscript"/>
        </w:rPr>
        <w:t>55</w:t>
      </w:r>
      <w:r w:rsidRPr="008A32B0">
        <w:rPr>
          <w:rFonts w:eastAsiaTheme="minorHAnsi" w:cs="Calibri"/>
          <w:color w:val="000000" w:themeColor="text1"/>
          <w:shd w:val="clear" w:color="auto" w:fill="FFFFFF"/>
        </w:rPr>
        <w:fldChar w:fldCharType="end"/>
      </w:r>
      <w:r w:rsidRPr="008A32B0">
        <w:rPr>
          <w:rFonts w:eastAsiaTheme="minorHAnsi" w:cs="Calibri"/>
          <w:color w:val="000000" w:themeColor="text1"/>
          <w:shd w:val="clear" w:color="auto" w:fill="FFFFFF"/>
        </w:rPr>
        <w:t>.</w:t>
      </w:r>
    </w:p>
    <w:p w14:paraId="53C4A6B6" w14:textId="7461DCD8" w:rsidR="003B1FC8" w:rsidRPr="000D31E6" w:rsidRDefault="00C36FF2" w:rsidP="00C36FF2">
      <w:pPr>
        <w:adjustRightInd w:val="0"/>
        <w:snapToGrid w:val="0"/>
        <w:spacing w:line="480" w:lineRule="auto"/>
        <w:jc w:val="both"/>
        <w:rPr>
          <w:color w:val="000000" w:themeColor="text1"/>
          <w:lang w:eastAsia="zh-CN"/>
        </w:rPr>
      </w:pPr>
      <w:r w:rsidRPr="000D31E6">
        <w:rPr>
          <w:color w:val="000000" w:themeColor="text1"/>
        </w:rPr>
        <w:lastRenderedPageBreak/>
        <w:t xml:space="preserve">This task-evoked NP circuit also provides a </w:t>
      </w:r>
      <w:r w:rsidRPr="000D31E6">
        <w:rPr>
          <w:color w:val="000000" w:themeColor="text1"/>
          <w:lang w:eastAsia="zh-CN"/>
        </w:rPr>
        <w:t>neural readout of task performance</w:t>
      </w:r>
      <w:r w:rsidRPr="000D31E6">
        <w:rPr>
          <w:color w:val="000000" w:themeColor="text1"/>
        </w:rPr>
        <w:t>. Across six task conditions, DTB-simulated functional connectivity predicted reaction time more strongly than empirical functional connectivity, suggesting that the model captures behaviourally informative aspects of task-state dynamics beyond reproducing measured BOLD signals. Because assimilation is restricted to task-engaged regions, much of the simulated activity is generated through model-based network propagation rather than directly fitted to noisy empirical BOLD-response measurements. The resulting dynamics may therefore preserve task-relevant structure while attenuating measurement noise and task-irrelevant variance. This interpretation requires further validation.</w:t>
      </w:r>
      <w:r w:rsidRPr="000D31E6">
        <w:rPr>
          <w:color w:val="000000" w:themeColor="text1"/>
          <w:lang w:eastAsia="zh-CN"/>
        </w:rPr>
        <w:t xml:space="preserve"> Individual differences in the simulations also carried information about subsequent symptom change beyond baseline symptoms and empirical NP connectivity, which requires replication in a larger sample.</w:t>
      </w:r>
    </w:p>
    <w:p w14:paraId="47AD32CE" w14:textId="6AB328AE" w:rsidR="007A3803" w:rsidRPr="000D31E6" w:rsidRDefault="003B1FC8" w:rsidP="003B1FC8">
      <w:pPr>
        <w:adjustRightInd w:val="0"/>
        <w:snapToGrid w:val="0"/>
        <w:spacing w:line="480" w:lineRule="auto"/>
        <w:jc w:val="both"/>
        <w:rPr>
          <w:color w:val="000000" w:themeColor="text1"/>
        </w:rPr>
      </w:pPr>
      <w:r w:rsidRPr="008A32B0">
        <w:rPr>
          <w:color w:val="000000" w:themeColor="text1"/>
        </w:rPr>
        <w:t>A central finding was the heterogeneous and bidirectional response of NP connectivity to virtual E/I perturbations. Individuals with lower baseline NP factor scores tend</w:t>
      </w:r>
      <w:r w:rsidRPr="000D31E6">
        <w:rPr>
          <w:color w:val="000000" w:themeColor="text1"/>
          <w:lang w:eastAsia="zh-CN"/>
        </w:rPr>
        <w:t>ed</w:t>
      </w:r>
      <w:r w:rsidRPr="008A32B0">
        <w:rPr>
          <w:color w:val="000000" w:themeColor="text1"/>
        </w:rPr>
        <w:t xml:space="preserve"> to show larger increases following perturbation, whereas those with higher baseline NP showed modest increases or even decreases. Interestingly, both excitatory-leaning (AMPA) and inhibitory-leaning (GABA-A) perturbations often shifted NP connectivity in the same direction within an individual model. </w:t>
      </w:r>
      <w:r w:rsidRPr="000D31E6">
        <w:rPr>
          <w:color w:val="000000" w:themeColor="text1"/>
        </w:rPr>
        <w:t>This convergence does not imply equivalent excitatory and inhibitory mechanisms.</w:t>
      </w:r>
      <w:r w:rsidRPr="000D31E6">
        <w:rPr>
          <w:color w:val="000000" w:themeColor="text1"/>
          <w:lang w:eastAsia="zh-CN"/>
        </w:rPr>
        <w:t xml:space="preserve"> Rather, it is consistent with nonlinear recurrent network dynamics, in which distinct synaptic control parameters can move a system toward or away from a functional operating regime depending on its initial state</w:t>
      </w:r>
      <w:r w:rsidRPr="000D31E6">
        <w:rPr>
          <w:color w:val="000000" w:themeColor="text1"/>
        </w:rPr>
        <w:fldChar w:fldCharType="begin"/>
      </w:r>
      <w:r w:rsidR="003347D4" w:rsidRPr="000D31E6">
        <w:rPr>
          <w:color w:val="000000" w:themeColor="text1"/>
        </w:rPr>
        <w:instrText xml:space="preserve"> ADDIN ZOTERO_ITEM CSL_CITATION {"citationID":"MwkHgb2t","properties":{"formattedCitation":"\\super 56\\uc0\\u8211{}58\\nosupersub{}","plainCitation":"56–58","noteIndex":0},"citationItems":[{"id":2964,"uris":["http://zotero.org/users/7033572/items/GN3DVNJ6"],"itemData":{"id":2964,"type":"article-journal","abstract":"In what regime does the cortical circuit operate? Our intracellular studies of surround suppression in cat primary visual cortex (V1) provide strong evidence on this question. Although suppression has been thought to arise from an increase in lateral inhibition, we find that the inhibition that cells receive is reduced, not increased, by a surround stimulus. Instead, suppression is mediated by a withdrawal of excitation. Thalamic recordings and previous work show that these effects cannot be explained by a withdrawal of thalamic input. We find in theoretical work that this behavior can only arise if V1 operates as an inhibition-stabilized network (ISN), in which excitatory recurrence alone is strong enough to destabilize visual responses but feedback inhibition maintains stability. We confirm two strong tests of this scenario experimentally and show through simulation that observed cell-to-cell variability in surround effects, from facilitation to suppression, can arise naturally from variability in the ISN.","container-title":"Neuron","DOI":"10.1016/j.neuron.2009.03.028","ISSN":"1097-4199","issue":"4","journalAbbreviation":"Neuron","language":"eng","page":"578-592","PMID":"19477158","PMCID":"PMC2691725","source":"PubMed","title":"Inhibitory stabilization of the cortical network underlies visual surround suppression","volume":"62","author":[{"family":"Ozeki","given":"Hirofumi"},{"family":"Finn","given":"Ian M."},{"family":"Schaffer","given":"Evan S."},{"family":"Miller","given":"Kenneth D."},{"family":"Ferster","given":"David"}],"issued":{"date-parts":[["2009",5,28]]}}},{"id":2967,"uris":["http://zotero.org/users/7033572/items/KDX6F5FG"],"itemData":{"id":2967,"type":"article-journal","abstract":"In cerebral cortex, ongoing activity absent a stimulus can resemble stimulus-driven activity in size and structure. In particular, spontaneous activity in cat primary visual cortex (V1) has structure significantly correlated with evoked responses to oriented stimuli. This suggests that, from unstructured input, cortical circuits selectively amplify specific activity patterns. Current understanding of selective amplification involves elongation of a neural assembly's lifetime by mutual excitation among its neurons. We introduce a new mechanism for selective amplification without elongation of lifetime: “balanced amplification.” Strong balanced amplification arises when feedback inhibition stabilizes strong recurrent excitation, a pattern likely to be typical of cortex. Thus, balanced amplification should ubiquitously contribute to cortical activity. Balanced amplification depends on the fact that individual neurons project only excitatory or only inhibitory synapses. This leads to a hidden feedforward connectivity between activity patterns. We show in a detailed biophysical model that this can explain the cat V1 observations.","container-title":"Neuron","DOI":"10.1016/j.neuron.2009.02.005","ISSN":"0896-6273","issue":"4","journalAbbreviation":"Neuron","page":"635-648","source":"ScienceDirect","title":"Balanced Amplification: A New Mechanism of Selective Amplification of Neural Activity Patterns","title-short":"Balanced Amplification","volume":"61","author":[{"family":"Murphy","given":"Brendan K."},{"family":"Miller","given":"Kenneth D."}],"issued":{"date-parts":[["2009",2,26]]}}},{"id":2968,"uris":["http://zotero.org/users/7033572/items/GGVPY955"],"itemData":{"id":2968,"type":"article-journal","abstract":"Understanding reliable signal transmission represents a notable challenge for cortical systems, which display a wide range of weights of feedforward and feedback connections among heterogeneous areas. We re-examine the question of signal transmission across the cortex in a network model based on mesoscopic directed and weighted inter-areal connectivity data of the macaque cortex. Our findings reveal that, in contrast to purely feedforward propagation models, the presence of long-range excitatory feedback projections could compromise stable signal propagation. Using population rate models as well as a spiking network model, we find that effective signal propagation can be accomplished by balanced amplification across cortical areas while ensuring dynamical stability. Moreover, the activation of prefrontal cortex in our model requires the input strength to exceed a threshold, which is consistent with the ignition model of conscious processing. These findings demonstrate our model as an anatomically realistic platform for investigations of global primate cortex dynamics.","container-title":"Neuron","DOI":"10.1016/j.neuron.2018.02.031","ISSN":"1097-4199","issue":"1","journalAbbreviation":"Neuron","language":"eng","page":"222-234.e8","PMID":"29576389","source":"PubMed","title":"Inter-areal Balanced Amplification Enhances Signal Propagation in a Large-Scale Circuit Model of the Primate Cortex","volume":"98","author":[{"family":"Joglekar","given":"Madhura R."},{"family":"Mejias","given":"Jorge F."},{"family":"Yang","given":"Guangyu Robert"},{"family":"Wang","given":"Xiao-Jing"}],"issued":{"date-parts":[["2018",4,4]]}}}],"schema":"https://github.com/citation-style-language/schema/raw/master/csl-citation.json"} </w:instrText>
      </w:r>
      <w:r w:rsidRPr="000D31E6">
        <w:rPr>
          <w:color w:val="000000" w:themeColor="text1"/>
        </w:rPr>
        <w:fldChar w:fldCharType="separate"/>
      </w:r>
      <w:r w:rsidR="003347D4" w:rsidRPr="008A32B0">
        <w:rPr>
          <w:rFonts w:cs="Times New Roman"/>
          <w:color w:val="000000"/>
          <w:vertAlign w:val="superscript"/>
        </w:rPr>
        <w:t>56–58</w:t>
      </w:r>
      <w:r w:rsidRPr="000D31E6">
        <w:rPr>
          <w:color w:val="000000" w:themeColor="text1"/>
        </w:rPr>
        <w:fldChar w:fldCharType="end"/>
      </w:r>
      <w:r w:rsidRPr="000D31E6">
        <w:rPr>
          <w:color w:val="000000" w:themeColor="text1"/>
        </w:rPr>
        <w:t xml:space="preserve">. This has been </w:t>
      </w:r>
      <w:r w:rsidRPr="000D31E6">
        <w:rPr>
          <w:color w:val="000000" w:themeColor="text1"/>
          <w:lang w:eastAsia="zh-CN"/>
        </w:rPr>
        <w:t xml:space="preserve">observed in </w:t>
      </w:r>
      <w:r w:rsidRPr="000D31E6">
        <w:rPr>
          <w:color w:val="000000" w:themeColor="text1"/>
        </w:rPr>
        <w:t>prior empirical and computational modeling studies</w:t>
      </w:r>
      <w:r w:rsidRPr="000D31E6">
        <w:rPr>
          <w:rFonts w:eastAsiaTheme="minorHAnsi" w:cs="Calibri"/>
          <w:color w:val="000000" w:themeColor="text1"/>
          <w:shd w:val="clear" w:color="auto" w:fill="FFFFFF"/>
        </w:rPr>
        <w:fldChar w:fldCharType="begin"/>
      </w:r>
      <w:r w:rsidR="003347D4" w:rsidRPr="000D31E6">
        <w:rPr>
          <w:rFonts w:eastAsiaTheme="minorHAnsi" w:cs="Calibri"/>
          <w:color w:val="000000" w:themeColor="text1"/>
          <w:shd w:val="clear" w:color="auto" w:fill="FFFFFF"/>
        </w:rPr>
        <w:instrText xml:space="preserve"> ADDIN ZOTERO_ITEM CSL_CITATION {"citationID":"8SjS3Wfa","properties":{"formattedCitation":"\\super 46,59\\uc0\\u8211{}62\\nosupersub{}","plainCitation":"46,59–62","noteIndex":0},"citationItems":[{"id":2918,"uris":["http://zotero.org/users/7033572/items/ZD67J49M"],"itemData":{"id":2918,"type":"article-journal","abstract":"The spontaneous activity of the brain shows different features at different scales. On one hand, neuroimaging studies show that long-range correlations are highly structured in spatiotemporal patterns, known as resting-state networks, on the other hand, neurophysiological reports show that short-range correlations between neighboring neurons are low, despite a large amount of shared presynaptic inputs. Different dynamical mechanisms of local decorrelation have been proposed, among which is feedback inhibition. Here, we investigated the effect of locally regulating the feedback inhibition on the global dynamics of a large-scale brain model, in which the long-range connections are given by diffusion imaging data of human subjects. We used simulations and analytical methods to show that locally constraining the feedback inhibition to compensate for the excess of long-range excitatory connectivity, to preserve the asynchronous state, crucially changes the characteristics of the emergent resting and evoked activity. First, it significantly improves the model's prediction of the empirical human functional connectivity. Second, relaxing this constraint leads to an unrealistic network evoked activity, with systematic coactivation of cortical areas which are components of the default-mode network, whereas regulation of feedback inhibition prevents this. Finally, information theoretic analysis shows that regulation of the local feedback inhibition increases both the entropy and the Fisher information of the network evoked responses. Hence, it enhances the information capacity and the discrimination accuracy of the global network. In conclusion, the local excitation–inhibition ratio impacts the structure of the spontaneous activity and the information transmission at the large-scale brain level.","container-title":"Journal of Neuroscience","DOI":"10.1523/JNEUROSCI.5068-13.2014","ISSN":"0270-6474, 1529-2401","issue":"23","journalAbbreviation":"J. Neurosci.","language":"en","license":"Copyright © 2014 the authors 0270-6474/14/347886-13$15.00/0","page":"7886-7898","PMID":"24899711","publisher":"Society for Neuroscience","section":"Articles","source":"www.jneurosci.org","title":"How Local Excitation–Inhibition Ratio Impacts the Whole Brain Dynamics","volume":"34","author":[{"family":"Deco","given":"Gustavo"},{"family":"Ponce-Alvarez","given":"Adrián"},{"family":"Hagmann","given":"Patric"},{"family":"Romani","given":"Gian Luca"},{"family":"Mantini","given":"Dante"},{"family":"Corbetta","given":"Maurizio"}],"issued":{"date-parts":[["2014",6,4]]}},"label":"page"},{"id":2912,"uris":["http://zotero.org/users/7033572/items/QDMGWLGP"],"itemData":{"id":2912,"type":"article-journal","abstract":"Excitation–inhibition balance (E/I balance) is a fundamental property of cortical microcircuitry. Disruption of E/I balance in prefrontal cortex is hypothesized to underlie cognitive deficits observed in neuropsychiatric illnesses such as schizophrenia. To elucidate the link between these phenomena, we incorporated synaptic disinhibition, via N-methyl-D-aspartate receptor perturbation on interneurons, into a network model of spatial working memory (WM). At the neural level, disinhibition broadens the tuning of WM-related, stimulus-selective persistent activity patterns. The model predicts that this change at the neural level leads to 2 primary behavioral deficits: 1) increased behavioral variability that degrades the precision of stored information and 2) decreased ability to filter out distractors during WM maintenance. We specifically tested the main model prediction, broadened WM representation under disinhibition, using behavioral data from human subjects performing a spatial WM task combined with ketamine infusion, a pharmacological model of schizophrenia hypothesized to induce disinhibition. Ketamine increased errors in a pattern predicted by the model. Finally, as proof-of-principle, we demonstrate that WM deteriorations in the model can be ameliorated by compensations that restore E/I balance. Our findings identify specific ways by which cortical disinhibition affects WM, suggesting new experimental designs for probing the brain mechanisms of WM deficits in schizophrenia.","container-title":"Cerebral Cortex","DOI":"10.1093/cercor/bhs370","ISSN":"1047-3211","issue":"4","journalAbbreviation":"Cereb Cortex","page":"859-872","source":"Silverchair","title":"Linking Microcircuit Dysfunction to Cognitive Impairment: Effects of Disinhibition Associated with Schizophrenia in a Cortical Working Memory Model","title-short":"Linking Microcircuit Dysfunction to Cognitive Impairment","volume":"24","author":[{"family":"Murray","given":"John D."},{"family":"Anticevic","given":"Alan"},{"family":"Gancsos","given":"Mark"},{"family":"Ichinose","given":"Megan"},{"family":"Corlett","given":"Philip R."},{"family":"Krystal","given":"John H."},{"family":"Wang","given":"Xiao-Jing"}],"issued":{"date-parts":[["2014",4,1]]}},"label":"page"},{"id":2830,"uris":["http://zotero.org/users/7033572/items/BUPWKE6X"],"itemData":{"id":2830,"type":"article-journal","abstract":"Severe behavioural deficits in psychiatric diseases such as autism and schizophrenia have been hypothesized to arise from elevations in the cellular balance of excitation and inhibition (E/I balance) within neural microcircuitry. This hypothesis could unify diverse streams of pathophysiological and genetic evidence, but has not been susceptible to direct testing. Here we design and use several novel optogenetic tools to causally investigate the cellular E/I balance hypothesis in freely moving mammals, and explore the associated circuit physiology. Elevation, but not reduction, of cellular E/I balance within the mouse medial prefrontal cortex was found to elicit a profound impairment in cellular information processing, associated with specific behavioural impairments and increased high-frequency power in the 30-80</w:instrText>
      </w:r>
      <w:r w:rsidR="003347D4" w:rsidRPr="000D31E6">
        <w:rPr>
          <w:rFonts w:ascii="Times New Roman" w:eastAsiaTheme="minorHAnsi" w:hAnsi="Times New Roman" w:cs="Times New Roman"/>
          <w:color w:val="000000" w:themeColor="text1"/>
          <w:shd w:val="clear" w:color="auto" w:fill="FFFFFF"/>
        </w:rPr>
        <w:instrText> </w:instrText>
      </w:r>
      <w:r w:rsidR="003347D4" w:rsidRPr="000D31E6">
        <w:rPr>
          <w:rFonts w:eastAsiaTheme="minorHAnsi" w:cs="Calibri"/>
          <w:color w:val="000000" w:themeColor="text1"/>
          <w:shd w:val="clear" w:color="auto" w:fill="FFFFFF"/>
        </w:rPr>
        <w:instrText xml:space="preserve">Hz range, which have both been observed in clinical conditions in humans. Consistent with the E/I balance hypothesis, compensatory elevation of inhibitory cell excitability partially rescued social deficits caused by E/I balance elevation. These results provide support for the elevated cellular E/I balance hypothesis of severe neuropsychiatric disease-related symptoms.","container-title":"Nature","DOI":"10.1038/nature10360","ISSN":"1476-4687","issue":"7363","journalAbbreviation":"Nature","language":"eng","page":"171-178","PMID":"21796121","PMCID":"PMC4155501","source":"PubMed","title":"Neocortical excitation/inhibition balance in information processing and social dysfunction","volume":"477","author":[{"family":"Yizhar","given":"Ofer"},{"family":"Fenno","given":"Lief E."},{"family":"Prigge","given":"Matthias"},{"family":"Schneider","given":"Franziska"},{"family":"Davidson","given":"Thomas J."},{"family":"O'Shea","given":"Daniel J."},{"family":"Sohal","given":"Vikaas S."},{"family":"Goshen","given":"Inbal"},{"family":"Finkelstein","given":"Joel"},{"family":"Paz","given":"Jeanne T."},{"family":"Stehfest","given":"Katja"},{"family":"Fudim","given":"Roman"},{"family":"Ramakrishnan","given":"Charu"},{"family":"Huguenard","given":"John R."},{"family":"Hegemann","given":"Peter"},{"family":"Deisseroth","given":"Karl"}],"issued":{"date-parts":[["2011",7,27]]}},"label":"page"},{"id":2962,"uris":["http://zotero.org/users/7033572/items/E52ZF3UM"],"itemData":{"id":2962,"type":"article-journal","abstract":"Many studies have shown that the excitation and inhibition received by cortical neurons remain roughly balanced across many conditions. A key question for understanding the dynamical regime of cortex is the nature of this balancing. Theorists have shown that network dynamics can yield systematic cancellation of most of a neuron’s excitatory input by inhibition. We review a wide range of evidence pointing to this cancellation occurring in a regime in which the balance is loose, meaning that the net input remaining after cancellation of excitation and inhibition is comparable in size with the factors that cancel, rather than tight, meaning that the net input is very small relative to the canceling factors. This choice of regime has important implications for cortical functional responses, as we describe: loose balance, but not tight balance, can yield many nonlinear population behaviors seen in sensory cortical neurons, allow the presence of correlated variability, and yield decrease of that variability with increasing external stimulus drive as observed across multiple cortical areas.","container-title":"Neuron","DOI":"10.1016/j.neuron.2021.07.031","ISSN":"0896-6273","issue":"21","journalAbbreviation":"Neuron","page":"3373-3391","source":"ScienceDirect","title":"What is the dynamical regime of cerebral cortex?","volume":"109","author":[{"family":"Ahmadian","given":"Yashar"},{"family":"Miller","given":"Kenneth D."}],"issued":{"date-parts":[["2021",11,3]]}}},{"id":2980,"uris":["http://zotero.org/users/7033572/items/6XJVRISI"],"itemData":{"id":2980,"type":"article-journal","abstract":"Invasive and non-invasive brain stimulation methods are widely used in neuroscience to establish causal relationships between distinct brain regions and the sensory, cognitive and motor functions they subserve. When combined with concurrent brain imaging, such stimulation methods can reveal patterns of neuronal activity responsible for regulating simple and complex behaviours at the level of local circuits and across widespread networks. Understanding how fluctuations in physiological states and task demands might influence the effects of brain stimulation on neural activity and behaviour is at the heart of how we use these tools to understand cognition. Here we review the concept of such ‘state-dependent’ changes in brain activity in response to neural stimulation, and consider examples from research on altered states of consciousness (for example, sleep and anaesthesia) and from task-based manipulations of selective attention and working memory. We relate relevant findings from non-invasive methods used in humans to those obtained from direct electrical and optogenetic stimulation of neuronal ensembles in animal models. Given the widespread use of brain stimulation as a research tool in the laboratory and as a means of augmenting or restoring brain function, consideration of the influence of changing physiological and cognitive states is crucial for increasing the reliability of these interventions.","container-title":"Nature Reviews Neuroscience","DOI":"10.1038/s41583-022-00598-1","ISSN":"1471-0048","issue":"8","journalAbbreviation":"Nat Rev Neurosci","language":"en","license":"2022 Springer Nature Limited","page":"459-475","publisher":"Nature Publishing Group","source":"www.nature.com","title":"State-dependent effects of neural stimulation on brain function and cognition","volume":"23","author":[{"family":"Bradley","given":"Claire"},{"family":"Nydam","given":"Abbey S."},{"family":"Dux","given":"Paul E."},{"family":"Mattingley","given":"Jason B."}],"issued":{"date-parts":[["2022",8]]}}}],"schema":"https://github.com/citation-style-language/schema/raw/master/csl-citation.json"} </w:instrText>
      </w:r>
      <w:r w:rsidRPr="000D31E6">
        <w:rPr>
          <w:rFonts w:eastAsiaTheme="minorHAnsi" w:cs="Calibri"/>
          <w:color w:val="000000" w:themeColor="text1"/>
          <w:shd w:val="clear" w:color="auto" w:fill="FFFFFF"/>
        </w:rPr>
        <w:fldChar w:fldCharType="separate"/>
      </w:r>
      <w:r w:rsidR="003347D4" w:rsidRPr="008A32B0">
        <w:rPr>
          <w:rFonts w:cs="Times New Roman"/>
          <w:color w:val="000000"/>
          <w:vertAlign w:val="superscript"/>
        </w:rPr>
        <w:t>46,59–62</w:t>
      </w:r>
      <w:r w:rsidRPr="000D31E6">
        <w:rPr>
          <w:rFonts w:eastAsiaTheme="minorHAnsi" w:cs="Calibri"/>
          <w:color w:val="000000" w:themeColor="text1"/>
          <w:shd w:val="clear" w:color="auto" w:fill="FFFFFF"/>
        </w:rPr>
        <w:fldChar w:fldCharType="end"/>
      </w:r>
      <w:r w:rsidRPr="000D31E6">
        <w:rPr>
          <w:color w:val="000000" w:themeColor="text1"/>
        </w:rPr>
        <w:t xml:space="preserve">. An excitatory manipulation therefore need not increase, nor an inhibitory one decrease, connectivity at the network level. </w:t>
      </w:r>
    </w:p>
    <w:p w14:paraId="20FA44E4" w14:textId="79D6FF36" w:rsidR="007A3803" w:rsidRPr="000D31E6" w:rsidRDefault="007A3803" w:rsidP="007A3803">
      <w:pPr>
        <w:adjustRightInd w:val="0"/>
        <w:snapToGrid w:val="0"/>
        <w:spacing w:line="480" w:lineRule="auto"/>
        <w:jc w:val="both"/>
        <w:rPr>
          <w:color w:val="000000" w:themeColor="text1"/>
        </w:rPr>
      </w:pPr>
      <w:r w:rsidRPr="000D31E6">
        <w:rPr>
          <w:color w:val="000000" w:themeColor="text1"/>
        </w:rPr>
        <w:t xml:space="preserve">The pharmacological datasets provided empirical tests of these bidirectional responses. Neither drug produced a robust group-mean effect on NP connectivity, but response </w:t>
      </w:r>
      <w:r w:rsidRPr="000D31E6">
        <w:rPr>
          <w:color w:val="000000" w:themeColor="text1"/>
        </w:rPr>
        <w:lastRenderedPageBreak/>
        <w:t>direction varied with baseline circuit state, and in the independent clinical dataset patients with MDD, whose baseline NP connectivity was lower, increased under ketamine while controls decreased. At the individual level, however, Oldham's test did not support a relationship between baseline and drug-induced change, so the bidirectional pattern should not be read as a baseline-dependent response function. This may partly reflect the limited test-retest reliability of task-fMRI connectivity, which constrains individual-level inference in vivo but not in simulation. Correspondence between model and drug therefore indicates shared response structure rather than equivalence between simulated and drug-induced effects.</w:t>
      </w:r>
    </w:p>
    <w:p w14:paraId="6F883A30" w14:textId="28389763" w:rsidR="004C536B" w:rsidRPr="000D31E6" w:rsidRDefault="004C536B" w:rsidP="003B1FC8">
      <w:pPr>
        <w:adjustRightInd w:val="0"/>
        <w:snapToGrid w:val="0"/>
        <w:spacing w:line="480" w:lineRule="auto"/>
        <w:jc w:val="both"/>
        <w:rPr>
          <w:color w:val="000000" w:themeColor="text1"/>
        </w:rPr>
      </w:pPr>
      <w:r w:rsidRPr="000D31E6">
        <w:rPr>
          <w:color w:val="000000" w:themeColor="text1"/>
        </w:rPr>
        <w:t>The virtual perturbations should be interpreted as systems-level manipulations of synaptic gain rather than molecular simulations of drug action. For example, although ketamine primarily antagonises NMDA receptors, its downstream increase in AMPA-mediated excitatory throughput</w:t>
      </w:r>
      <w:r w:rsidRPr="000D31E6">
        <w:rPr>
          <w:color w:val="000000" w:themeColor="text1"/>
          <w:vertAlign w:val="superscript"/>
        </w:rPr>
        <w:t>30</w:t>
      </w:r>
      <w:r w:rsidRPr="000D31E6">
        <w:rPr>
          <w:color w:val="000000" w:themeColor="text1"/>
        </w:rPr>
        <w:t xml:space="preserve"> provides a functional rationale for modelling its network-level excitatory consequences through AMPA gain. Similarly, GABA-A modulation represents manipulation of global inhibitory synaptic gain rather than a spatially resolved simulation of a specific drug. PET receptor maps provide complementary biological context, showing involvement of receptor systems relevant to E/I regulation in regions contributing to the NP circuit</w:t>
      </w:r>
      <w:r w:rsidRPr="000D31E6">
        <w:rPr>
          <w:color w:val="000000" w:themeColor="text1"/>
        </w:rPr>
        <w:fldChar w:fldCharType="begin"/>
      </w:r>
      <w:r w:rsidR="003347D4" w:rsidRPr="000D31E6">
        <w:rPr>
          <w:color w:val="000000" w:themeColor="text1"/>
        </w:rPr>
        <w:instrText xml:space="preserve"> ADDIN ZOTERO_ITEM CSL_CITATION {"citationID":"s8MHZEJP","properties":{"formattedCitation":"\\super 42,43,63,64\\nosupersub{}","plainCitation":"42,43,63,64","noteIndex":0},"citationItems":[{"id":2770,"uris":["http://zotero.org/users/7033572/items/FLK5FXT5"],"itemData":{"id":2770,"type":"article-journal","abstract":"The dynamics of networks of sparsely connected excitatory and inhibitory integrate-and-fire neurons are studied analytically. The analysis reveals a rich repertoire of states, including synchronous states in which neurons fire regularly; asynchronous states with stationary global activity and very irregular individual cell activity; and states in which the global activity oscillates but individual cells fire irregularly, typically at rates lower than the global oscillation frequency. The network can switch between these states, provided the external frequency, or the balance between excitation and inhibition, is varied. Two types of network oscillations are observed. In the fast oscillatory state, the network frequency is almost fully controlled by the synaptic time scale. In the slow oscillatory state, the network frequency depends mostly on the membrane time constant. Finite size effects in the asynchronous state are also discussed.","container-title":"Journal of Computational Neuroscience","DOI":"10.1023/a:1008925309027","ISSN":"0929-5313","issue":"3","journalAbbreviation":"J Comput Neurosci","language":"eng","page":"183-208","PMID":"10809012","source":"PubMed","title":"Dynamics of sparsely connected networks of excitatory and inhibitory spiking neurons","volume":"8","author":[{"family":"Brunel","given":"N."}],"issued":{"date-parts":[["2000"]]}}},{"id":2997,"uris":["http://zotero.org/users/7033572/items/H68K4JVA"],"itemData":{"id":2997,"type":"article-journal","abstract":"The serotonergic pathways originating in the dorsal and median raphe nuclei (DR and MnR, respectively) are critically involved in cortical function. Serotonin (5-HT), acting on postsynaptic and presynaptic receptors, is involved in cognition, mood, impulse control and motor functions by (1) modulating the activity of different neuronal types, and (2) varying the release of other neurotransmitters, such as glutamate, GABA, acetylcholine and dopamine. Also, 5-HT seems to play an important role in cortical development. Of all cortical regions, the frontal lobe is the area most enriched in serotonergic axons and 5-HT receptors. 5-HT and selective receptor agonists modulate the excitability of cortical neurons and their discharge rate through the activation of several receptor subtypes, of which the 5-HT1A, 5-HT1B, 5-HT2A, and 5-HT3 subtypes play a major role. Little is known, however, on the role of other excitatory receptors moderately expressed in cortical areas, such as 5-HT2C, 5-HT4, 5-HT6, and 5-HT7. In vitro and in vivo studies suggest that 5-HT1A and 5-HT2A receptors are key players and exert opposite effects on the activity of pyramidal neurons in the medial prefrontal cortex (mPFC). The activation of 5-HT1A receptors in mPFC hyperpolarizes pyramidal neurons whereas that of 5-HT2A receptors results in neuronal depolarization, reduction of the afterhyperpolarization and increase of excitatory postsynaptic currents (EPSCs) and of discharge rate. 5-HT can also stimulate excitatory (5-HT2A and 5-HT3) and inhibitory (5-HT1A) receptors in GABA interneurons to modulate synaptic GABA inputs onto pyramidal neurons. Likewise, the pharmacological manipulation of various 5-HT receptors alters oscillatory activity in PFC, suggesting that 5-HT is also involved in the control of cortical network activity. A better understanding of the actions of 5-HT in PFC may help to develop treatments for mood and cognitive disorders associated with an abnormal function of the frontal lobe.","container-title":"Frontiers in Integrative Neuroscience","DOI":"10.3389/fnint.2013.00025","ISSN":"1662-5145","journalAbbreviation":"Front Integr Neurosci","language":"eng","page":"25","PMID":"23626526","PMCID":"PMC3630391","source":"PubMed","title":"Serotonin modulation of cortical neurons and networks","volume":"7","author":[{"family":"Celada","given":"Pau"},{"family":"Puig","given":"M. Victoria"},{"family":"Artigas","given":"Francesc"}],"issued":{"date-parts":[["2013"]]}}},{"id":3000,"uris":["http://zotero.org/users/7033572/items/JB8CRPY7"],"itemData":{"id":3000,"type":"article-journal","abstract":"Pharmacological data clearly indicate that both muscarinic and nicotinic acetylcholine receptors have a role in the encoding of new memories. Localized lesions and antagonist infusions demonstrate the anatomical locus of these cholinergic effects, and computational modeling links the function of cholinergic modulation to specific cellular effects within these regions. Acetylcholine has been shown to increase the strength of afferent input relative to feedback, to contribute to theta rhythm oscillations, activate intrinsic mechanisms for persistent spiking, and increase the modification of synapses. These effects might enhance different types of encoding in different cortical structures. In particular, the effects in entorhinal and perirhinal cortex and hippocampus might be important for encoding new episodic memories.","collection-title":"Motor systems / Neurobiology of behaviour","container-title":"Current Opinion in Neurobiology","DOI":"10.1016/j.conb.2006.09.002","ISSN":"0959-4388","issue":"6","journalAbbreviation":"Current Opinion in Neurobiology","page":"710-715","source":"ScienceDirect","title":"The role of acetylcholine in learning and memory","volume":"16","author":[{"family":"Hasselmo","given":"Michael E"}],"issued":{"date-parts":[["2006",12,1]]}}},{"id":3002,"uris":["http://zotero.org/users/7033572/items/RDAE84Z8"],"itemData":{"id":3002,"type":"article-journal","abstract":"The primary psychoactive ingredient in cannabis, Delta9-tetrahydrocannabinol (Delta9-THC), affects the brain mainly by activating a specific receptor (CB1). CB1 is expressed at high levels in many brain regions, and several endogenous brain lipids have been identified as CB1 ligands. In contrast to classical neurotransmitters, endogenous cannabinoids can function as retrograde synaptic messengers: They are released from postsynaptic neurons and travel backward across synapses, activating CB1 on presynaptic axons and suppressing neurotransmitter release. Cannabinoids may affect memory, cognition, and pain perception by means of this cellular mechanism.","container-title":"Science","DOI":"10.1126/science.1063545","ISSN":"1095-9203","issue":"5568","journalAbbreviation":"Science","language":"eng","note":"publisher-place: New York, N.Y.","page":"678-682","PMID":"11976437","source":"PubMed","title":"Endocannabinoid signaling in the brain","volume":"296","author":[{"family":"Wilson","given":"Rachel I."},{"family":"Nicoll","given":"Roger A."}],"issued":{"date-parts":[["2002",4,26]]}}}],"schema":"https://github.com/citation-style-language/schema/raw/master/csl-citation.json"} </w:instrText>
      </w:r>
      <w:r w:rsidRPr="000D31E6">
        <w:rPr>
          <w:color w:val="000000" w:themeColor="text1"/>
        </w:rPr>
        <w:fldChar w:fldCharType="separate"/>
      </w:r>
      <w:r w:rsidR="003347D4" w:rsidRPr="008A32B0">
        <w:rPr>
          <w:rFonts w:cs="Times New Roman"/>
          <w:color w:val="000000"/>
          <w:vertAlign w:val="superscript"/>
        </w:rPr>
        <w:t>42,43,63,64</w:t>
      </w:r>
      <w:r w:rsidRPr="000D31E6">
        <w:rPr>
          <w:color w:val="000000" w:themeColor="text1"/>
        </w:rPr>
        <w:fldChar w:fldCharType="end"/>
      </w:r>
      <w:r w:rsidRPr="000D31E6">
        <w:rPr>
          <w:color w:val="000000" w:themeColor="text1"/>
        </w:rPr>
        <w:t>,</w:t>
      </w:r>
      <w:r w:rsidRPr="000D31E6">
        <w:rPr>
          <w:rFonts w:eastAsia="宋体" w:cs="宋体"/>
          <w:color w:val="000000" w:themeColor="text1"/>
          <w:lang w:eastAsia="zh-CN"/>
        </w:rPr>
        <w:t xml:space="preserve"> </w:t>
      </w:r>
      <w:r w:rsidRPr="000D31E6">
        <w:rPr>
          <w:color w:val="000000" w:themeColor="text1"/>
        </w:rPr>
        <w:t xml:space="preserve">but their group-level </w:t>
      </w:r>
      <w:r w:rsidRPr="000D31E6">
        <w:rPr>
          <w:color w:val="000000" w:themeColor="text1"/>
          <w:lang w:eastAsia="zh-CN"/>
        </w:rPr>
        <w:t xml:space="preserve">nature </w:t>
      </w:r>
      <w:r w:rsidRPr="000D31E6">
        <w:rPr>
          <w:color w:val="000000" w:themeColor="text1"/>
        </w:rPr>
        <w:t>prevents inference about individual neurochemical mechanisms. Notably, our PET analysis did not identify preferential enrichment of GABA receptor systems in NP-related regions, providing no evidence that the modelled inhibitory effects are driven by regional GABA receptor density.</w:t>
      </w:r>
    </w:p>
    <w:p w14:paraId="2A42A972" w14:textId="77777777" w:rsidR="00455C7C" w:rsidRPr="000D31E6" w:rsidRDefault="00455C7C" w:rsidP="00455C7C">
      <w:pPr>
        <w:adjustRightInd w:val="0"/>
        <w:snapToGrid w:val="0"/>
        <w:spacing w:line="480" w:lineRule="auto"/>
        <w:jc w:val="both"/>
        <w:rPr>
          <w:color w:val="000000" w:themeColor="text1"/>
        </w:rPr>
      </w:pPr>
      <w:r w:rsidRPr="000D31E6">
        <w:rPr>
          <w:color w:val="000000" w:themeColor="text1"/>
        </w:rPr>
        <w:t xml:space="preserve">An important feature of the present framework is that different aspects of model resolution affect DTB simulations differently. The neuronal scale used to estimate assimilation hyper-parameters was critical for voxel-wise modelling, with 100-million-neuron estimates </w:t>
      </w:r>
      <w:r w:rsidRPr="000D31E6">
        <w:rPr>
          <w:color w:val="000000" w:themeColor="text1"/>
        </w:rPr>
        <w:lastRenderedPageBreak/>
        <w:t>required for high-fidelity assimilation, whereas 3-million-neuron estimates were sufficient for 268-region data; the number of simulated neurons primarily affected run-to-run stability; in more detailed models it also sets the number of neurons available to each population (below). Configuration should therefore match the question: 268-region models for population-scale analyses, and hyper-parameters estimated at 100 million neurons or more for voxel-wise models. Reduced-resolution models retain individualised variation but should not be assumed to be biologically equivalent to higher-resolution models, and their effect sizes should therefore be interpreted as scale-specific quantities.</w:t>
      </w:r>
    </w:p>
    <w:p w14:paraId="67FA78AA" w14:textId="28F65A1E" w:rsidR="005336A3" w:rsidRPr="000D31E6" w:rsidRDefault="005336A3" w:rsidP="00C36FF2">
      <w:pPr>
        <w:adjustRightInd w:val="0"/>
        <w:snapToGrid w:val="0"/>
        <w:spacing w:line="480" w:lineRule="auto"/>
        <w:jc w:val="both"/>
        <w:rPr>
          <w:color w:val="000000" w:themeColor="text1"/>
          <w:lang w:eastAsia="zh-CN"/>
        </w:rPr>
      </w:pPr>
      <w:r w:rsidRPr="008A32B0">
        <w:rPr>
          <w:color w:val="000000" w:themeColor="text1"/>
          <w:lang w:eastAsia="zh-CN"/>
        </w:rPr>
        <w:t xml:space="preserve">Several limitations constrain the biological interpretation and clinical generalisability of the present framework. </w:t>
      </w:r>
      <w:r w:rsidRPr="000D31E6">
        <w:rPr>
          <w:color w:val="000000" w:themeColor="text1"/>
          <w:lang w:eastAsia="zh-CN"/>
        </w:rPr>
        <w:t xml:space="preserve">DTB simulations rely on simplifying assumptions regarding neuronal density, E/I composition, synaptic architecture and neuronal dynamics, and do not capture regional variation in cellular or laminar organisation (Supplementary Discussion). The pharmacological validation datasets were also limited: the healthy-volunteer dataset was small, male-only and restricted to a single task, the clinical dataset imaged participants after infusion only, and the 12 NP edges were selected in an IMAGEN analysis that included the 85 longitudinal participants. The population-scale sample was also modelled selectively, because digital twins were built only where diffusion and task data were both complete and patient scans were prioritised, so patients are over-represented relative to the source cohort (Supplementary Results 4.3); together with the modest size of the pharmacological and longitudinal subsamples, this limits how far the present estimates can be generalised. The current framework also omits neurotransmitter systems beyond AMPA- and GABA-A-mediated signalling and cerebellar microcircuitry. Incorporating regionally heterogeneous cellular properties, broader neuromodulatory systems and individualised brain space may improve biological specificity and facilitate future single-subject applications. </w:t>
      </w:r>
      <w:r w:rsidRPr="008A32B0">
        <w:t xml:space="preserve">These </w:t>
      </w:r>
      <w:r w:rsidRPr="008A32B0">
        <w:lastRenderedPageBreak/>
        <w:t xml:space="preserve">extensions carry a computational requirement that the present calibration anticipates. Each multiplies the number of neuronal populations per voxel, so that at 10 million neurons a laminar or interneuron-resolved model would leave too few neurons per population for stable dynamics, and small neuromodulatory nuclei would be represented far below their biological size. The billion-neuron implementation establishes that the framework can operate at the scale these refinements require. </w:t>
      </w:r>
      <w:r w:rsidRPr="000D31E6">
        <w:rPr>
          <w:color w:val="000000" w:themeColor="text1"/>
          <w:lang w:eastAsia="zh-CN"/>
        </w:rPr>
        <w:t>Pharmacological validation of GABAergic modulation was limited to healthy participants, and corresponding evidence in AUD populations remains unavailable.</w:t>
      </w:r>
      <w:commentRangeStart w:id="8"/>
      <w:r w:rsidRPr="000D31E6">
        <w:rPr>
          <w:color w:val="000000" w:themeColor="text1"/>
          <w:lang w:eastAsia="zh-CN"/>
        </w:rPr>
        <w:t xml:space="preserve"> Assimilation stability was tested in one participant only.</w:t>
      </w:r>
      <w:commentRangeEnd w:id="8"/>
      <w:r w:rsidRPr="000D31E6">
        <w:rPr>
          <w:rStyle w:val="affb"/>
          <w:color w:val="000000" w:themeColor="text1"/>
          <w:sz w:val="22"/>
          <w:szCs w:val="22"/>
          <w:lang w:eastAsia="zh-CN"/>
        </w:rPr>
        <w:commentReference w:id="8"/>
      </w:r>
      <w:r w:rsidRPr="000D31E6">
        <w:rPr>
          <w:color w:val="000000" w:themeColor="text1"/>
          <w:lang w:eastAsia="zh-CN"/>
        </w:rPr>
        <w:t xml:space="preserve"> Substantial prospective validation in independent clinical cohorts will therefore be required to establish whether DTB-derived perturbational profiles generalise across populations and predict treatment-related outcomes.</w:t>
      </w:r>
    </w:p>
    <w:p w14:paraId="711E0FCE" w14:textId="1AFC24D4" w:rsidR="00B43DD7" w:rsidRPr="008A32B0" w:rsidRDefault="00FD3111" w:rsidP="000571EC">
      <w:pPr>
        <w:adjustRightInd w:val="0"/>
        <w:snapToGrid w:val="0"/>
        <w:spacing w:line="480" w:lineRule="auto"/>
        <w:jc w:val="both"/>
        <w:rPr>
          <w:color w:val="000000" w:themeColor="text1"/>
        </w:rPr>
      </w:pPr>
      <w:r w:rsidRPr="008A32B0">
        <w:rPr>
          <w:color w:val="000000" w:themeColor="text1"/>
        </w:rPr>
        <w:t>Despite these constraints, the convergent results suggest that a compact task-evoked circuit phenotype can be embedded within individualised digital brain models and linked to explicit synaptic control parameters. The resulting perturbational responses are heterogeneous and bidirectional, show correspondence with pharmacological modulation, and contain information relevant to behavioural and longitudinal outcomes. </w:t>
      </w:r>
      <w:commentRangeStart w:id="9"/>
      <w:r w:rsidRPr="008A32B0">
        <w:rPr>
          <w:color w:val="000000" w:themeColor="text1"/>
        </w:rPr>
        <w:t>This is a step from descriptive biomarkers toward generative models of psychiatric circuits that can be perturbed.</w:t>
      </w:r>
      <w:commentRangeEnd w:id="9"/>
      <w:r w:rsidRPr="008A32B0">
        <w:rPr>
          <w:rStyle w:val="affb"/>
          <w:color w:val="000000" w:themeColor="text1"/>
          <w:sz w:val="22"/>
          <w:szCs w:val="22"/>
        </w:rPr>
        <w:commentReference w:id="9"/>
      </w:r>
    </w:p>
    <w:p w14:paraId="42E562AD" w14:textId="77777777" w:rsidR="00A53CFF" w:rsidRPr="008A32B0" w:rsidRDefault="00A53CFF" w:rsidP="000571EC">
      <w:pPr>
        <w:adjustRightInd w:val="0"/>
        <w:snapToGrid w:val="0"/>
        <w:spacing w:line="480" w:lineRule="auto"/>
        <w:jc w:val="both"/>
        <w:rPr>
          <w:color w:val="000000" w:themeColor="text1"/>
          <w:lang w:eastAsia="zh-CN"/>
        </w:rPr>
      </w:pPr>
      <w:r w:rsidRPr="008A32B0">
        <w:rPr>
          <w:color w:val="000000" w:themeColor="text1"/>
        </w:rPr>
        <w:br w:type="page"/>
      </w:r>
    </w:p>
    <w:p w14:paraId="2520C815" w14:textId="75331AC4" w:rsidR="00CD2610" w:rsidRPr="000D31E6" w:rsidRDefault="00696C2F" w:rsidP="000571EC">
      <w:pPr>
        <w:adjustRightInd w:val="0"/>
        <w:snapToGrid w:val="0"/>
        <w:spacing w:line="480" w:lineRule="auto"/>
        <w:jc w:val="both"/>
        <w:rPr>
          <w:b/>
          <w:bCs/>
          <w:color w:val="000000" w:themeColor="text1"/>
          <w:lang w:eastAsia="zh-CN"/>
        </w:rPr>
      </w:pPr>
      <w:r w:rsidRPr="000D31E6">
        <w:rPr>
          <w:b/>
          <w:bCs/>
          <w:color w:val="000000" w:themeColor="text1"/>
        </w:rPr>
        <w:lastRenderedPageBreak/>
        <w:t>References</w:t>
      </w:r>
    </w:p>
    <w:p w14:paraId="67EA3BFC" w14:textId="77777777" w:rsidR="00CD2610" w:rsidRPr="008A32B0" w:rsidRDefault="00A61AE7" w:rsidP="00CD2610">
      <w:pPr>
        <w:pStyle w:val="afff2"/>
      </w:pPr>
      <w:r w:rsidRPr="008A32B0">
        <w:rPr>
          <w:color w:val="000000" w:themeColor="text1"/>
        </w:rPr>
        <w:fldChar w:fldCharType="begin"/>
      </w:r>
      <w:r w:rsidR="00CD2610" w:rsidRPr="008A32B0">
        <w:rPr>
          <w:color w:val="000000" w:themeColor="text1"/>
        </w:rPr>
        <w:instrText xml:space="preserve"> ADDIN ZOTERO_BIBL {"uncited":[],"omitted":[],"custom":[]} CSL_BIBLIOGRAPHY </w:instrText>
      </w:r>
      <w:r w:rsidRPr="008A32B0">
        <w:rPr>
          <w:color w:val="000000" w:themeColor="text1"/>
        </w:rPr>
        <w:fldChar w:fldCharType="separate"/>
      </w:r>
      <w:r w:rsidR="00CD2610" w:rsidRPr="008A32B0">
        <w:t xml:space="preserve">1. </w:t>
      </w:r>
      <w:r w:rsidR="00CD2610" w:rsidRPr="008A32B0">
        <w:tab/>
        <w:t xml:space="preserve">Braun, U. </w:t>
      </w:r>
      <w:r w:rsidR="00CD2610" w:rsidRPr="008A32B0">
        <w:rPr>
          <w:i/>
          <w:iCs/>
        </w:rPr>
        <w:t>et al.</w:t>
      </w:r>
      <w:r w:rsidR="00CD2610" w:rsidRPr="008A32B0">
        <w:t xml:space="preserve"> From Maps to Multi-dimensional Network Mechanisms of Mental Disorders. </w:t>
      </w:r>
      <w:r w:rsidR="00CD2610" w:rsidRPr="008A32B0">
        <w:rPr>
          <w:i/>
          <w:iCs/>
        </w:rPr>
        <w:t>Neuron</w:t>
      </w:r>
      <w:r w:rsidR="00CD2610" w:rsidRPr="008A32B0">
        <w:t xml:space="preserve"> </w:t>
      </w:r>
      <w:r w:rsidR="00CD2610" w:rsidRPr="008A32B0">
        <w:rPr>
          <w:b/>
          <w:bCs/>
        </w:rPr>
        <w:t>97</w:t>
      </w:r>
      <w:r w:rsidR="00CD2610" w:rsidRPr="008A32B0">
        <w:t>, 14–31 (2018).</w:t>
      </w:r>
    </w:p>
    <w:p w14:paraId="200C3154" w14:textId="77777777" w:rsidR="00CD2610" w:rsidRPr="008A32B0" w:rsidRDefault="00CD2610" w:rsidP="00CD2610">
      <w:pPr>
        <w:pStyle w:val="afff2"/>
      </w:pPr>
      <w:r w:rsidRPr="008A32B0">
        <w:t xml:space="preserve">2. </w:t>
      </w:r>
      <w:r w:rsidRPr="008A32B0">
        <w:tab/>
        <w:t xml:space="preserve">Lee, J. H., Liu, Q. &amp; Dadgar-Kiani, E. Solving brain circuit function and dysfunction with computational modeling and optogenetic fMRI. </w:t>
      </w:r>
      <w:r w:rsidRPr="008A32B0">
        <w:rPr>
          <w:i/>
          <w:iCs/>
        </w:rPr>
        <w:t>Science</w:t>
      </w:r>
      <w:r w:rsidRPr="008A32B0">
        <w:t xml:space="preserve"> </w:t>
      </w:r>
      <w:r w:rsidRPr="008A32B0">
        <w:rPr>
          <w:b/>
          <w:bCs/>
        </w:rPr>
        <w:t>378</w:t>
      </w:r>
      <w:r w:rsidRPr="008A32B0">
        <w:t>, 493–499 (2022).</w:t>
      </w:r>
    </w:p>
    <w:p w14:paraId="0ECD23E2" w14:textId="77777777" w:rsidR="00CD2610" w:rsidRPr="008A32B0" w:rsidRDefault="00CD2610" w:rsidP="00CD2610">
      <w:pPr>
        <w:pStyle w:val="afff2"/>
      </w:pPr>
      <w:r w:rsidRPr="008A32B0">
        <w:t xml:space="preserve">3. </w:t>
      </w:r>
      <w:r w:rsidRPr="008A32B0">
        <w:tab/>
        <w:t xml:space="preserve">Jirsa, V. K., Sporns, O., Breakspear, M., Deco, G. &amp; McIntosh, A. R. Towards The Virtual Brain: network modeling of the intact and the damaged brain. </w:t>
      </w:r>
      <w:r w:rsidRPr="008A32B0">
        <w:rPr>
          <w:i/>
          <w:iCs/>
        </w:rPr>
        <w:t>Arch. Ital. Biol.</w:t>
      </w:r>
      <w:r w:rsidRPr="008A32B0">
        <w:t xml:space="preserve"> </w:t>
      </w:r>
      <w:r w:rsidRPr="008A32B0">
        <w:rPr>
          <w:b/>
          <w:bCs/>
        </w:rPr>
        <w:t>148</w:t>
      </w:r>
      <w:r w:rsidRPr="008A32B0">
        <w:t>, 189–205 (2010).</w:t>
      </w:r>
    </w:p>
    <w:p w14:paraId="6EE649B3" w14:textId="77777777" w:rsidR="00CD2610" w:rsidRPr="008A32B0" w:rsidRDefault="00CD2610" w:rsidP="00CD2610">
      <w:pPr>
        <w:pStyle w:val="afff2"/>
      </w:pPr>
      <w:r w:rsidRPr="008A32B0">
        <w:t xml:space="preserve">4. </w:t>
      </w:r>
      <w:r w:rsidRPr="008A32B0">
        <w:tab/>
        <w:t xml:space="preserve">Deco, G. &amp; Kringelbach, M. L. Great expectations: using whole-brain computational connectomics for understanding neuropsychiatric disorders. </w:t>
      </w:r>
      <w:r w:rsidRPr="008A32B0">
        <w:rPr>
          <w:i/>
          <w:iCs/>
        </w:rPr>
        <w:t>Neuron</w:t>
      </w:r>
      <w:r w:rsidRPr="008A32B0">
        <w:t xml:space="preserve"> </w:t>
      </w:r>
      <w:r w:rsidRPr="008A32B0">
        <w:rPr>
          <w:b/>
          <w:bCs/>
        </w:rPr>
        <w:t>84</w:t>
      </w:r>
      <w:r w:rsidRPr="008A32B0">
        <w:t>, 892–905 (2014).</w:t>
      </w:r>
    </w:p>
    <w:p w14:paraId="13A64580" w14:textId="77777777" w:rsidR="00CD2610" w:rsidRPr="008A32B0" w:rsidRDefault="00CD2610" w:rsidP="00CD2610">
      <w:pPr>
        <w:pStyle w:val="afff2"/>
      </w:pPr>
      <w:r w:rsidRPr="008A32B0">
        <w:t xml:space="preserve">5. </w:t>
      </w:r>
      <w:r w:rsidRPr="008A32B0">
        <w:tab/>
        <w:t xml:space="preserve">Shine, J. M. </w:t>
      </w:r>
      <w:r w:rsidRPr="008A32B0">
        <w:rPr>
          <w:i/>
          <w:iCs/>
        </w:rPr>
        <w:t>et al.</w:t>
      </w:r>
      <w:r w:rsidRPr="008A32B0">
        <w:t xml:space="preserve"> Computational models link cellular mechanisms of neuromodulation to large-scale neural dynamics. </w:t>
      </w:r>
      <w:r w:rsidRPr="008A32B0">
        <w:rPr>
          <w:i/>
          <w:iCs/>
        </w:rPr>
        <w:t>Nat. Neurosci.</w:t>
      </w:r>
      <w:r w:rsidRPr="008A32B0">
        <w:t xml:space="preserve"> </w:t>
      </w:r>
      <w:r w:rsidRPr="008A32B0">
        <w:rPr>
          <w:b/>
          <w:bCs/>
        </w:rPr>
        <w:t>24</w:t>
      </w:r>
      <w:r w:rsidRPr="008A32B0">
        <w:t>, 765–776 (2021).</w:t>
      </w:r>
    </w:p>
    <w:p w14:paraId="6CC50182" w14:textId="77777777" w:rsidR="00CD2610" w:rsidRPr="008A32B0" w:rsidRDefault="00CD2610" w:rsidP="00CD2610">
      <w:pPr>
        <w:pStyle w:val="afff2"/>
      </w:pPr>
      <w:r w:rsidRPr="008A32B0">
        <w:t xml:space="preserve">6. </w:t>
      </w:r>
      <w:r w:rsidRPr="008A32B0">
        <w:tab/>
        <w:t xml:space="preserve">Lu, W. </w:t>
      </w:r>
      <w:r w:rsidRPr="008A32B0">
        <w:rPr>
          <w:i/>
          <w:iCs/>
        </w:rPr>
        <w:t>et al.</w:t>
      </w:r>
      <w:r w:rsidRPr="008A32B0">
        <w:t xml:space="preserve"> Imitating and exploring human brain’s resting and task-performing states via resembling brain computing: scaling and architecture. </w:t>
      </w:r>
      <w:r w:rsidRPr="008A32B0">
        <w:rPr>
          <w:i/>
          <w:iCs/>
        </w:rPr>
        <w:t>Natl. Sci. Rev.</w:t>
      </w:r>
      <w:r w:rsidRPr="008A32B0">
        <w:t xml:space="preserve"> nwae080 (2024) doi:10.1093/nsr/nwae080.</w:t>
      </w:r>
    </w:p>
    <w:p w14:paraId="5CD7D967" w14:textId="77777777" w:rsidR="00CD2610" w:rsidRPr="008A32B0" w:rsidRDefault="00CD2610" w:rsidP="00CD2610">
      <w:pPr>
        <w:pStyle w:val="afff2"/>
      </w:pPr>
      <w:r w:rsidRPr="008A32B0">
        <w:t xml:space="preserve">7. </w:t>
      </w:r>
      <w:r w:rsidRPr="008A32B0">
        <w:tab/>
        <w:t xml:space="preserve">Lu, W. </w:t>
      </w:r>
      <w:r w:rsidRPr="008A32B0">
        <w:rPr>
          <w:i/>
          <w:iCs/>
        </w:rPr>
        <w:t>et al.</w:t>
      </w:r>
      <w:r w:rsidRPr="008A32B0">
        <w:t xml:space="preserve"> Simulation and assimilation of the digital human brain. </w:t>
      </w:r>
      <w:r w:rsidRPr="008A32B0">
        <w:rPr>
          <w:i/>
          <w:iCs/>
        </w:rPr>
        <w:t>Nat. Comput. Sci.</w:t>
      </w:r>
      <w:r w:rsidRPr="008A32B0">
        <w:t xml:space="preserve"> </w:t>
      </w:r>
      <w:r w:rsidRPr="008A32B0">
        <w:rPr>
          <w:b/>
          <w:bCs/>
        </w:rPr>
        <w:t>4</w:t>
      </w:r>
      <w:r w:rsidRPr="008A32B0">
        <w:t>, 890–898 (2024).</w:t>
      </w:r>
    </w:p>
    <w:p w14:paraId="5FBC23F3" w14:textId="77777777" w:rsidR="00CD2610" w:rsidRPr="008A32B0" w:rsidRDefault="00CD2610" w:rsidP="00CD2610">
      <w:pPr>
        <w:pStyle w:val="afff2"/>
      </w:pPr>
      <w:r w:rsidRPr="008A32B0">
        <w:t xml:space="preserve">8. </w:t>
      </w:r>
      <w:r w:rsidRPr="008A32B0">
        <w:tab/>
        <w:t xml:space="preserve">Kotov, R. </w:t>
      </w:r>
      <w:r w:rsidRPr="008A32B0">
        <w:rPr>
          <w:i/>
          <w:iCs/>
        </w:rPr>
        <w:t>et al.</w:t>
      </w:r>
      <w:r w:rsidRPr="008A32B0">
        <w:t xml:space="preserve"> The Hierarchical Taxonomy of Psychopathology (HiTOP): A dimensional alternative to traditional nosologies. </w:t>
      </w:r>
      <w:r w:rsidRPr="008A32B0">
        <w:rPr>
          <w:i/>
          <w:iCs/>
        </w:rPr>
        <w:t>J. Abnorm. Psychol.</w:t>
      </w:r>
      <w:r w:rsidRPr="008A32B0">
        <w:t xml:space="preserve"> </w:t>
      </w:r>
      <w:r w:rsidRPr="008A32B0">
        <w:rPr>
          <w:b/>
          <w:bCs/>
        </w:rPr>
        <w:t>126</w:t>
      </w:r>
      <w:r w:rsidRPr="008A32B0">
        <w:t>, 454–477 (2017).</w:t>
      </w:r>
    </w:p>
    <w:p w14:paraId="4FBC11D2" w14:textId="77777777" w:rsidR="00CD2610" w:rsidRPr="008A32B0" w:rsidRDefault="00CD2610" w:rsidP="00CD2610">
      <w:pPr>
        <w:pStyle w:val="afff2"/>
      </w:pPr>
      <w:r w:rsidRPr="008A32B0">
        <w:t xml:space="preserve">9. </w:t>
      </w:r>
      <w:r w:rsidRPr="008A32B0">
        <w:tab/>
        <w:t xml:space="preserve">Insel, T. R. The NIMH Research Domain Criteria (RDoC) Project: precision medicine for psychiatry. </w:t>
      </w:r>
      <w:r w:rsidRPr="008A32B0">
        <w:rPr>
          <w:i/>
          <w:iCs/>
        </w:rPr>
        <w:t>Am. J. Psychiatry</w:t>
      </w:r>
      <w:r w:rsidRPr="008A32B0">
        <w:t xml:space="preserve"> </w:t>
      </w:r>
      <w:r w:rsidRPr="008A32B0">
        <w:rPr>
          <w:b/>
          <w:bCs/>
        </w:rPr>
        <w:t>171</w:t>
      </w:r>
      <w:r w:rsidRPr="008A32B0">
        <w:t>, 395–397 (2014).</w:t>
      </w:r>
    </w:p>
    <w:p w14:paraId="7D047862" w14:textId="77777777" w:rsidR="00CD2610" w:rsidRPr="008A32B0" w:rsidRDefault="00CD2610" w:rsidP="00CD2610">
      <w:pPr>
        <w:pStyle w:val="afff2"/>
      </w:pPr>
      <w:r w:rsidRPr="008A32B0">
        <w:t xml:space="preserve">10. </w:t>
      </w:r>
      <w:r w:rsidRPr="008A32B0">
        <w:tab/>
        <w:t xml:space="preserve">Caspi, A. </w:t>
      </w:r>
      <w:r w:rsidRPr="008A32B0">
        <w:rPr>
          <w:i/>
          <w:iCs/>
        </w:rPr>
        <w:t>et al.</w:t>
      </w:r>
      <w:r w:rsidRPr="008A32B0">
        <w:t xml:space="preserve"> The p Factor: One General Psychopathology Factor in the Structure of Psychiatric Disorders? </w:t>
      </w:r>
      <w:r w:rsidRPr="008A32B0">
        <w:rPr>
          <w:i/>
          <w:iCs/>
        </w:rPr>
        <w:t>Clin. Psychol. Sci. J. Assoc. Psychol. Sci.</w:t>
      </w:r>
      <w:r w:rsidRPr="008A32B0">
        <w:t xml:space="preserve"> </w:t>
      </w:r>
      <w:r w:rsidRPr="008A32B0">
        <w:rPr>
          <w:b/>
          <w:bCs/>
        </w:rPr>
        <w:t>2</w:t>
      </w:r>
      <w:r w:rsidRPr="008A32B0">
        <w:t>, 119–137 (2014).</w:t>
      </w:r>
    </w:p>
    <w:p w14:paraId="2F8B324D" w14:textId="77777777" w:rsidR="00CD2610" w:rsidRPr="008A32B0" w:rsidRDefault="00CD2610" w:rsidP="00CD2610">
      <w:pPr>
        <w:pStyle w:val="afff2"/>
      </w:pPr>
      <w:r w:rsidRPr="008A32B0">
        <w:t xml:space="preserve">11. </w:t>
      </w:r>
      <w:r w:rsidRPr="008A32B0">
        <w:tab/>
        <w:t xml:space="preserve">Vanes, L. D. &amp; Dolan, R. J. Transdiagnostic neuroimaging markers of psychiatric risk: A narrative review. </w:t>
      </w:r>
      <w:r w:rsidRPr="008A32B0">
        <w:rPr>
          <w:i/>
          <w:iCs/>
        </w:rPr>
        <w:t>NeuroImage Clin.</w:t>
      </w:r>
      <w:r w:rsidRPr="008A32B0">
        <w:t xml:space="preserve"> </w:t>
      </w:r>
      <w:r w:rsidRPr="008A32B0">
        <w:rPr>
          <w:b/>
          <w:bCs/>
        </w:rPr>
        <w:t>30</w:t>
      </w:r>
      <w:r w:rsidRPr="008A32B0">
        <w:t>, 102634 (2021).</w:t>
      </w:r>
    </w:p>
    <w:p w14:paraId="0A1580A1" w14:textId="77777777" w:rsidR="00CD2610" w:rsidRPr="008A32B0" w:rsidRDefault="00CD2610" w:rsidP="00CD2610">
      <w:pPr>
        <w:pStyle w:val="afff2"/>
      </w:pPr>
      <w:r w:rsidRPr="008A32B0">
        <w:t xml:space="preserve">12. </w:t>
      </w:r>
      <w:r w:rsidRPr="008A32B0">
        <w:tab/>
        <w:t xml:space="preserve">Goodkind, M. </w:t>
      </w:r>
      <w:r w:rsidRPr="008A32B0">
        <w:rPr>
          <w:i/>
          <w:iCs/>
        </w:rPr>
        <w:t>et al.</w:t>
      </w:r>
      <w:r w:rsidRPr="008A32B0">
        <w:t xml:space="preserve"> Identification of a Common Neurobiological Substrate for Mental Illness. </w:t>
      </w:r>
      <w:r w:rsidRPr="008A32B0">
        <w:rPr>
          <w:i/>
          <w:iCs/>
        </w:rPr>
        <w:t>JAMA Psychiatry</w:t>
      </w:r>
      <w:r w:rsidRPr="008A32B0">
        <w:t xml:space="preserve"> </w:t>
      </w:r>
      <w:r w:rsidRPr="008A32B0">
        <w:rPr>
          <w:b/>
          <w:bCs/>
        </w:rPr>
        <w:t>72</w:t>
      </w:r>
      <w:r w:rsidRPr="008A32B0">
        <w:t>, 305–315 (2015).</w:t>
      </w:r>
    </w:p>
    <w:p w14:paraId="75F44CFE" w14:textId="77777777" w:rsidR="00CD2610" w:rsidRPr="008A32B0" w:rsidRDefault="00CD2610" w:rsidP="00CD2610">
      <w:pPr>
        <w:pStyle w:val="afff2"/>
      </w:pPr>
      <w:r w:rsidRPr="008A32B0">
        <w:t xml:space="preserve">13. </w:t>
      </w:r>
      <w:r w:rsidRPr="008A32B0">
        <w:tab/>
        <w:t xml:space="preserve">McTeague, L. M. </w:t>
      </w:r>
      <w:r w:rsidRPr="008A32B0">
        <w:rPr>
          <w:i/>
          <w:iCs/>
        </w:rPr>
        <w:t>et al.</w:t>
      </w:r>
      <w:r w:rsidRPr="008A32B0">
        <w:t xml:space="preserve"> Identification of Common Neural Circuit Disruptions in Cognitive Control Across Psychiatric Disorders. </w:t>
      </w:r>
      <w:r w:rsidRPr="008A32B0">
        <w:rPr>
          <w:i/>
          <w:iCs/>
        </w:rPr>
        <w:t>Am. J. Psychiatry</w:t>
      </w:r>
      <w:r w:rsidRPr="008A32B0">
        <w:t xml:space="preserve"> </w:t>
      </w:r>
      <w:r w:rsidRPr="008A32B0">
        <w:rPr>
          <w:b/>
          <w:bCs/>
        </w:rPr>
        <w:t>174</w:t>
      </w:r>
      <w:r w:rsidRPr="008A32B0">
        <w:t>, 676–685 (2017).</w:t>
      </w:r>
    </w:p>
    <w:p w14:paraId="383AA86E" w14:textId="77777777" w:rsidR="00CD2610" w:rsidRPr="008A32B0" w:rsidRDefault="00CD2610" w:rsidP="00CD2610">
      <w:pPr>
        <w:pStyle w:val="afff2"/>
      </w:pPr>
      <w:r w:rsidRPr="008A32B0">
        <w:lastRenderedPageBreak/>
        <w:t xml:space="preserve">14. </w:t>
      </w:r>
      <w:r w:rsidRPr="008A32B0">
        <w:tab/>
        <w:t xml:space="preserve">Zilverstand, A., Huang, A. S., Alia-Klein, N. &amp; Goldstein, R. Z. Neuroimaging Impaired Response Inhibition and Salience Attribution in Human Drug Addiction: A Systematic Review. </w:t>
      </w:r>
      <w:r w:rsidRPr="008A32B0">
        <w:rPr>
          <w:i/>
          <w:iCs/>
        </w:rPr>
        <w:t>Neuron</w:t>
      </w:r>
      <w:r w:rsidRPr="008A32B0">
        <w:t xml:space="preserve"> </w:t>
      </w:r>
      <w:r w:rsidRPr="008A32B0">
        <w:rPr>
          <w:b/>
          <w:bCs/>
        </w:rPr>
        <w:t>98</w:t>
      </w:r>
      <w:r w:rsidRPr="008A32B0">
        <w:t>, 886–903 (2018).</w:t>
      </w:r>
    </w:p>
    <w:p w14:paraId="3D5C5D0D" w14:textId="77777777" w:rsidR="00CD2610" w:rsidRPr="008A32B0" w:rsidRDefault="00CD2610" w:rsidP="00CD2610">
      <w:pPr>
        <w:pStyle w:val="afff2"/>
      </w:pPr>
      <w:r w:rsidRPr="008A32B0">
        <w:t xml:space="preserve">15. </w:t>
      </w:r>
      <w:r w:rsidRPr="008A32B0">
        <w:tab/>
        <w:t xml:space="preserve">Russo, S. J. &amp; Nestler, E. J. The brain reward circuitry in mood disorders. </w:t>
      </w:r>
      <w:r w:rsidRPr="008A32B0">
        <w:rPr>
          <w:i/>
          <w:iCs/>
        </w:rPr>
        <w:t>Nat. Rev. Neurosci.</w:t>
      </w:r>
      <w:r w:rsidRPr="008A32B0">
        <w:t xml:space="preserve"> </w:t>
      </w:r>
      <w:r w:rsidRPr="008A32B0">
        <w:rPr>
          <w:b/>
          <w:bCs/>
        </w:rPr>
        <w:t>14</w:t>
      </w:r>
      <w:r w:rsidRPr="008A32B0">
        <w:t>, 609–625 (2013).</w:t>
      </w:r>
    </w:p>
    <w:p w14:paraId="1B6A9471" w14:textId="77777777" w:rsidR="00CD2610" w:rsidRPr="008A32B0" w:rsidRDefault="00CD2610" w:rsidP="00CD2610">
      <w:pPr>
        <w:pStyle w:val="afff2"/>
      </w:pPr>
      <w:r w:rsidRPr="008A32B0">
        <w:t xml:space="preserve">16. </w:t>
      </w:r>
      <w:r w:rsidRPr="008A32B0">
        <w:tab/>
        <w:t xml:space="preserve">Jia, T. </w:t>
      </w:r>
      <w:r w:rsidRPr="008A32B0">
        <w:rPr>
          <w:i/>
          <w:iCs/>
        </w:rPr>
        <w:t>et al.</w:t>
      </w:r>
      <w:r w:rsidRPr="008A32B0">
        <w:t xml:space="preserve"> Neural basis of reward anticipation and its genetic determinants. </w:t>
      </w:r>
      <w:r w:rsidRPr="008A32B0">
        <w:rPr>
          <w:i/>
          <w:iCs/>
        </w:rPr>
        <w:t>Proc. Natl. Acad. Sci. U. S. A.</w:t>
      </w:r>
      <w:r w:rsidRPr="008A32B0">
        <w:t xml:space="preserve"> </w:t>
      </w:r>
      <w:r w:rsidRPr="008A32B0">
        <w:rPr>
          <w:b/>
          <w:bCs/>
        </w:rPr>
        <w:t>113</w:t>
      </w:r>
      <w:r w:rsidRPr="008A32B0">
        <w:t>, 3879–3884 (2016).</w:t>
      </w:r>
    </w:p>
    <w:p w14:paraId="62CD68EC" w14:textId="77777777" w:rsidR="00CD2610" w:rsidRPr="008A32B0" w:rsidRDefault="00CD2610" w:rsidP="00CD2610">
      <w:pPr>
        <w:pStyle w:val="afff2"/>
      </w:pPr>
      <w:r w:rsidRPr="008A32B0">
        <w:t xml:space="preserve">17. </w:t>
      </w:r>
      <w:r w:rsidRPr="008A32B0">
        <w:tab/>
        <w:t xml:space="preserve">Jia, T. </w:t>
      </w:r>
      <w:r w:rsidRPr="008A32B0">
        <w:rPr>
          <w:i/>
          <w:iCs/>
        </w:rPr>
        <w:t>et al.</w:t>
      </w:r>
      <w:r w:rsidRPr="008A32B0">
        <w:t xml:space="preserve"> Neurobehavioural characterisation and stratification of reinforcement-related behaviour. </w:t>
      </w:r>
      <w:r w:rsidRPr="008A32B0">
        <w:rPr>
          <w:i/>
          <w:iCs/>
        </w:rPr>
        <w:t>Nat. Hum. Behav.</w:t>
      </w:r>
      <w:r w:rsidRPr="008A32B0">
        <w:t xml:space="preserve"> </w:t>
      </w:r>
      <w:r w:rsidRPr="008A32B0">
        <w:rPr>
          <w:b/>
          <w:bCs/>
        </w:rPr>
        <w:t>4</w:t>
      </w:r>
      <w:r w:rsidRPr="008A32B0">
        <w:t>, 544–558 (2020).</w:t>
      </w:r>
    </w:p>
    <w:p w14:paraId="7D3F1693" w14:textId="77777777" w:rsidR="00CD2610" w:rsidRPr="008A32B0" w:rsidRDefault="00CD2610" w:rsidP="00CD2610">
      <w:pPr>
        <w:pStyle w:val="afff2"/>
      </w:pPr>
      <w:r w:rsidRPr="008A32B0">
        <w:t xml:space="preserve">18. </w:t>
      </w:r>
      <w:r w:rsidRPr="008A32B0">
        <w:tab/>
        <w:t xml:space="preserve">Ing, A. </w:t>
      </w:r>
      <w:r w:rsidRPr="008A32B0">
        <w:rPr>
          <w:i/>
          <w:iCs/>
        </w:rPr>
        <w:t>et al.</w:t>
      </w:r>
      <w:r w:rsidRPr="008A32B0">
        <w:t xml:space="preserve"> Identification of neurobehavioural symptom groups based on shared brain mechanisms. </w:t>
      </w:r>
      <w:r w:rsidRPr="008A32B0">
        <w:rPr>
          <w:i/>
          <w:iCs/>
        </w:rPr>
        <w:t>Nat. Hum. Behav.</w:t>
      </w:r>
      <w:r w:rsidRPr="008A32B0">
        <w:t xml:space="preserve"> </w:t>
      </w:r>
      <w:r w:rsidRPr="008A32B0">
        <w:rPr>
          <w:b/>
          <w:bCs/>
        </w:rPr>
        <w:t>3</w:t>
      </w:r>
      <w:r w:rsidRPr="008A32B0">
        <w:t>, 1306–1318 (2019).</w:t>
      </w:r>
    </w:p>
    <w:p w14:paraId="7851F45E" w14:textId="77777777" w:rsidR="00CD2610" w:rsidRPr="008A32B0" w:rsidRDefault="00CD2610" w:rsidP="00CD2610">
      <w:pPr>
        <w:pStyle w:val="afff2"/>
      </w:pPr>
      <w:r w:rsidRPr="008A32B0">
        <w:t xml:space="preserve">19. </w:t>
      </w:r>
      <w:r w:rsidRPr="008A32B0">
        <w:tab/>
        <w:t xml:space="preserve">Patel, V. </w:t>
      </w:r>
      <w:r w:rsidRPr="008A32B0">
        <w:rPr>
          <w:i/>
          <w:iCs/>
        </w:rPr>
        <w:t>et al.</w:t>
      </w:r>
      <w:r w:rsidRPr="008A32B0">
        <w:t xml:space="preserve"> The Lancet Commission on global mental health and sustainable development. </w:t>
      </w:r>
      <w:r w:rsidRPr="008A32B0">
        <w:rPr>
          <w:i/>
          <w:iCs/>
        </w:rPr>
        <w:t>The Lancet</w:t>
      </w:r>
      <w:r w:rsidRPr="008A32B0">
        <w:t xml:space="preserve"> </w:t>
      </w:r>
      <w:r w:rsidRPr="008A32B0">
        <w:rPr>
          <w:b/>
          <w:bCs/>
        </w:rPr>
        <w:t>392</w:t>
      </w:r>
      <w:r w:rsidRPr="008A32B0">
        <w:t>, 1553–1598 (2018).</w:t>
      </w:r>
    </w:p>
    <w:p w14:paraId="7B18BACC" w14:textId="77777777" w:rsidR="00CD2610" w:rsidRPr="008A32B0" w:rsidRDefault="00CD2610" w:rsidP="00CD2610">
      <w:pPr>
        <w:pStyle w:val="afff2"/>
      </w:pPr>
      <w:r w:rsidRPr="008A32B0">
        <w:t xml:space="preserve">20. </w:t>
      </w:r>
      <w:r w:rsidRPr="008A32B0">
        <w:tab/>
        <w:t xml:space="preserve">McIntyre, R. S. </w:t>
      </w:r>
      <w:r w:rsidRPr="008A32B0">
        <w:rPr>
          <w:i/>
          <w:iCs/>
        </w:rPr>
        <w:t>et al.</w:t>
      </w:r>
      <w:r w:rsidRPr="008A32B0">
        <w:t xml:space="preserve"> Treatment-resistant depression: definition, prevalence, detection, management, and investigational interventions. </w:t>
      </w:r>
      <w:r w:rsidRPr="008A32B0">
        <w:rPr>
          <w:i/>
          <w:iCs/>
        </w:rPr>
        <w:t>World Psychiatry Off. J. World Psychiatr. Assoc. WPA</w:t>
      </w:r>
      <w:r w:rsidRPr="008A32B0">
        <w:t xml:space="preserve"> </w:t>
      </w:r>
      <w:r w:rsidRPr="008A32B0">
        <w:rPr>
          <w:b/>
          <w:bCs/>
        </w:rPr>
        <w:t>22</w:t>
      </w:r>
      <w:r w:rsidRPr="008A32B0">
        <w:t>, 394–412 (2023).</w:t>
      </w:r>
    </w:p>
    <w:p w14:paraId="7EC31FAA" w14:textId="77777777" w:rsidR="00CD2610" w:rsidRPr="008A32B0" w:rsidRDefault="00CD2610" w:rsidP="00CD2610">
      <w:pPr>
        <w:pStyle w:val="afff2"/>
      </w:pPr>
      <w:r w:rsidRPr="008A32B0">
        <w:t xml:space="preserve">21. </w:t>
      </w:r>
      <w:r w:rsidRPr="008A32B0">
        <w:tab/>
        <w:t xml:space="preserve">Quinlan, E. B. </w:t>
      </w:r>
      <w:r w:rsidRPr="008A32B0">
        <w:rPr>
          <w:i/>
          <w:iCs/>
        </w:rPr>
        <w:t>et al.</w:t>
      </w:r>
      <w:r w:rsidRPr="008A32B0">
        <w:t xml:space="preserve"> Identifying biological markers for improved precision medicine in psychiatry. </w:t>
      </w:r>
      <w:r w:rsidRPr="008A32B0">
        <w:rPr>
          <w:i/>
          <w:iCs/>
        </w:rPr>
        <w:t>Mol. Psychiatry</w:t>
      </w:r>
      <w:r w:rsidRPr="008A32B0">
        <w:t xml:space="preserve"> </w:t>
      </w:r>
      <w:r w:rsidRPr="008A32B0">
        <w:rPr>
          <w:b/>
          <w:bCs/>
        </w:rPr>
        <w:t>25</w:t>
      </w:r>
      <w:r w:rsidRPr="008A32B0">
        <w:t>, 243–253 (2020).</w:t>
      </w:r>
    </w:p>
    <w:p w14:paraId="1EA2AAD4" w14:textId="77777777" w:rsidR="00CD2610" w:rsidRPr="008A32B0" w:rsidRDefault="00CD2610" w:rsidP="00CD2610">
      <w:pPr>
        <w:pStyle w:val="afff2"/>
      </w:pPr>
      <w:r w:rsidRPr="008A32B0">
        <w:t xml:space="preserve">22. </w:t>
      </w:r>
      <w:r w:rsidRPr="008A32B0">
        <w:tab/>
        <w:t xml:space="preserve">Lett, T. A. </w:t>
      </w:r>
      <w:r w:rsidRPr="008A32B0">
        <w:rPr>
          <w:i/>
          <w:iCs/>
        </w:rPr>
        <w:t>et al.</w:t>
      </w:r>
      <w:r w:rsidRPr="008A32B0">
        <w:t xml:space="preserve"> Framework for Brain-Derived Dimensions of Psychopathology. </w:t>
      </w:r>
      <w:r w:rsidRPr="008A32B0">
        <w:rPr>
          <w:i/>
          <w:iCs/>
        </w:rPr>
        <w:t>JAMA Psychiatry</w:t>
      </w:r>
      <w:r w:rsidRPr="008A32B0">
        <w:t xml:space="preserve"> </w:t>
      </w:r>
      <w:r w:rsidRPr="008A32B0">
        <w:rPr>
          <w:b/>
          <w:bCs/>
        </w:rPr>
        <w:t>82</w:t>
      </w:r>
      <w:r w:rsidRPr="008A32B0">
        <w:t>, 778–789 (2025).</w:t>
      </w:r>
    </w:p>
    <w:p w14:paraId="61805A69" w14:textId="77777777" w:rsidR="00CD2610" w:rsidRPr="008A32B0" w:rsidRDefault="00CD2610" w:rsidP="00CD2610">
      <w:pPr>
        <w:pStyle w:val="afff2"/>
      </w:pPr>
      <w:r w:rsidRPr="008A32B0">
        <w:t xml:space="preserve">23. </w:t>
      </w:r>
      <w:r w:rsidRPr="008A32B0">
        <w:tab/>
        <w:t xml:space="preserve">Xie, C. </w:t>
      </w:r>
      <w:r w:rsidRPr="008A32B0">
        <w:rPr>
          <w:i/>
          <w:iCs/>
        </w:rPr>
        <w:t>et al.</w:t>
      </w:r>
      <w:r w:rsidRPr="008A32B0">
        <w:t xml:space="preserve"> A shared neural basis underlying psychiatric comorbidity. </w:t>
      </w:r>
      <w:r w:rsidRPr="008A32B0">
        <w:rPr>
          <w:i/>
          <w:iCs/>
        </w:rPr>
        <w:t>Nat. Med.</w:t>
      </w:r>
      <w:r w:rsidRPr="008A32B0">
        <w:t xml:space="preserve"> </w:t>
      </w:r>
      <w:r w:rsidRPr="008A32B0">
        <w:rPr>
          <w:b/>
          <w:bCs/>
        </w:rPr>
        <w:t>29</w:t>
      </w:r>
      <w:r w:rsidRPr="008A32B0">
        <w:t>, 1232–1242 (2023).</w:t>
      </w:r>
    </w:p>
    <w:p w14:paraId="14194E5B" w14:textId="77777777" w:rsidR="00CD2610" w:rsidRPr="008A32B0" w:rsidRDefault="00CD2610" w:rsidP="00CD2610">
      <w:pPr>
        <w:pStyle w:val="afff2"/>
      </w:pPr>
      <w:r w:rsidRPr="008A32B0">
        <w:t xml:space="preserve">24. </w:t>
      </w:r>
      <w:r w:rsidRPr="008A32B0">
        <w:tab/>
        <w:t xml:space="preserve">Ritter, C. </w:t>
      </w:r>
      <w:r w:rsidRPr="008A32B0">
        <w:rPr>
          <w:i/>
          <w:iCs/>
        </w:rPr>
        <w:t>et al.</w:t>
      </w:r>
      <w:r w:rsidRPr="008A32B0">
        <w:t xml:space="preserve"> Evaluation of Prefrontal </w:t>
      </w:r>
      <w:r w:rsidRPr="008A32B0">
        <w:rPr>
          <w:rFonts w:ascii="Cambria" w:hAnsi="Cambria" w:cs="Cambria"/>
        </w:rPr>
        <w:t>γ</w:t>
      </w:r>
      <w:r w:rsidRPr="008A32B0">
        <w:t xml:space="preserve">-Aminobutyric Acid and Glutamate Levels in Individuals With Major Depressive Disorder Using Proton Magnetic Resonance Spectroscopy. </w:t>
      </w:r>
      <w:r w:rsidRPr="008A32B0">
        <w:rPr>
          <w:i/>
          <w:iCs/>
        </w:rPr>
        <w:t>JAMA Psychiatry</w:t>
      </w:r>
      <w:r w:rsidRPr="008A32B0">
        <w:t xml:space="preserve"> </w:t>
      </w:r>
      <w:r w:rsidRPr="008A32B0">
        <w:rPr>
          <w:b/>
          <w:bCs/>
        </w:rPr>
        <w:t>79</w:t>
      </w:r>
      <w:r w:rsidRPr="008A32B0">
        <w:t>, 1209–1216 (2022).</w:t>
      </w:r>
    </w:p>
    <w:p w14:paraId="29DFB53A" w14:textId="77777777" w:rsidR="00CD2610" w:rsidRPr="008A32B0" w:rsidRDefault="00CD2610" w:rsidP="00CD2610">
      <w:pPr>
        <w:pStyle w:val="afff2"/>
      </w:pPr>
      <w:r w:rsidRPr="008A32B0">
        <w:t xml:space="preserve">25. </w:t>
      </w:r>
      <w:r w:rsidRPr="008A32B0">
        <w:tab/>
        <w:t xml:space="preserve">Marinkovic, K., Alderson Myers, A. B., Arienzo, D., Sereno, M. I. &amp; Mason, G. F. Cortical GABA levels are reduced in young adult binge drinkers: Association with recent alcohol consumption and sex. </w:t>
      </w:r>
      <w:r w:rsidRPr="008A32B0">
        <w:rPr>
          <w:i/>
          <w:iCs/>
        </w:rPr>
        <w:t>NeuroImage Clin.</w:t>
      </w:r>
      <w:r w:rsidRPr="008A32B0">
        <w:t xml:space="preserve"> </w:t>
      </w:r>
      <w:r w:rsidRPr="008A32B0">
        <w:rPr>
          <w:b/>
          <w:bCs/>
        </w:rPr>
        <w:t>35</w:t>
      </w:r>
      <w:r w:rsidRPr="008A32B0">
        <w:t>, 103091 (2022).</w:t>
      </w:r>
    </w:p>
    <w:p w14:paraId="06384672" w14:textId="77777777" w:rsidR="00CD2610" w:rsidRPr="008A32B0" w:rsidRDefault="00CD2610" w:rsidP="00CD2610">
      <w:pPr>
        <w:pStyle w:val="afff2"/>
      </w:pPr>
      <w:r w:rsidRPr="008A32B0">
        <w:t xml:space="preserve">26. </w:t>
      </w:r>
      <w:r w:rsidRPr="008A32B0">
        <w:tab/>
        <w:t xml:space="preserve">Prévot, T. &amp; Sibille, E. Altered GABA-mediated information processing and cognitive dysfunctions in depression and other brain disorders. </w:t>
      </w:r>
      <w:r w:rsidRPr="008A32B0">
        <w:rPr>
          <w:i/>
          <w:iCs/>
        </w:rPr>
        <w:t>Mol. Psychiatry</w:t>
      </w:r>
      <w:r w:rsidRPr="008A32B0">
        <w:t xml:space="preserve"> </w:t>
      </w:r>
      <w:r w:rsidRPr="008A32B0">
        <w:rPr>
          <w:b/>
          <w:bCs/>
        </w:rPr>
        <w:t>26</w:t>
      </w:r>
      <w:r w:rsidRPr="008A32B0">
        <w:t>, 151–167 (2021).</w:t>
      </w:r>
    </w:p>
    <w:p w14:paraId="37F324C2" w14:textId="77777777" w:rsidR="00CD2610" w:rsidRPr="008A32B0" w:rsidRDefault="00CD2610" w:rsidP="00CD2610">
      <w:pPr>
        <w:pStyle w:val="afff2"/>
      </w:pPr>
      <w:r w:rsidRPr="008A32B0">
        <w:lastRenderedPageBreak/>
        <w:t xml:space="preserve">27. </w:t>
      </w:r>
      <w:r w:rsidRPr="008A32B0">
        <w:tab/>
        <w:t xml:space="preserve">Zhou, H. </w:t>
      </w:r>
      <w:r w:rsidRPr="008A32B0">
        <w:rPr>
          <w:i/>
          <w:iCs/>
        </w:rPr>
        <w:t>et al.</w:t>
      </w:r>
      <w:r w:rsidRPr="008A32B0">
        <w:t xml:space="preserve"> Glutamate concentration of medial prefrontal cortex is inversely associated with addictive behaviors: a translational study. </w:t>
      </w:r>
      <w:r w:rsidRPr="008A32B0">
        <w:rPr>
          <w:i/>
          <w:iCs/>
        </w:rPr>
        <w:t>Transl. Psychiatry</w:t>
      </w:r>
      <w:r w:rsidRPr="008A32B0">
        <w:t xml:space="preserve"> </w:t>
      </w:r>
      <w:r w:rsidRPr="008A32B0">
        <w:rPr>
          <w:b/>
          <w:bCs/>
        </w:rPr>
        <w:t>14</w:t>
      </w:r>
      <w:r w:rsidRPr="008A32B0">
        <w:t>, 433 (2024).</w:t>
      </w:r>
    </w:p>
    <w:p w14:paraId="05D5F9CD" w14:textId="77777777" w:rsidR="00CD2610" w:rsidRPr="008A32B0" w:rsidRDefault="00CD2610" w:rsidP="00CD2610">
      <w:pPr>
        <w:pStyle w:val="afff2"/>
      </w:pPr>
      <w:r w:rsidRPr="008A32B0">
        <w:t xml:space="preserve">28. </w:t>
      </w:r>
      <w:r w:rsidRPr="008A32B0">
        <w:tab/>
        <w:t xml:space="preserve">Godfrey, K. E. M., Gardner, A. C., Kwon, S., Chea, W. &amp; Muthukumaraswamy, S. D. Differences in excitatory and inhibitory neurotransmitter levels between depressed patients and healthy controls: A systematic review and meta-analysis. </w:t>
      </w:r>
      <w:r w:rsidRPr="008A32B0">
        <w:rPr>
          <w:i/>
          <w:iCs/>
        </w:rPr>
        <w:t>J. Psychiatr. Res.</w:t>
      </w:r>
      <w:r w:rsidRPr="008A32B0">
        <w:t xml:space="preserve"> </w:t>
      </w:r>
      <w:r w:rsidRPr="008A32B0">
        <w:rPr>
          <w:b/>
          <w:bCs/>
        </w:rPr>
        <w:t>105</w:t>
      </w:r>
      <w:r w:rsidRPr="008A32B0">
        <w:t>, 33–44 (2018).</w:t>
      </w:r>
    </w:p>
    <w:p w14:paraId="7CDCE058" w14:textId="77777777" w:rsidR="00CD2610" w:rsidRPr="008A32B0" w:rsidRDefault="00CD2610" w:rsidP="00CD2610">
      <w:pPr>
        <w:pStyle w:val="afff2"/>
      </w:pPr>
      <w:r w:rsidRPr="008A32B0">
        <w:t xml:space="preserve">29. </w:t>
      </w:r>
      <w:r w:rsidRPr="008A32B0">
        <w:tab/>
        <w:t xml:space="preserve">Sanacora, G., Treccani, G. &amp; Popoli, M. Towards a glutamate hypothesis of depression: An emerging frontier of neuropsychopharmacology for mood disorders. </w:t>
      </w:r>
      <w:r w:rsidRPr="008A32B0">
        <w:rPr>
          <w:i/>
          <w:iCs/>
        </w:rPr>
        <w:t>Neuropharmacology</w:t>
      </w:r>
      <w:r w:rsidRPr="008A32B0">
        <w:t xml:space="preserve"> </w:t>
      </w:r>
      <w:r w:rsidRPr="008A32B0">
        <w:rPr>
          <w:b/>
          <w:bCs/>
        </w:rPr>
        <w:t>62</w:t>
      </w:r>
      <w:r w:rsidRPr="008A32B0">
        <w:t>, 63–77 (2012).</w:t>
      </w:r>
    </w:p>
    <w:p w14:paraId="40979CFC" w14:textId="77777777" w:rsidR="00CD2610" w:rsidRPr="008A32B0" w:rsidRDefault="00CD2610" w:rsidP="00CD2610">
      <w:pPr>
        <w:pStyle w:val="afff2"/>
      </w:pPr>
      <w:r w:rsidRPr="008A32B0">
        <w:t xml:space="preserve">30. </w:t>
      </w:r>
      <w:r w:rsidRPr="008A32B0">
        <w:tab/>
        <w:t xml:space="preserve">Zanos, P. &amp; Gould, T. D. Mechanisms of Ketamine Action as an Antidepressant. </w:t>
      </w:r>
      <w:r w:rsidRPr="008A32B0">
        <w:rPr>
          <w:i/>
          <w:iCs/>
        </w:rPr>
        <w:t>Mol. Psychiatry</w:t>
      </w:r>
      <w:r w:rsidRPr="008A32B0">
        <w:t xml:space="preserve"> </w:t>
      </w:r>
      <w:r w:rsidRPr="008A32B0">
        <w:rPr>
          <w:b/>
          <w:bCs/>
        </w:rPr>
        <w:t>23</w:t>
      </w:r>
      <w:r w:rsidRPr="008A32B0">
        <w:t>, 801 (2018).</w:t>
      </w:r>
    </w:p>
    <w:p w14:paraId="136E438B" w14:textId="77777777" w:rsidR="00CD2610" w:rsidRPr="008A32B0" w:rsidRDefault="00CD2610" w:rsidP="00CD2610">
      <w:pPr>
        <w:pStyle w:val="afff2"/>
      </w:pPr>
      <w:r w:rsidRPr="008A32B0">
        <w:t xml:space="preserve">31. </w:t>
      </w:r>
      <w:r w:rsidRPr="008A32B0">
        <w:tab/>
        <w:t xml:space="preserve">Ren, Z. </w:t>
      </w:r>
      <w:r w:rsidRPr="008A32B0">
        <w:rPr>
          <w:i/>
          <w:iCs/>
        </w:rPr>
        <w:t>et al.</w:t>
      </w:r>
      <w:r w:rsidRPr="008A32B0">
        <w:t xml:space="preserve"> Bidirectional Homeostatic Regulation of a Depression-Related Brain State by Gamma-Aminobutyric Acidergic Deficits and Ketamine Treatment. </w:t>
      </w:r>
      <w:r w:rsidRPr="008A32B0">
        <w:rPr>
          <w:i/>
          <w:iCs/>
        </w:rPr>
        <w:t>Biol. Psychiatry</w:t>
      </w:r>
      <w:r w:rsidRPr="008A32B0">
        <w:t xml:space="preserve"> </w:t>
      </w:r>
      <w:r w:rsidRPr="008A32B0">
        <w:rPr>
          <w:b/>
          <w:bCs/>
        </w:rPr>
        <w:t>80</w:t>
      </w:r>
      <w:r w:rsidRPr="008A32B0">
        <w:t>, 457–468 (2016).</w:t>
      </w:r>
    </w:p>
    <w:p w14:paraId="0821F6BA" w14:textId="77777777" w:rsidR="00CD2610" w:rsidRPr="008A32B0" w:rsidRDefault="00CD2610" w:rsidP="00CD2610">
      <w:pPr>
        <w:pStyle w:val="afff2"/>
      </w:pPr>
      <w:r w:rsidRPr="008A32B0">
        <w:t xml:space="preserve">32. </w:t>
      </w:r>
      <w:r w:rsidRPr="008A32B0">
        <w:tab/>
        <w:t xml:space="preserve">Grabski, M. </w:t>
      </w:r>
      <w:r w:rsidRPr="008A32B0">
        <w:rPr>
          <w:i/>
          <w:iCs/>
        </w:rPr>
        <w:t>et al.</w:t>
      </w:r>
      <w:r w:rsidRPr="008A32B0">
        <w:t xml:space="preserve"> Adjunctive Ketamine With Relapse Prevention–Based Psychological Therapy in the Treatment of Alcohol Use Disorder. </w:t>
      </w:r>
      <w:r w:rsidRPr="008A32B0">
        <w:rPr>
          <w:i/>
          <w:iCs/>
        </w:rPr>
        <w:t>Am. J. Psychiatry</w:t>
      </w:r>
      <w:r w:rsidRPr="008A32B0">
        <w:t xml:space="preserve"> </w:t>
      </w:r>
      <w:r w:rsidRPr="008A32B0">
        <w:rPr>
          <w:b/>
          <w:bCs/>
        </w:rPr>
        <w:t>179</w:t>
      </w:r>
      <w:r w:rsidRPr="008A32B0">
        <w:t>, 152–162 (2022).</w:t>
      </w:r>
    </w:p>
    <w:p w14:paraId="1A02FF23" w14:textId="77777777" w:rsidR="00CD2610" w:rsidRPr="008A32B0" w:rsidRDefault="00CD2610" w:rsidP="00CD2610">
      <w:pPr>
        <w:pStyle w:val="afff2"/>
      </w:pPr>
      <w:r w:rsidRPr="008A32B0">
        <w:t xml:space="preserve">33. </w:t>
      </w:r>
      <w:r w:rsidRPr="008A32B0">
        <w:tab/>
        <w:t xml:space="preserve">Dubovsky, S. L. &amp; Marshall, D. Benzodiazepines Remain Important Therapeutic Options in Psychiatric Practice. </w:t>
      </w:r>
      <w:r w:rsidRPr="008A32B0">
        <w:rPr>
          <w:i/>
          <w:iCs/>
        </w:rPr>
        <w:t>Psychother. Psychosom.</w:t>
      </w:r>
      <w:r w:rsidRPr="008A32B0">
        <w:t xml:space="preserve"> </w:t>
      </w:r>
      <w:r w:rsidRPr="008A32B0">
        <w:rPr>
          <w:b/>
          <w:bCs/>
        </w:rPr>
        <w:t>91</w:t>
      </w:r>
      <w:r w:rsidRPr="008A32B0">
        <w:t>, 307–334 (2022).</w:t>
      </w:r>
    </w:p>
    <w:p w14:paraId="000292B9" w14:textId="77777777" w:rsidR="00CD2610" w:rsidRPr="008A32B0" w:rsidRDefault="00CD2610" w:rsidP="00CD2610">
      <w:pPr>
        <w:pStyle w:val="afff2"/>
      </w:pPr>
      <w:r w:rsidRPr="008A32B0">
        <w:t xml:space="preserve">34. </w:t>
      </w:r>
      <w:r w:rsidRPr="008A32B0">
        <w:tab/>
        <w:t xml:space="preserve">Forsyth, A. </w:t>
      </w:r>
      <w:r w:rsidRPr="008A32B0">
        <w:rPr>
          <w:i/>
          <w:iCs/>
        </w:rPr>
        <w:t>et al.</w:t>
      </w:r>
      <w:r w:rsidRPr="008A32B0">
        <w:t xml:space="preserve"> Comparison of local spectral modulation, and temporal correlation, of simultaneously recorded EEG/fMRI signals during ketamine and midazolam sedation. </w:t>
      </w:r>
      <w:r w:rsidRPr="008A32B0">
        <w:rPr>
          <w:i/>
          <w:iCs/>
        </w:rPr>
        <w:t>Psychopharmacology (Berl.)</w:t>
      </w:r>
      <w:r w:rsidRPr="008A32B0">
        <w:t xml:space="preserve"> </w:t>
      </w:r>
      <w:r w:rsidRPr="008A32B0">
        <w:rPr>
          <w:b/>
          <w:bCs/>
        </w:rPr>
        <w:t>235</w:t>
      </w:r>
      <w:r w:rsidRPr="008A32B0">
        <w:t>, 3479–3493 (2018).</w:t>
      </w:r>
    </w:p>
    <w:p w14:paraId="7DC36EBD" w14:textId="77777777" w:rsidR="00CD2610" w:rsidRPr="008A32B0" w:rsidRDefault="00CD2610" w:rsidP="00CD2610">
      <w:pPr>
        <w:pStyle w:val="afff2"/>
      </w:pPr>
      <w:r w:rsidRPr="008A32B0">
        <w:t xml:space="preserve">35. </w:t>
      </w:r>
      <w:r w:rsidRPr="008A32B0">
        <w:tab/>
        <w:t xml:space="preserve">Abdallah, C. G. </w:t>
      </w:r>
      <w:r w:rsidRPr="008A32B0">
        <w:rPr>
          <w:i/>
          <w:iCs/>
        </w:rPr>
        <w:t>et al.</w:t>
      </w:r>
      <w:r w:rsidRPr="008A32B0">
        <w:t xml:space="preserve"> Ketamine Treatment and Global Brain Connectivity in Major Depression. </w:t>
      </w:r>
      <w:r w:rsidRPr="008A32B0">
        <w:rPr>
          <w:i/>
          <w:iCs/>
        </w:rPr>
        <w:t>Neuropsychopharmacol. Off. Publ. Am. Coll. Neuropsychopharmacol.</w:t>
      </w:r>
      <w:r w:rsidRPr="008A32B0">
        <w:t xml:space="preserve"> </w:t>
      </w:r>
      <w:r w:rsidRPr="008A32B0">
        <w:rPr>
          <w:b/>
          <w:bCs/>
        </w:rPr>
        <w:t>42</w:t>
      </w:r>
      <w:r w:rsidRPr="008A32B0">
        <w:t>, 1210–1219 (2017).</w:t>
      </w:r>
    </w:p>
    <w:p w14:paraId="4D7C36F5" w14:textId="77777777" w:rsidR="00CD2610" w:rsidRPr="008A32B0" w:rsidRDefault="00CD2610" w:rsidP="00CD2610">
      <w:pPr>
        <w:pStyle w:val="afff2"/>
      </w:pPr>
      <w:r w:rsidRPr="008A32B0">
        <w:t xml:space="preserve">36. </w:t>
      </w:r>
      <w:r w:rsidRPr="008A32B0">
        <w:tab/>
        <w:t xml:space="preserve">Kraguljac, N. V. </w:t>
      </w:r>
      <w:r w:rsidRPr="008A32B0">
        <w:rPr>
          <w:i/>
          <w:iCs/>
        </w:rPr>
        <w:t>et al.</w:t>
      </w:r>
      <w:r w:rsidRPr="008A32B0">
        <w:t xml:space="preserve"> Ketamine modulates hippocampal neurochemistry and functional connectivity: a combined magnetic resonance spectroscopy and resting-state fMRI study in healthy volunteers. </w:t>
      </w:r>
      <w:r w:rsidRPr="008A32B0">
        <w:rPr>
          <w:i/>
          <w:iCs/>
        </w:rPr>
        <w:t>Mol. Psychiatry</w:t>
      </w:r>
      <w:r w:rsidRPr="008A32B0">
        <w:t xml:space="preserve"> </w:t>
      </w:r>
      <w:r w:rsidRPr="008A32B0">
        <w:rPr>
          <w:b/>
          <w:bCs/>
        </w:rPr>
        <w:t>22</w:t>
      </w:r>
      <w:r w:rsidRPr="008A32B0">
        <w:t>, 562–569 (2017).</w:t>
      </w:r>
    </w:p>
    <w:p w14:paraId="315524A7" w14:textId="77777777" w:rsidR="00CD2610" w:rsidRPr="008A32B0" w:rsidRDefault="00CD2610" w:rsidP="00CD2610">
      <w:pPr>
        <w:pStyle w:val="afff2"/>
      </w:pPr>
      <w:r w:rsidRPr="008A32B0">
        <w:t xml:space="preserve">37. </w:t>
      </w:r>
      <w:r w:rsidRPr="008A32B0">
        <w:tab/>
        <w:t xml:space="preserve">Dakwar, E. </w:t>
      </w:r>
      <w:r w:rsidRPr="008A32B0">
        <w:rPr>
          <w:i/>
          <w:iCs/>
        </w:rPr>
        <w:t>et al.</w:t>
      </w:r>
      <w:r w:rsidRPr="008A32B0">
        <w:t xml:space="preserve"> A Single Ketamine Infusion Combined With Motivational Enhancement Therapy for Alcohol Use Disorder: A Randomized Midazolam-Controlled Pilot Trial. </w:t>
      </w:r>
      <w:r w:rsidRPr="008A32B0">
        <w:rPr>
          <w:i/>
          <w:iCs/>
        </w:rPr>
        <w:t>Am. J. Psychiatry</w:t>
      </w:r>
      <w:r w:rsidRPr="008A32B0">
        <w:t xml:space="preserve"> </w:t>
      </w:r>
      <w:r w:rsidRPr="008A32B0">
        <w:rPr>
          <w:b/>
          <w:bCs/>
        </w:rPr>
        <w:t>177</w:t>
      </w:r>
      <w:r w:rsidRPr="008A32B0">
        <w:t>, 125–133 (2020).</w:t>
      </w:r>
    </w:p>
    <w:p w14:paraId="2A6BF7BB" w14:textId="77777777" w:rsidR="00CD2610" w:rsidRPr="008A32B0" w:rsidRDefault="00CD2610" w:rsidP="00CD2610">
      <w:pPr>
        <w:pStyle w:val="afff2"/>
      </w:pPr>
      <w:r w:rsidRPr="008A32B0">
        <w:t xml:space="preserve">38. </w:t>
      </w:r>
      <w:r w:rsidRPr="008A32B0">
        <w:tab/>
        <w:t xml:space="preserve">Breakspear, M. Dynamic models of large-scale brain activity. </w:t>
      </w:r>
      <w:r w:rsidRPr="008A32B0">
        <w:rPr>
          <w:i/>
          <w:iCs/>
        </w:rPr>
        <w:t>Nat. Neurosci.</w:t>
      </w:r>
      <w:r w:rsidRPr="008A32B0">
        <w:t xml:space="preserve"> </w:t>
      </w:r>
      <w:r w:rsidRPr="008A32B0">
        <w:rPr>
          <w:b/>
          <w:bCs/>
        </w:rPr>
        <w:t>20</w:t>
      </w:r>
      <w:r w:rsidRPr="008A32B0">
        <w:t>, 340–352 (2017).</w:t>
      </w:r>
    </w:p>
    <w:p w14:paraId="0B0B8B57" w14:textId="77777777" w:rsidR="00CD2610" w:rsidRPr="008A32B0" w:rsidRDefault="00CD2610" w:rsidP="00CD2610">
      <w:pPr>
        <w:pStyle w:val="afff2"/>
      </w:pPr>
      <w:r w:rsidRPr="008A32B0">
        <w:lastRenderedPageBreak/>
        <w:t xml:space="preserve">39. </w:t>
      </w:r>
      <w:r w:rsidRPr="008A32B0">
        <w:tab/>
        <w:t xml:space="preserve">Wang, H. </w:t>
      </w:r>
      <w:r w:rsidRPr="008A32B0">
        <w:rPr>
          <w:i/>
          <w:iCs/>
        </w:rPr>
        <w:t>et al.</w:t>
      </w:r>
      <w:r w:rsidRPr="008A32B0">
        <w:t xml:space="preserve"> Virtual brain twins: from basic neuroscience to clinical use. </w:t>
      </w:r>
      <w:r w:rsidRPr="008A32B0">
        <w:rPr>
          <w:i/>
          <w:iCs/>
        </w:rPr>
        <w:t>Natl. Sci. Rev.</w:t>
      </w:r>
      <w:r w:rsidRPr="008A32B0">
        <w:t xml:space="preserve"> </w:t>
      </w:r>
      <w:r w:rsidRPr="008A32B0">
        <w:rPr>
          <w:b/>
          <w:bCs/>
        </w:rPr>
        <w:t>11</w:t>
      </w:r>
      <w:r w:rsidRPr="008A32B0">
        <w:t>, (2024).</w:t>
      </w:r>
    </w:p>
    <w:p w14:paraId="54ED4A3E" w14:textId="77777777" w:rsidR="00CD2610" w:rsidRPr="008A32B0" w:rsidRDefault="00CD2610" w:rsidP="00CD2610">
      <w:pPr>
        <w:pStyle w:val="afff2"/>
      </w:pPr>
      <w:r w:rsidRPr="008A32B0">
        <w:t xml:space="preserve">40. </w:t>
      </w:r>
      <w:r w:rsidRPr="008A32B0">
        <w:tab/>
        <w:t xml:space="preserve">Griffiths, J. D., Bastiaens, S. P. &amp; Kaboodvand, N. Whole-Brain Modelling: Past, Present, and Future. in </w:t>
      </w:r>
      <w:r w:rsidRPr="008A32B0">
        <w:rPr>
          <w:i/>
          <w:iCs/>
        </w:rPr>
        <w:t>Computational Modelling of the Brain: Modelling Approaches to Cells, Circuits and Networks</w:t>
      </w:r>
      <w:r w:rsidRPr="008A32B0">
        <w:t xml:space="preserve"> (eds Giugliano, M., Negrello, M. &amp; Linaro, D.) 313–355 (Springer International Publishing, Cham, 2022). doi:10.1007/978-3-030-89439-9_13.</w:t>
      </w:r>
    </w:p>
    <w:p w14:paraId="2E460ADC" w14:textId="77777777" w:rsidR="00CD2610" w:rsidRPr="008A32B0" w:rsidRDefault="00CD2610" w:rsidP="00CD2610">
      <w:pPr>
        <w:pStyle w:val="afff2"/>
      </w:pPr>
      <w:r w:rsidRPr="008A32B0">
        <w:t xml:space="preserve">41. </w:t>
      </w:r>
      <w:r w:rsidRPr="008A32B0">
        <w:tab/>
        <w:t xml:space="preserve">Hansen, J. Y. </w:t>
      </w:r>
      <w:r w:rsidRPr="008A32B0">
        <w:rPr>
          <w:i/>
          <w:iCs/>
        </w:rPr>
        <w:t>et al.</w:t>
      </w:r>
      <w:r w:rsidRPr="008A32B0">
        <w:t xml:space="preserve"> Mapping neurotransmitter systems to the structural and functional organization of the human neocortex. </w:t>
      </w:r>
      <w:r w:rsidRPr="008A32B0">
        <w:rPr>
          <w:i/>
          <w:iCs/>
        </w:rPr>
        <w:t>Nat. Neurosci.</w:t>
      </w:r>
      <w:r w:rsidRPr="008A32B0">
        <w:t xml:space="preserve"> </w:t>
      </w:r>
      <w:r w:rsidRPr="008A32B0">
        <w:rPr>
          <w:b/>
          <w:bCs/>
        </w:rPr>
        <w:t>25</w:t>
      </w:r>
      <w:r w:rsidRPr="008A32B0">
        <w:t>, 1569–1581 (2022).</w:t>
      </w:r>
    </w:p>
    <w:p w14:paraId="501B67B2" w14:textId="77777777" w:rsidR="00CD2610" w:rsidRPr="008A32B0" w:rsidRDefault="00CD2610" w:rsidP="00CD2610">
      <w:pPr>
        <w:pStyle w:val="afff2"/>
      </w:pPr>
      <w:r w:rsidRPr="008A32B0">
        <w:t xml:space="preserve">42. </w:t>
      </w:r>
      <w:r w:rsidRPr="008A32B0">
        <w:tab/>
        <w:t xml:space="preserve">Brunel, N. Dynamics of sparsely connected networks of excitatory and inhibitory spiking neurons. </w:t>
      </w:r>
      <w:r w:rsidRPr="008A32B0">
        <w:rPr>
          <w:i/>
          <w:iCs/>
        </w:rPr>
        <w:t>J. Comput. Neurosci.</w:t>
      </w:r>
      <w:r w:rsidRPr="008A32B0">
        <w:t xml:space="preserve"> </w:t>
      </w:r>
      <w:r w:rsidRPr="008A32B0">
        <w:rPr>
          <w:b/>
          <w:bCs/>
        </w:rPr>
        <w:t>8</w:t>
      </w:r>
      <w:r w:rsidRPr="008A32B0">
        <w:t>, 183–208 (2000).</w:t>
      </w:r>
    </w:p>
    <w:p w14:paraId="46660655" w14:textId="77777777" w:rsidR="00CD2610" w:rsidRPr="008A32B0" w:rsidRDefault="00CD2610" w:rsidP="00CD2610">
      <w:pPr>
        <w:pStyle w:val="afff2"/>
      </w:pPr>
      <w:r w:rsidRPr="008A32B0">
        <w:t xml:space="preserve">43. </w:t>
      </w:r>
      <w:r w:rsidRPr="008A32B0">
        <w:tab/>
        <w:t xml:space="preserve">Hasselmo, M. E. The role of acetylcholine in learning and memory. </w:t>
      </w:r>
      <w:r w:rsidRPr="008A32B0">
        <w:rPr>
          <w:i/>
          <w:iCs/>
        </w:rPr>
        <w:t>Curr. Opin. Neurobiol.</w:t>
      </w:r>
      <w:r w:rsidRPr="008A32B0">
        <w:t xml:space="preserve"> </w:t>
      </w:r>
      <w:r w:rsidRPr="008A32B0">
        <w:rPr>
          <w:b/>
          <w:bCs/>
        </w:rPr>
        <w:t>16</w:t>
      </w:r>
      <w:r w:rsidRPr="008A32B0">
        <w:t>, 710–715 (2006).</w:t>
      </w:r>
    </w:p>
    <w:p w14:paraId="530DCF95" w14:textId="77777777" w:rsidR="00CD2610" w:rsidRPr="008A32B0" w:rsidRDefault="00CD2610" w:rsidP="00CD2610">
      <w:pPr>
        <w:pStyle w:val="afff2"/>
      </w:pPr>
      <w:r w:rsidRPr="008A32B0">
        <w:t xml:space="preserve">44. </w:t>
      </w:r>
      <w:r w:rsidRPr="008A32B0">
        <w:tab/>
        <w:t xml:space="preserve">Kandel, E. R., Koester, J. D., Mack, S. H. &amp; Siegelbaum, S. A. </w:t>
      </w:r>
      <w:r w:rsidRPr="008A32B0">
        <w:rPr>
          <w:i/>
          <w:iCs/>
        </w:rPr>
        <w:t>Principles of Neural Science, Sixth Edition</w:t>
      </w:r>
      <w:r w:rsidRPr="008A32B0">
        <w:t>. (McGraw Hill LLC, 2021).</w:t>
      </w:r>
    </w:p>
    <w:p w14:paraId="53E165C3" w14:textId="77777777" w:rsidR="00CD2610" w:rsidRPr="008A32B0" w:rsidRDefault="00CD2610" w:rsidP="00CD2610">
      <w:pPr>
        <w:pStyle w:val="afff2"/>
      </w:pPr>
      <w:r w:rsidRPr="008A32B0">
        <w:t xml:space="preserve">45. </w:t>
      </w:r>
      <w:r w:rsidRPr="008A32B0">
        <w:tab/>
        <w:t xml:space="preserve">Messé, A., Rudrauf, D., Benali, H. &amp; Marrelec, G. Relating Structure and Function in the Human Brain: Relative Contributions of Anatomy, Stationary Dynamics, and Non-stationarities. </w:t>
      </w:r>
      <w:r w:rsidRPr="008A32B0">
        <w:rPr>
          <w:i/>
          <w:iCs/>
        </w:rPr>
        <w:t>PLOS Comput. Biol.</w:t>
      </w:r>
      <w:r w:rsidRPr="008A32B0">
        <w:t xml:space="preserve"> </w:t>
      </w:r>
      <w:r w:rsidRPr="008A32B0">
        <w:rPr>
          <w:b/>
          <w:bCs/>
        </w:rPr>
        <w:t>10</w:t>
      </w:r>
      <w:r w:rsidRPr="008A32B0">
        <w:t>, e1003530 (2014).</w:t>
      </w:r>
    </w:p>
    <w:p w14:paraId="0909D37E" w14:textId="77777777" w:rsidR="00CD2610" w:rsidRPr="008A32B0" w:rsidRDefault="00CD2610" w:rsidP="00CD2610">
      <w:pPr>
        <w:pStyle w:val="afff2"/>
      </w:pPr>
      <w:r w:rsidRPr="008A32B0">
        <w:t xml:space="preserve">46. </w:t>
      </w:r>
      <w:r w:rsidRPr="008A32B0">
        <w:tab/>
        <w:t xml:space="preserve">Deco, G. </w:t>
      </w:r>
      <w:r w:rsidRPr="008A32B0">
        <w:rPr>
          <w:i/>
          <w:iCs/>
        </w:rPr>
        <w:t>et al.</w:t>
      </w:r>
      <w:r w:rsidRPr="008A32B0">
        <w:t xml:space="preserve"> How Local Excitation–Inhibition Ratio Impacts the Whole Brain Dynamics. </w:t>
      </w:r>
      <w:r w:rsidRPr="008A32B0">
        <w:rPr>
          <w:i/>
          <w:iCs/>
        </w:rPr>
        <w:t>J. Neurosci.</w:t>
      </w:r>
      <w:r w:rsidRPr="008A32B0">
        <w:t xml:space="preserve"> </w:t>
      </w:r>
      <w:r w:rsidRPr="008A32B0">
        <w:rPr>
          <w:b/>
          <w:bCs/>
        </w:rPr>
        <w:t>34</w:t>
      </w:r>
      <w:r w:rsidRPr="008A32B0">
        <w:t>, 7886–7898 (2014).</w:t>
      </w:r>
    </w:p>
    <w:p w14:paraId="59034098" w14:textId="77777777" w:rsidR="00CD2610" w:rsidRPr="008A32B0" w:rsidRDefault="00CD2610" w:rsidP="00CD2610">
      <w:pPr>
        <w:pStyle w:val="afff2"/>
      </w:pPr>
      <w:r w:rsidRPr="008A32B0">
        <w:t xml:space="preserve">47. </w:t>
      </w:r>
      <w:r w:rsidRPr="008A32B0">
        <w:tab/>
        <w:t xml:space="preserve">National Institute of Mental Health (NIMH). </w:t>
      </w:r>
      <w:r w:rsidRPr="008A32B0">
        <w:rPr>
          <w:i/>
          <w:iCs/>
        </w:rPr>
        <w:t>Investigation of the Rapid (Next Day) Antidepressant Effects of an NMDA Antagonist</w:t>
      </w:r>
      <w:r w:rsidRPr="008A32B0">
        <w:t>. https://clinicaltrials.gov/study/NCT00088699 (2018).</w:t>
      </w:r>
    </w:p>
    <w:p w14:paraId="6CD1ED6B" w14:textId="77777777" w:rsidR="00CD2610" w:rsidRPr="008A32B0" w:rsidRDefault="00CD2610" w:rsidP="00CD2610">
      <w:pPr>
        <w:pStyle w:val="afff2"/>
      </w:pPr>
      <w:r w:rsidRPr="008A32B0">
        <w:t xml:space="preserve">48. </w:t>
      </w:r>
      <w:r w:rsidRPr="008A32B0">
        <w:tab/>
        <w:t xml:space="preserve">Haber, S. N. &amp; Knutson, B. The Reward Circuit: Linking Primate Anatomy and Human Imaging. </w:t>
      </w:r>
      <w:r w:rsidRPr="008A32B0">
        <w:rPr>
          <w:i/>
          <w:iCs/>
        </w:rPr>
        <w:t>Neuropsychopharmacology</w:t>
      </w:r>
      <w:r w:rsidRPr="008A32B0">
        <w:t xml:space="preserve"> </w:t>
      </w:r>
      <w:r w:rsidRPr="008A32B0">
        <w:rPr>
          <w:b/>
          <w:bCs/>
        </w:rPr>
        <w:t>35</w:t>
      </w:r>
      <w:r w:rsidRPr="008A32B0">
        <w:t>, 4–26 (2010).</w:t>
      </w:r>
    </w:p>
    <w:p w14:paraId="4C8E18C8" w14:textId="77777777" w:rsidR="00CD2610" w:rsidRPr="008A32B0" w:rsidRDefault="00CD2610" w:rsidP="00CD2610">
      <w:pPr>
        <w:pStyle w:val="afff2"/>
      </w:pPr>
      <w:r w:rsidRPr="008A32B0">
        <w:t xml:space="preserve">49. </w:t>
      </w:r>
      <w:r w:rsidRPr="008A32B0">
        <w:tab/>
        <w:t xml:space="preserve">Buckner, R. L., Andrews-Hanna, J. R. &amp; Schacter, D. L. The brain’s default network: anatomy, function, and relevance to disease. </w:t>
      </w:r>
      <w:r w:rsidRPr="008A32B0">
        <w:rPr>
          <w:i/>
          <w:iCs/>
        </w:rPr>
        <w:t>Ann. N. Y. Acad. Sci.</w:t>
      </w:r>
      <w:r w:rsidRPr="008A32B0">
        <w:t xml:space="preserve"> </w:t>
      </w:r>
      <w:r w:rsidRPr="008A32B0">
        <w:rPr>
          <w:b/>
          <w:bCs/>
        </w:rPr>
        <w:t>1124</w:t>
      </w:r>
      <w:r w:rsidRPr="008A32B0">
        <w:t>, 1–38 (2008).</w:t>
      </w:r>
    </w:p>
    <w:p w14:paraId="025994B1" w14:textId="77777777" w:rsidR="00CD2610" w:rsidRPr="008A32B0" w:rsidRDefault="00CD2610" w:rsidP="00CD2610">
      <w:pPr>
        <w:pStyle w:val="afff2"/>
      </w:pPr>
      <w:r w:rsidRPr="008A32B0">
        <w:t xml:space="preserve">50. </w:t>
      </w:r>
      <w:r w:rsidRPr="008A32B0">
        <w:tab/>
        <w:t xml:space="preserve">Cole, M. W. </w:t>
      </w:r>
      <w:r w:rsidRPr="008A32B0">
        <w:rPr>
          <w:i/>
          <w:iCs/>
        </w:rPr>
        <w:t>et al.</w:t>
      </w:r>
      <w:r w:rsidRPr="008A32B0">
        <w:t xml:space="preserve"> Multi-task connectivity reveals flexible hubs for adaptive task control. </w:t>
      </w:r>
      <w:r w:rsidRPr="008A32B0">
        <w:rPr>
          <w:i/>
          <w:iCs/>
        </w:rPr>
        <w:t>Nat. Neurosci.</w:t>
      </w:r>
      <w:r w:rsidRPr="008A32B0">
        <w:t xml:space="preserve"> </w:t>
      </w:r>
      <w:r w:rsidRPr="008A32B0">
        <w:rPr>
          <w:b/>
          <w:bCs/>
        </w:rPr>
        <w:t>16</w:t>
      </w:r>
      <w:r w:rsidRPr="008A32B0">
        <w:t>, 1348–1355 (2013).</w:t>
      </w:r>
    </w:p>
    <w:p w14:paraId="41A9EA38" w14:textId="77777777" w:rsidR="00CD2610" w:rsidRPr="008A32B0" w:rsidRDefault="00CD2610" w:rsidP="00CD2610">
      <w:pPr>
        <w:pStyle w:val="afff2"/>
      </w:pPr>
      <w:r w:rsidRPr="008A32B0">
        <w:t xml:space="preserve">51. </w:t>
      </w:r>
      <w:r w:rsidRPr="008A32B0">
        <w:tab/>
        <w:t xml:space="preserve">Power, J. D. </w:t>
      </w:r>
      <w:r w:rsidRPr="008A32B0">
        <w:rPr>
          <w:i/>
          <w:iCs/>
        </w:rPr>
        <w:t>et al.</w:t>
      </w:r>
      <w:r w:rsidRPr="008A32B0">
        <w:t xml:space="preserve"> Functional network organization of the human brain. </w:t>
      </w:r>
      <w:r w:rsidRPr="008A32B0">
        <w:rPr>
          <w:i/>
          <w:iCs/>
        </w:rPr>
        <w:t>Neuron</w:t>
      </w:r>
      <w:r w:rsidRPr="008A32B0">
        <w:t xml:space="preserve"> </w:t>
      </w:r>
      <w:r w:rsidRPr="008A32B0">
        <w:rPr>
          <w:b/>
          <w:bCs/>
        </w:rPr>
        <w:t>72</w:t>
      </w:r>
      <w:r w:rsidRPr="008A32B0">
        <w:t>, 665–678 (2011).</w:t>
      </w:r>
    </w:p>
    <w:p w14:paraId="2E8B4EB9" w14:textId="77777777" w:rsidR="00CD2610" w:rsidRPr="008A32B0" w:rsidRDefault="00CD2610" w:rsidP="00CD2610">
      <w:pPr>
        <w:pStyle w:val="afff2"/>
      </w:pPr>
      <w:r w:rsidRPr="008A32B0">
        <w:t xml:space="preserve">52. </w:t>
      </w:r>
      <w:r w:rsidRPr="008A32B0">
        <w:tab/>
        <w:t xml:space="preserve">Reid, A. T. </w:t>
      </w:r>
      <w:r w:rsidRPr="008A32B0">
        <w:rPr>
          <w:i/>
          <w:iCs/>
        </w:rPr>
        <w:t>et al.</w:t>
      </w:r>
      <w:r w:rsidRPr="008A32B0">
        <w:t xml:space="preserve"> Advancing functional connectivity research from association to causation. </w:t>
      </w:r>
      <w:r w:rsidRPr="008A32B0">
        <w:rPr>
          <w:i/>
          <w:iCs/>
        </w:rPr>
        <w:t>Nat. Neurosci.</w:t>
      </w:r>
      <w:r w:rsidRPr="008A32B0">
        <w:t xml:space="preserve"> </w:t>
      </w:r>
      <w:r w:rsidRPr="008A32B0">
        <w:rPr>
          <w:b/>
          <w:bCs/>
        </w:rPr>
        <w:t>22</w:t>
      </w:r>
      <w:r w:rsidRPr="008A32B0">
        <w:t>, 1751–1760 (2019).</w:t>
      </w:r>
    </w:p>
    <w:p w14:paraId="3157DAA9" w14:textId="77777777" w:rsidR="00CD2610" w:rsidRPr="008A32B0" w:rsidRDefault="00CD2610" w:rsidP="00CD2610">
      <w:pPr>
        <w:pStyle w:val="afff2"/>
      </w:pPr>
      <w:r w:rsidRPr="008A32B0">
        <w:lastRenderedPageBreak/>
        <w:t xml:space="preserve">53. </w:t>
      </w:r>
      <w:r w:rsidRPr="008A32B0">
        <w:tab/>
        <w:t xml:space="preserve">Friston, K. J. Functional and Effective Connectivity: A Review. </w:t>
      </w:r>
      <w:r w:rsidRPr="008A32B0">
        <w:rPr>
          <w:i/>
          <w:iCs/>
        </w:rPr>
        <w:t>Brain Connect.</w:t>
      </w:r>
      <w:r w:rsidRPr="008A32B0">
        <w:t xml:space="preserve"> </w:t>
      </w:r>
      <w:r w:rsidRPr="008A32B0">
        <w:rPr>
          <w:b/>
          <w:bCs/>
        </w:rPr>
        <w:t>1</w:t>
      </w:r>
      <w:r w:rsidRPr="008A32B0">
        <w:t>, 13–36 (2011).</w:t>
      </w:r>
    </w:p>
    <w:p w14:paraId="126C5BDD" w14:textId="77777777" w:rsidR="00CD2610" w:rsidRPr="008A32B0" w:rsidRDefault="00CD2610" w:rsidP="00CD2610">
      <w:pPr>
        <w:pStyle w:val="afff2"/>
      </w:pPr>
      <w:r w:rsidRPr="008A32B0">
        <w:t xml:space="preserve">54. </w:t>
      </w:r>
      <w:r w:rsidRPr="008A32B0">
        <w:tab/>
        <w:t xml:space="preserve">Stringaris, A. </w:t>
      </w:r>
      <w:r w:rsidRPr="008A32B0">
        <w:rPr>
          <w:i/>
          <w:iCs/>
        </w:rPr>
        <w:t>et al.</w:t>
      </w:r>
      <w:r w:rsidRPr="008A32B0">
        <w:t xml:space="preserve"> The Brain’s Response to Reward Anticipation and Depression in Adolescence: Dimensionality, Specificity, and Longitudinal Predictions in a Community-Based Sample. </w:t>
      </w:r>
      <w:r w:rsidRPr="008A32B0">
        <w:rPr>
          <w:i/>
          <w:iCs/>
        </w:rPr>
        <w:t>Am. J. Psychiatry</w:t>
      </w:r>
      <w:r w:rsidRPr="008A32B0">
        <w:t xml:space="preserve"> </w:t>
      </w:r>
      <w:r w:rsidRPr="008A32B0">
        <w:rPr>
          <w:b/>
          <w:bCs/>
        </w:rPr>
        <w:t>172</w:t>
      </w:r>
      <w:r w:rsidRPr="008A32B0">
        <w:t>, 1215–1223 (2015).</w:t>
      </w:r>
    </w:p>
    <w:p w14:paraId="620CF849" w14:textId="77777777" w:rsidR="00CD2610" w:rsidRPr="008A32B0" w:rsidRDefault="00CD2610" w:rsidP="00CD2610">
      <w:pPr>
        <w:pStyle w:val="afff2"/>
      </w:pPr>
      <w:r w:rsidRPr="008A32B0">
        <w:t xml:space="preserve">55. </w:t>
      </w:r>
      <w:r w:rsidRPr="008A32B0">
        <w:tab/>
        <w:t xml:space="preserve">Cole, M. W., Ito, T., Cocuzza, C. &amp; Sanchez-Romero, R. The Functional Relevance of Task-State Functional Connectivity. </w:t>
      </w:r>
      <w:r w:rsidRPr="008A32B0">
        <w:rPr>
          <w:i/>
          <w:iCs/>
        </w:rPr>
        <w:t>J. Neurosci.</w:t>
      </w:r>
      <w:r w:rsidRPr="008A32B0">
        <w:t xml:space="preserve"> </w:t>
      </w:r>
      <w:r w:rsidRPr="008A32B0">
        <w:rPr>
          <w:b/>
          <w:bCs/>
        </w:rPr>
        <w:t>41</w:t>
      </w:r>
      <w:r w:rsidRPr="008A32B0">
        <w:t>, 2684–2702 (2021).</w:t>
      </w:r>
    </w:p>
    <w:p w14:paraId="269E01E8" w14:textId="77777777" w:rsidR="00CD2610" w:rsidRPr="008A32B0" w:rsidRDefault="00CD2610" w:rsidP="00CD2610">
      <w:pPr>
        <w:pStyle w:val="afff2"/>
      </w:pPr>
      <w:r w:rsidRPr="008A32B0">
        <w:t xml:space="preserve">56. </w:t>
      </w:r>
      <w:r w:rsidRPr="008A32B0">
        <w:tab/>
        <w:t xml:space="preserve">Ozeki, H., Finn, I. M., Schaffer, E. S., Miller, K. D. &amp; Ferster, D. Inhibitory stabilization of the cortical network underlies visual surround suppression. </w:t>
      </w:r>
      <w:r w:rsidRPr="008A32B0">
        <w:rPr>
          <w:i/>
          <w:iCs/>
        </w:rPr>
        <w:t>Neuron</w:t>
      </w:r>
      <w:r w:rsidRPr="008A32B0">
        <w:t xml:space="preserve"> </w:t>
      </w:r>
      <w:r w:rsidRPr="008A32B0">
        <w:rPr>
          <w:b/>
          <w:bCs/>
        </w:rPr>
        <w:t>62</w:t>
      </w:r>
      <w:r w:rsidRPr="008A32B0">
        <w:t>, 578–592 (2009).</w:t>
      </w:r>
    </w:p>
    <w:p w14:paraId="16BBDEA6" w14:textId="77777777" w:rsidR="00CD2610" w:rsidRPr="008A32B0" w:rsidRDefault="00CD2610" w:rsidP="00CD2610">
      <w:pPr>
        <w:pStyle w:val="afff2"/>
      </w:pPr>
      <w:r w:rsidRPr="008A32B0">
        <w:t xml:space="preserve">57. </w:t>
      </w:r>
      <w:r w:rsidRPr="008A32B0">
        <w:tab/>
        <w:t xml:space="preserve">Murphy, B. K. &amp; Miller, K. D. Balanced Amplification: A New Mechanism of Selective Amplification of Neural Activity Patterns. </w:t>
      </w:r>
      <w:r w:rsidRPr="008A32B0">
        <w:rPr>
          <w:i/>
          <w:iCs/>
        </w:rPr>
        <w:t>Neuron</w:t>
      </w:r>
      <w:r w:rsidRPr="008A32B0">
        <w:t xml:space="preserve"> </w:t>
      </w:r>
      <w:r w:rsidRPr="008A32B0">
        <w:rPr>
          <w:b/>
          <w:bCs/>
        </w:rPr>
        <w:t>61</w:t>
      </w:r>
      <w:r w:rsidRPr="008A32B0">
        <w:t>, 635–648 (2009).</w:t>
      </w:r>
    </w:p>
    <w:p w14:paraId="40595714" w14:textId="77777777" w:rsidR="00CD2610" w:rsidRPr="008A32B0" w:rsidRDefault="00CD2610" w:rsidP="00CD2610">
      <w:pPr>
        <w:pStyle w:val="afff2"/>
      </w:pPr>
      <w:r w:rsidRPr="008A32B0">
        <w:t xml:space="preserve">58. </w:t>
      </w:r>
      <w:r w:rsidRPr="008A32B0">
        <w:tab/>
        <w:t xml:space="preserve">Joglekar, M. R., Mejias, J. F., Yang, G. R. &amp; Wang, X.-J. Inter-areal Balanced Amplification Enhances Signal Propagation in a Large-Scale Circuit Model of the Primate Cortex. </w:t>
      </w:r>
      <w:r w:rsidRPr="008A32B0">
        <w:rPr>
          <w:i/>
          <w:iCs/>
        </w:rPr>
        <w:t>Neuron</w:t>
      </w:r>
      <w:r w:rsidRPr="008A32B0">
        <w:t xml:space="preserve"> </w:t>
      </w:r>
      <w:r w:rsidRPr="008A32B0">
        <w:rPr>
          <w:b/>
          <w:bCs/>
        </w:rPr>
        <w:t>98</w:t>
      </w:r>
      <w:r w:rsidRPr="008A32B0">
        <w:t>, 222-234.e8 (2018).</w:t>
      </w:r>
    </w:p>
    <w:p w14:paraId="3E6E6CC3" w14:textId="77777777" w:rsidR="00CD2610" w:rsidRPr="008A32B0" w:rsidRDefault="00CD2610" w:rsidP="00CD2610">
      <w:pPr>
        <w:pStyle w:val="afff2"/>
      </w:pPr>
      <w:r w:rsidRPr="008A32B0">
        <w:t xml:space="preserve">59. </w:t>
      </w:r>
      <w:r w:rsidRPr="008A32B0">
        <w:tab/>
        <w:t xml:space="preserve">Murray, J. D. </w:t>
      </w:r>
      <w:r w:rsidRPr="008A32B0">
        <w:rPr>
          <w:i/>
          <w:iCs/>
        </w:rPr>
        <w:t>et al.</w:t>
      </w:r>
      <w:r w:rsidRPr="008A32B0">
        <w:t xml:space="preserve"> Linking Microcircuit Dysfunction to Cognitive Impairment: Effects of Disinhibition Associated with Schizophrenia in a Cortical Working Memory Model. </w:t>
      </w:r>
      <w:r w:rsidRPr="008A32B0">
        <w:rPr>
          <w:i/>
          <w:iCs/>
        </w:rPr>
        <w:t>Cereb. Cortex</w:t>
      </w:r>
      <w:r w:rsidRPr="008A32B0">
        <w:t xml:space="preserve"> </w:t>
      </w:r>
      <w:r w:rsidRPr="008A32B0">
        <w:rPr>
          <w:b/>
          <w:bCs/>
        </w:rPr>
        <w:t>24</w:t>
      </w:r>
      <w:r w:rsidRPr="008A32B0">
        <w:t>, 859–872 (2014).</w:t>
      </w:r>
    </w:p>
    <w:p w14:paraId="2D4F4E28" w14:textId="77777777" w:rsidR="00CD2610" w:rsidRPr="008A32B0" w:rsidRDefault="00CD2610" w:rsidP="00CD2610">
      <w:pPr>
        <w:pStyle w:val="afff2"/>
      </w:pPr>
      <w:r w:rsidRPr="008A32B0">
        <w:t xml:space="preserve">60. </w:t>
      </w:r>
      <w:r w:rsidRPr="008A32B0">
        <w:tab/>
        <w:t xml:space="preserve">Yizhar, O. </w:t>
      </w:r>
      <w:r w:rsidRPr="008A32B0">
        <w:rPr>
          <w:i/>
          <w:iCs/>
        </w:rPr>
        <w:t>et al.</w:t>
      </w:r>
      <w:r w:rsidRPr="008A32B0">
        <w:t xml:space="preserve"> Neocortical excitation/inhibition balance in information processing and social dysfunction. </w:t>
      </w:r>
      <w:r w:rsidRPr="008A32B0">
        <w:rPr>
          <w:i/>
          <w:iCs/>
        </w:rPr>
        <w:t>Nature</w:t>
      </w:r>
      <w:r w:rsidRPr="008A32B0">
        <w:t xml:space="preserve"> </w:t>
      </w:r>
      <w:r w:rsidRPr="008A32B0">
        <w:rPr>
          <w:b/>
          <w:bCs/>
        </w:rPr>
        <w:t>477</w:t>
      </w:r>
      <w:r w:rsidRPr="008A32B0">
        <w:t>, 171–178 (2011).</w:t>
      </w:r>
    </w:p>
    <w:p w14:paraId="56761BC9" w14:textId="77777777" w:rsidR="00CD2610" w:rsidRPr="008A32B0" w:rsidRDefault="00CD2610" w:rsidP="00CD2610">
      <w:pPr>
        <w:pStyle w:val="afff2"/>
      </w:pPr>
      <w:r w:rsidRPr="008A32B0">
        <w:t xml:space="preserve">61. </w:t>
      </w:r>
      <w:r w:rsidRPr="008A32B0">
        <w:tab/>
        <w:t xml:space="preserve">Ahmadian, Y. &amp; Miller, K. D. What is the dynamical regime of cerebral cortex? </w:t>
      </w:r>
      <w:r w:rsidRPr="008A32B0">
        <w:rPr>
          <w:i/>
          <w:iCs/>
        </w:rPr>
        <w:t>Neuron</w:t>
      </w:r>
      <w:r w:rsidRPr="008A32B0">
        <w:t xml:space="preserve"> </w:t>
      </w:r>
      <w:r w:rsidRPr="008A32B0">
        <w:rPr>
          <w:b/>
          <w:bCs/>
        </w:rPr>
        <w:t>109</w:t>
      </w:r>
      <w:r w:rsidRPr="008A32B0">
        <w:t>, 3373–3391 (2021).</w:t>
      </w:r>
    </w:p>
    <w:p w14:paraId="0C14E443" w14:textId="77777777" w:rsidR="00CD2610" w:rsidRPr="008A32B0" w:rsidRDefault="00CD2610" w:rsidP="00CD2610">
      <w:pPr>
        <w:pStyle w:val="afff2"/>
      </w:pPr>
      <w:r w:rsidRPr="008A32B0">
        <w:t xml:space="preserve">62. </w:t>
      </w:r>
      <w:r w:rsidRPr="008A32B0">
        <w:tab/>
        <w:t xml:space="preserve">Bradley, C., Nydam, A. S., Dux, P. E. &amp; Mattingley, J. B. State-dependent effects of neural stimulation on brain function and cognition. </w:t>
      </w:r>
      <w:r w:rsidRPr="008A32B0">
        <w:rPr>
          <w:i/>
          <w:iCs/>
        </w:rPr>
        <w:t>Nat. Rev. Neurosci.</w:t>
      </w:r>
      <w:r w:rsidRPr="008A32B0">
        <w:t xml:space="preserve"> </w:t>
      </w:r>
      <w:r w:rsidRPr="008A32B0">
        <w:rPr>
          <w:b/>
          <w:bCs/>
        </w:rPr>
        <w:t>23</w:t>
      </w:r>
      <w:r w:rsidRPr="008A32B0">
        <w:t>, 459–475 (2022).</w:t>
      </w:r>
    </w:p>
    <w:p w14:paraId="18858395" w14:textId="77777777" w:rsidR="00CD2610" w:rsidRPr="008A32B0" w:rsidRDefault="00CD2610" w:rsidP="00CD2610">
      <w:pPr>
        <w:pStyle w:val="afff2"/>
      </w:pPr>
      <w:r w:rsidRPr="008A32B0">
        <w:t xml:space="preserve">63. </w:t>
      </w:r>
      <w:r w:rsidRPr="008A32B0">
        <w:tab/>
        <w:t xml:space="preserve">Celada, P., Puig, M. V. &amp; Artigas, F. Serotonin modulation of cortical neurons and networks. </w:t>
      </w:r>
      <w:r w:rsidRPr="008A32B0">
        <w:rPr>
          <w:i/>
          <w:iCs/>
        </w:rPr>
        <w:t>Front. Integr. Neurosci.</w:t>
      </w:r>
      <w:r w:rsidRPr="008A32B0">
        <w:t xml:space="preserve"> </w:t>
      </w:r>
      <w:r w:rsidRPr="008A32B0">
        <w:rPr>
          <w:b/>
          <w:bCs/>
        </w:rPr>
        <w:t>7</w:t>
      </w:r>
      <w:r w:rsidRPr="008A32B0">
        <w:t>, 25 (2013).</w:t>
      </w:r>
    </w:p>
    <w:p w14:paraId="5515A92B" w14:textId="77777777" w:rsidR="00CD2610" w:rsidRPr="008A32B0" w:rsidRDefault="00CD2610" w:rsidP="00CD2610">
      <w:pPr>
        <w:pStyle w:val="afff2"/>
      </w:pPr>
      <w:r w:rsidRPr="008A32B0">
        <w:t xml:space="preserve">64. </w:t>
      </w:r>
      <w:r w:rsidRPr="008A32B0">
        <w:tab/>
        <w:t xml:space="preserve">Wilson, R. I. &amp; Nicoll, R. A. Endocannabinoid signaling in the brain. </w:t>
      </w:r>
      <w:r w:rsidRPr="008A32B0">
        <w:rPr>
          <w:i/>
          <w:iCs/>
        </w:rPr>
        <w:t>Science</w:t>
      </w:r>
      <w:r w:rsidRPr="008A32B0">
        <w:t xml:space="preserve"> </w:t>
      </w:r>
      <w:r w:rsidRPr="008A32B0">
        <w:rPr>
          <w:b/>
          <w:bCs/>
        </w:rPr>
        <w:t>296</w:t>
      </w:r>
      <w:r w:rsidRPr="008A32B0">
        <w:t>, 678–682 (2002).</w:t>
      </w:r>
    </w:p>
    <w:p w14:paraId="2625266E" w14:textId="3B07BFBF" w:rsidR="00227080" w:rsidRPr="008A32B0" w:rsidRDefault="00A61AE7" w:rsidP="00CD2610">
      <w:pPr>
        <w:pStyle w:val="afff2"/>
        <w:rPr>
          <w:color w:val="000000" w:themeColor="text1"/>
          <w:lang w:eastAsia="zh-CN"/>
        </w:rPr>
      </w:pPr>
      <w:r w:rsidRPr="008A32B0">
        <w:rPr>
          <w:rFonts w:cs="Times New Roman"/>
          <w:color w:val="000000" w:themeColor="text1"/>
        </w:rPr>
        <w:fldChar w:fldCharType="end"/>
      </w:r>
    </w:p>
    <w:p w14:paraId="2C2E57D0" w14:textId="77777777" w:rsidR="00F36FCD" w:rsidRPr="008A32B0" w:rsidRDefault="00227080" w:rsidP="00F36FCD">
      <w:pPr>
        <w:adjustRightInd w:val="0"/>
        <w:snapToGrid w:val="0"/>
        <w:spacing w:line="480" w:lineRule="auto"/>
        <w:jc w:val="both"/>
        <w:rPr>
          <w:b/>
          <w:bCs/>
          <w:color w:val="000000" w:themeColor="text1"/>
          <w:lang w:eastAsia="zh-CN"/>
        </w:rPr>
      </w:pPr>
      <w:r w:rsidRPr="008A32B0">
        <w:rPr>
          <w:color w:val="000000" w:themeColor="text1"/>
        </w:rPr>
        <w:br w:type="page"/>
      </w:r>
      <w:r w:rsidRPr="008A32B0">
        <w:rPr>
          <w:b/>
          <w:bCs/>
          <w:color w:val="000000" w:themeColor="text1"/>
          <w:lang w:eastAsia="zh-CN"/>
        </w:rPr>
        <w:lastRenderedPageBreak/>
        <w:t>Figures</w:t>
      </w:r>
    </w:p>
    <w:p w14:paraId="07B7C113" w14:textId="14223212" w:rsidR="00DA341C" w:rsidRPr="008A32B0" w:rsidRDefault="004B3277" w:rsidP="00F36FCD">
      <w:pPr>
        <w:adjustRightInd w:val="0"/>
        <w:snapToGrid w:val="0"/>
        <w:spacing w:line="480" w:lineRule="auto"/>
        <w:jc w:val="both"/>
        <w:rPr>
          <w:b/>
          <w:bCs/>
          <w:color w:val="000000" w:themeColor="text1"/>
          <w:lang w:eastAsia="zh-CN"/>
        </w:rPr>
      </w:pPr>
      <w:r w:rsidRPr="008A32B0">
        <w:rPr>
          <w:b/>
          <w:bCs/>
          <w:noProof/>
          <w:color w:val="000000" w:themeColor="text1"/>
          <w:lang w:eastAsia="zh-CN"/>
        </w:rPr>
        <w:drawing>
          <wp:inline distT="0" distB="0" distL="0" distR="0" wp14:anchorId="7EE7AA9C" wp14:editId="4140B375">
            <wp:extent cx="5490210" cy="6470650"/>
            <wp:effectExtent l="0" t="0" r="0" b="6350"/>
            <wp:docPr id="1031462006" name="图片 1"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62006" name="图片 1" descr="图形用户界面&#10;&#10;描述已自动生成"/>
                    <pic:cNvPicPr/>
                  </pic:nvPicPr>
                  <pic:blipFill>
                    <a:blip r:embed="rId12"/>
                    <a:stretch>
                      <a:fillRect/>
                    </a:stretch>
                  </pic:blipFill>
                  <pic:spPr>
                    <a:xfrm>
                      <a:off x="0" y="0"/>
                      <a:ext cx="5490210" cy="6470650"/>
                    </a:xfrm>
                    <a:prstGeom prst="rect">
                      <a:avLst/>
                    </a:prstGeom>
                  </pic:spPr>
                </pic:pic>
              </a:graphicData>
            </a:graphic>
          </wp:inline>
        </w:drawing>
      </w:r>
    </w:p>
    <w:p w14:paraId="08EB8F52" w14:textId="1D9CECB5" w:rsidR="008A32B0" w:rsidRPr="008A32B0" w:rsidRDefault="00F36FCD" w:rsidP="00F36FCD">
      <w:pPr>
        <w:adjustRightInd w:val="0"/>
        <w:snapToGrid w:val="0"/>
        <w:spacing w:line="240" w:lineRule="exact"/>
        <w:jc w:val="both"/>
      </w:pPr>
      <w:r w:rsidRPr="000D31E6">
        <w:rPr>
          <w:b/>
          <w:bCs/>
        </w:rPr>
        <w:t>Figure 1</w:t>
      </w:r>
      <w:r w:rsidR="00DA341C" w:rsidRPr="000D31E6">
        <w:t xml:space="preserve"> </w:t>
      </w:r>
      <w:r w:rsidRPr="000D31E6">
        <w:t xml:space="preserve">Analytical pipeline </w:t>
      </w:r>
      <w:r w:rsidR="00DA341C" w:rsidRPr="000D31E6">
        <w:t xml:space="preserve">across </w:t>
      </w:r>
      <w:r w:rsidRPr="000D31E6">
        <w:t xml:space="preserve">five stages.  Stage 1, IMAGEN discovery (n = 1,050, all analysed) and STRATIFY validation (n=427, including 225 controls, 202 patients: 104 MDD, 98 AUD). Stage 2, multiple-scale calibration experiment </w:t>
      </w:r>
      <w:r w:rsidR="000D4B2D" w:rsidRPr="000D31E6">
        <w:t xml:space="preserve">in </w:t>
      </w:r>
      <w:r w:rsidRPr="000D31E6">
        <w:t xml:space="preserve">12 participants. Stage 3, 3-million-neuron individualized DTBs for 288 participants. Stage 4, </w:t>
      </w:r>
      <w:r w:rsidR="000D4B2D" w:rsidRPr="000D31E6">
        <w:t xml:space="preserve">pharmacological validation in </w:t>
      </w:r>
      <w:r w:rsidRPr="000D31E6">
        <w:t xml:space="preserve">healthy volunteers (n = 27 for ketamine, midazolam, and placebo conditions) and case-control (41 for placebo condition, 36 for placebo and ketamine conditions). Stage </w:t>
      </w:r>
      <w:r w:rsidRPr="000D31E6">
        <w:lastRenderedPageBreak/>
        <w:t xml:space="preserve">5, 288 screened, 85 analysed (203 without usable four-year follow-up symptom data). </w:t>
      </w:r>
      <w:r w:rsidR="000D4B2D" w:rsidRPr="000D31E6">
        <w:t xml:space="preserve">From top to bottom, the panels show </w:t>
      </w:r>
      <w:r w:rsidR="00EB2920" w:rsidRPr="000D31E6">
        <w:rPr>
          <w:b/>
          <w:bCs/>
        </w:rPr>
        <w:t>a,</w:t>
      </w:r>
      <w:r w:rsidR="00EB2920" w:rsidRPr="000D31E6">
        <w:t xml:space="preserve"> </w:t>
      </w:r>
      <w:r w:rsidR="000D4B2D" w:rsidRPr="000D31E6">
        <w:t>definition of the NP edge profile</w:t>
      </w:r>
      <w:r w:rsidR="000D4B2D" w:rsidRPr="000D31E6">
        <w:rPr>
          <w:lang w:eastAsia="zh-CN"/>
        </w:rPr>
        <w:t>s</w:t>
      </w:r>
      <w:r w:rsidR="000D4B2D" w:rsidRPr="000D31E6">
        <w:t xml:space="preserve">; </w:t>
      </w:r>
      <w:r w:rsidR="00EB2920" w:rsidRPr="000D31E6">
        <w:rPr>
          <w:b/>
          <w:bCs/>
        </w:rPr>
        <w:t xml:space="preserve">b, </w:t>
      </w:r>
      <w:r w:rsidR="000D4B2D" w:rsidRPr="000D31E6">
        <w:t>STRATIFY group differences in summed scores</w:t>
      </w:r>
      <w:r w:rsidR="00EB2920" w:rsidRPr="008A32B0">
        <w:rPr>
          <w:lang w:eastAsia="zh-CN"/>
        </w:rPr>
        <w:t xml:space="preserve"> of NP profiles, and comparison of PET-map values between NP-related and non-NP regions using publicly available maps from a published study</w:t>
      </w:r>
      <w:r w:rsidR="00EB2920" w:rsidRPr="008A32B0">
        <w:rPr>
          <w:rFonts w:eastAsiaTheme="minorHAnsi" w:cs="Calibri"/>
          <w:color w:val="1D1B11" w:themeColor="background2" w:themeShade="1A"/>
        </w:rPr>
        <w:fldChar w:fldCharType="begin"/>
      </w:r>
      <w:r w:rsidR="00EB2920" w:rsidRPr="008A32B0">
        <w:rPr>
          <w:rFonts w:eastAsiaTheme="minorHAnsi" w:cs="Calibri"/>
          <w:color w:val="1D1B11" w:themeColor="background2" w:themeShade="1A"/>
        </w:rPr>
        <w:instrText xml:space="preserve"> ADDIN ZOTERO_ITEM CSL_CITATION {"citationID":"i2S8Uksp","properties":{"formattedCitation":"\\super 41\\nosupersub{}","plainCitation":"41","noteIndex":0},"citationItems":[{"id":2604,"uris":["http://zotero.org/users/7033572/items/USPPDKCE"],"itemData":{"id":2604,"type":"article-journal","abstract":"Neurotransmitter receptors support the propagation of signals in the human brain. How receptor systems are situated within macro-scale neuroanatomy and how they shape emergent function remain poorly understood, and there exists no comprehensive atlas of receptors. Here we collate positron emission tomography data from more than 1,200 healthy individuals to construct a whole-brain three-dimensional normative atlas of 19 receptors and transporters across nine different neurotransmitter systems. We found that receptor profiles align with structural connectivity and mediate function, including neurophysiological oscillatory dynamics and resting-state hemodynamic functional connectivity. Using the Neurosynth cognitive atlas, we uncovered a topographic gradient of overlapping receptor distributions that separates extrinsic and intrinsic psychological processes. Finally, we found both expected and novel associations between receptor distributions and cortical abnormality patterns across 13 disorders. We replicated all findings in an independently collected autoradiography dataset. This work demonstrates how chemoarchitecture shapes brain structure and function, providing a new direction for studying multi-scale brain organization.","container-title":"Nature Neuroscience","DOI":"10.1038/s41593-022-01186-3","ISSN":"1546-1726","issue":"11","journalAbbreviation":"Nat Neurosci","language":"eng","page":"1569-1581","PMID":"36303070","PMCID":"PMC9630096","source":"PubMed","title":"Mapping neurotransmitter systems to the structural and functional organization of the human neocortex","volume":"25","author":[{"family":"Hansen","given":"Justine Y."},{"family":"Shafiei","given":"Golia"},{"family":"Markello","given":"Ross D."},{"family":"Smart","given":"Kelly"},{"family":"Cox","given":"Sylvia M. L."},{"family":"Nørgaard","given":"Martin"},{"family":"Beliveau","given":"Vincent"},{"family":"Wu","given":"Yanjun"},{"family":"Gallezot","given":"Jean-Dominique"},{"family":"Aumont","given":"Étienne"},{"family":"Servaes","given":"Stijn"},{"family":"Scala","given":"Stephanie G."},{"family":"DuBois","given":"Jonathan M."},{"family":"Wainstein","given":"Gabriel"},{"family":"Bezgin","given":"Gleb"},{"family":"Funck","given":"Thomas"},{"family":"Schmitz","given":"Taylor W."},{"family":"Spreng","given":"R. Nathan"},{"family":"Galovic","given":"Marian"},{"family":"Koepp","given":"Matthias J."},{"family":"Duncan","given":"John S."},{"family":"Coles","given":"Jonathan P."},{"family":"Fryer","given":"Tim D."},{"family":"Aigbirhio","given":"Franklin I."},{"family":"McGinnity","given":"Colm J."},{"family":"Hammers","given":"Alexander"},{"family":"Soucy","given":"Jean-Paul"},{"family":"Baillet","given":"Sylvain"},{"family":"Guimond","given":"Synthia"},{"family":"Hietala","given":"Jarmo"},{"family":"Bedard","given":"Marc-André"},{"family":"Leyton","given":"Marco"},{"family":"Kobayashi","given":"Eliane"},{"family":"Rosa-Neto","given":"Pedro"},{"family":"Ganz","given":"Melanie"},{"family":"Knudsen","given":"Gitte M."},{"family":"Palomero-Gallagher","given":"Nicola"},{"family":"Shine","given":"James M."},{"family":"Carson","given":"Richard E."},{"family":"Tuominen","given":"Lauri"},{"family":"Dagher","given":"Alain"},{"family":"Misic","given":"Bratislav"}],"issued":{"date-parts":[["2022",11]]}}}],"schema":"https://github.com/citation-style-language/schema/raw/master/csl-citation.json"} </w:instrText>
      </w:r>
      <w:r w:rsidR="00EB2920" w:rsidRPr="008A32B0">
        <w:rPr>
          <w:rFonts w:eastAsiaTheme="minorHAnsi" w:cs="Calibri"/>
          <w:color w:val="1D1B11" w:themeColor="background2" w:themeShade="1A"/>
        </w:rPr>
        <w:fldChar w:fldCharType="separate"/>
      </w:r>
      <w:r w:rsidR="00EB2920" w:rsidRPr="008A32B0">
        <w:rPr>
          <w:rFonts w:cs="Times New Roman"/>
          <w:vertAlign w:val="superscript"/>
        </w:rPr>
        <w:t>41</w:t>
      </w:r>
      <w:r w:rsidR="00EB2920" w:rsidRPr="008A32B0">
        <w:rPr>
          <w:rFonts w:eastAsiaTheme="minorHAnsi" w:cs="Calibri"/>
          <w:color w:val="1D1B11" w:themeColor="background2" w:themeShade="1A"/>
        </w:rPr>
        <w:fldChar w:fldCharType="end"/>
      </w:r>
      <w:r w:rsidR="000D4B2D" w:rsidRPr="000D31E6">
        <w:t xml:space="preserve">; </w:t>
      </w:r>
      <w:r w:rsidR="00EB2920" w:rsidRPr="000D31E6">
        <w:rPr>
          <w:b/>
          <w:bCs/>
        </w:rPr>
        <w:t xml:space="preserve">c, </w:t>
      </w:r>
      <w:r w:rsidR="000D4B2D" w:rsidRPr="000D31E6">
        <w:t xml:space="preserve">assimilated-region BOLD correlation across seven DTB builds; </w:t>
      </w:r>
      <w:r w:rsidR="00EB2920" w:rsidRPr="000D31E6">
        <w:rPr>
          <w:b/>
          <w:bCs/>
        </w:rPr>
        <w:t xml:space="preserve">d, </w:t>
      </w:r>
      <w:r w:rsidR="000D4B2D" w:rsidRPr="000D31E6">
        <w:t>simulated NP factors at baseline and after AMPA or GABA-A up-regulation</w:t>
      </w:r>
      <w:r w:rsidR="00EB2920" w:rsidRPr="000D31E6">
        <w:t xml:space="preserve">, </w:t>
      </w:r>
      <w:r w:rsidR="00EB2920" w:rsidRPr="000D31E6">
        <w:rPr>
          <w:lang w:eastAsia="zh-CN"/>
        </w:rPr>
        <w:t xml:space="preserve">and </w:t>
      </w:r>
      <w:r w:rsidR="000D4B2D" w:rsidRPr="000D31E6">
        <w:t xml:space="preserve">population-level group differences after perturbation; </w:t>
      </w:r>
      <w:r w:rsidR="00EB2920" w:rsidRPr="000D31E6">
        <w:rPr>
          <w:b/>
          <w:bCs/>
        </w:rPr>
        <w:t xml:space="preserve">e, </w:t>
      </w:r>
      <w:r w:rsidR="000D4B2D" w:rsidRPr="000D31E6">
        <w:t xml:space="preserve">drug-induced changes in NP-related connectivity; and </w:t>
      </w:r>
      <w:r w:rsidR="00EB2920" w:rsidRPr="000D31E6">
        <w:rPr>
          <w:b/>
          <w:bCs/>
        </w:rPr>
        <w:t xml:space="preserve">f, </w:t>
      </w:r>
      <w:r w:rsidR="000D4B2D" w:rsidRPr="000D31E6">
        <w:t>leave-one-out prediction of four-year symptom change from the 12 simulated NP edges (n = 85). Colours denote entities consistently across figures (see correspondence strip); stage headers are neutral grey.</w:t>
      </w:r>
    </w:p>
    <w:p w14:paraId="56D0A6D4" w14:textId="461957E6" w:rsidR="008A32B0" w:rsidRPr="008A32B0" w:rsidRDefault="008A32B0">
      <w:r w:rsidRPr="008A32B0">
        <w:br w:type="page"/>
      </w:r>
    </w:p>
    <w:p w14:paraId="31056762" w14:textId="0C5470C1" w:rsidR="00F36FCD" w:rsidRPr="008A32B0" w:rsidRDefault="008A32B0" w:rsidP="008A32B0">
      <w:pPr>
        <w:adjustRightInd w:val="0"/>
        <w:snapToGrid w:val="0"/>
        <w:spacing w:line="480" w:lineRule="auto"/>
        <w:jc w:val="center"/>
        <w:rPr>
          <w:color w:val="000000" w:themeColor="text1"/>
          <w:lang w:eastAsia="zh-CN"/>
        </w:rPr>
      </w:pPr>
      <w:r w:rsidRPr="008A32B0">
        <w:rPr>
          <w:noProof/>
          <w:color w:val="000000" w:themeColor="text1"/>
        </w:rPr>
        <w:lastRenderedPageBreak/>
        <w:drawing>
          <wp:inline distT="0" distB="0" distL="0" distR="0" wp14:anchorId="5B8C0C4F" wp14:editId="26C1286A">
            <wp:extent cx="4401455" cy="4901875"/>
            <wp:effectExtent l="0" t="0" r="5715" b="635"/>
            <wp:docPr id="1869622741" name="图片 1" descr="图示  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54043" name="图片 1" descr="图示  描述已自动生成"/>
                    <pic:cNvPicPr/>
                  </pic:nvPicPr>
                  <pic:blipFill>
                    <a:blip r:embed="rId13"/>
                    <a:stretch>
                      <a:fillRect/>
                    </a:stretch>
                  </pic:blipFill>
                  <pic:spPr>
                    <a:xfrm>
                      <a:off x="0" y="0"/>
                      <a:ext cx="4412038" cy="4913662"/>
                    </a:xfrm>
                    <a:prstGeom prst="rect">
                      <a:avLst/>
                    </a:prstGeom>
                  </pic:spPr>
                </pic:pic>
              </a:graphicData>
            </a:graphic>
          </wp:inline>
        </w:drawing>
      </w:r>
    </w:p>
    <w:p w14:paraId="375BE3A8" w14:textId="25C2B2FD" w:rsidR="00F36FCD" w:rsidRPr="000D31E6" w:rsidRDefault="00F36FCD" w:rsidP="00F36FCD">
      <w:pPr>
        <w:adjustRightInd w:val="0"/>
        <w:snapToGrid w:val="0"/>
        <w:spacing w:line="240" w:lineRule="exact"/>
        <w:jc w:val="both"/>
        <w:rPr>
          <w:rFonts w:eastAsia="宋体" w:cs="宋体"/>
          <w:bCs/>
          <w:color w:val="000000" w:themeColor="text1"/>
        </w:rPr>
      </w:pPr>
      <w:r w:rsidRPr="008A32B0">
        <w:rPr>
          <w:b/>
          <w:bCs/>
          <w:color w:val="000000" w:themeColor="text1"/>
        </w:rPr>
        <w:t xml:space="preserve">Fig. 2 A compact cortico-subcortical network phenotype of transdiagnostic psychopathology. </w:t>
      </w:r>
      <w:r w:rsidRPr="008A32B0">
        <w:rPr>
          <w:b/>
          <w:color w:val="000000" w:themeColor="text1"/>
        </w:rPr>
        <w:t xml:space="preserve">a, </w:t>
      </w:r>
      <w:r w:rsidRPr="008A32B0">
        <w:rPr>
          <w:bCs/>
          <w:color w:val="000000" w:themeColor="text1"/>
        </w:rPr>
        <w:t xml:space="preserve">Connectome-based predictive modelling of task-evoked functional connectivity against behavioural symptom scores in the IMAGEN cohort (n = 1,050). Bubble area denotes Spearman’s </w:t>
      </w:r>
      <w:r w:rsidRPr="008A32B0">
        <w:rPr>
          <w:rFonts w:ascii="Cambria" w:hAnsi="Cambria" w:cs="Cambria"/>
          <w:bCs/>
          <w:color w:val="000000" w:themeColor="text1"/>
        </w:rPr>
        <w:t>ρ</w:t>
      </w:r>
      <w:r w:rsidRPr="008A32B0">
        <w:rPr>
          <w:bCs/>
          <w:color w:val="000000" w:themeColor="text1"/>
        </w:rPr>
        <w:t xml:space="preserve"> between predicted and observed symptom scores, averaged across 1,000 cross-validation repetitions. Six task conditions (SST stop-success, stop-failure and go-wrong; MID positive feedback, negative feedback and reward anticipation) were crossed with six symptom domains (ADHD, conduct disorder, eating disorder, specific phobia, generalised anxiety and depression), yielding 36 models. P values were averaged across repetitions and corrected using Benjamini-Hochberg FDR across the 36 models; the minimum significant effect was </w:t>
      </w:r>
      <w:r w:rsidRPr="008A32B0">
        <w:rPr>
          <w:rFonts w:ascii="Cambria" w:hAnsi="Cambria" w:cs="Cambria"/>
          <w:bCs/>
          <w:color w:val="000000" w:themeColor="text1"/>
        </w:rPr>
        <w:t>ρ</w:t>
      </w:r>
      <w:r w:rsidRPr="008A32B0">
        <w:rPr>
          <w:bCs/>
          <w:color w:val="000000" w:themeColor="text1"/>
        </w:rPr>
        <w:t xml:space="preserve"> = 0.07. Task conditions predicting at least three symptom domains were retained. Edges were assigned to positive (pink) or negative (blue) profiles according to the sign of their symptom association. </w:t>
      </w:r>
      <w:r w:rsidRPr="008A32B0">
        <w:rPr>
          <w:b/>
          <w:color w:val="000000" w:themeColor="text1"/>
        </w:rPr>
        <w:t xml:space="preserve">b, </w:t>
      </w:r>
      <w:r w:rsidRPr="008A32B0">
        <w:rPr>
          <w:bCs/>
          <w:color w:val="000000" w:themeColor="text1"/>
        </w:rPr>
        <w:t xml:space="preserve">Canonical network affiliation of the two profiles; cell values are edge counts between network pairs. DMN, default mode; FPN, frontoparietal; SMF, somatomotor-frontal. </w:t>
      </w:r>
      <w:r w:rsidRPr="008A32B0">
        <w:rPr>
          <w:b/>
          <w:color w:val="000000" w:themeColor="text1"/>
        </w:rPr>
        <w:t xml:space="preserve">c, </w:t>
      </w:r>
      <w:r w:rsidRPr="008A32B0">
        <w:rPr>
          <w:bCs/>
          <w:color w:val="000000" w:themeColor="text1"/>
        </w:rPr>
        <w:t>Summed strength of the 29-edge negative profile in STRATIFY (225 controls and 202 patients), residualised for sex, scanning site and mean framewise displacement. Two-sided independent-samples Student’s t test, equal variance, Bonferroni-corrected across the two tests (the 29-edge negative profile and the 12-edge NP factor): t(425) = 3.83, P = 0.0002, P_Bonf = 0.0003, Hedges’ g = 0.37 (95% CI 0.18-0.56).</w:t>
      </w:r>
      <w:r w:rsidRPr="008A32B0">
        <w:rPr>
          <w:b/>
          <w:color w:val="000000" w:themeColor="text1"/>
        </w:rPr>
        <w:t xml:space="preserve"> d, </w:t>
      </w:r>
      <w:r w:rsidRPr="008A32B0">
        <w:rPr>
          <w:bCs/>
          <w:color w:val="000000" w:themeColor="text1"/>
        </w:rPr>
        <w:t xml:space="preserve">The 12 cortico-subcortical edges retained as the NP factor after excluding 17 </w:t>
      </w:r>
      <w:r w:rsidRPr="008A32B0">
        <w:rPr>
          <w:bCs/>
          <w:color w:val="000000" w:themeColor="text1"/>
        </w:rPr>
        <w:lastRenderedPageBreak/>
        <w:t xml:space="preserve">negative-profile edges involved with the cerebellum or brainstem; ribbon width denotes edge strength. </w:t>
      </w:r>
      <w:r w:rsidRPr="008A32B0">
        <w:rPr>
          <w:b/>
          <w:color w:val="000000" w:themeColor="text1"/>
        </w:rPr>
        <w:t xml:space="preserve">e, </w:t>
      </w:r>
      <w:r w:rsidRPr="008A32B0">
        <w:rPr>
          <w:bCs/>
          <w:color w:val="000000" w:themeColor="text1"/>
        </w:rPr>
        <w:t>Summed strength of the 12-edge NP factor, with the same residualisation and statistical test as in c: t(425) = 3.38, P = 0.0008, P_Bonf = 0.0016, Hedges’ g = 0.33 (95% CI 0.13-0.52).</w:t>
      </w:r>
    </w:p>
    <w:p w14:paraId="5B3981B1" w14:textId="77777777" w:rsidR="00F36FCD" w:rsidRPr="008A32B0" w:rsidRDefault="00F36FCD" w:rsidP="00F36FCD">
      <w:pPr>
        <w:adjustRightInd w:val="0"/>
        <w:snapToGrid w:val="0"/>
        <w:spacing w:line="480" w:lineRule="auto"/>
        <w:jc w:val="both"/>
        <w:rPr>
          <w:color w:val="000000" w:themeColor="text1"/>
        </w:rPr>
      </w:pPr>
      <w:r w:rsidRPr="008A32B0">
        <w:rPr>
          <w:color w:val="000000" w:themeColor="text1"/>
        </w:rPr>
        <w:br w:type="page"/>
      </w:r>
    </w:p>
    <w:p w14:paraId="48313F16" w14:textId="41B9915B" w:rsidR="00F36FCD" w:rsidRPr="008A32B0" w:rsidRDefault="00DB4860" w:rsidP="00F36FCD">
      <w:pPr>
        <w:adjustRightInd w:val="0"/>
        <w:snapToGrid w:val="0"/>
        <w:spacing w:line="480" w:lineRule="auto"/>
        <w:jc w:val="both"/>
        <w:rPr>
          <w:color w:val="000000" w:themeColor="text1"/>
        </w:rPr>
      </w:pPr>
      <w:r w:rsidRPr="008A32B0">
        <w:rPr>
          <w:noProof/>
          <w:color w:val="000000" w:themeColor="text1"/>
        </w:rPr>
        <w:lastRenderedPageBreak/>
        <w:drawing>
          <wp:inline distT="0" distB="0" distL="0" distR="0" wp14:anchorId="070A16CB" wp14:editId="06D6CA5F">
            <wp:extent cx="5490210" cy="6262777"/>
            <wp:effectExtent l="0" t="0" r="0" b="0"/>
            <wp:docPr id="2057003642" name="图片 1"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003642" name="图片 1" descr="图示, 示意图&#10;&#10;描述已自动生成"/>
                    <pic:cNvPicPr/>
                  </pic:nvPicPr>
                  <pic:blipFill rotWithShape="1">
                    <a:blip r:embed="rId14"/>
                    <a:srcRect b="19298"/>
                    <a:stretch/>
                  </pic:blipFill>
                  <pic:spPr bwMode="auto">
                    <a:xfrm>
                      <a:off x="0" y="0"/>
                      <a:ext cx="5490210" cy="6262777"/>
                    </a:xfrm>
                    <a:prstGeom prst="rect">
                      <a:avLst/>
                    </a:prstGeom>
                    <a:ln>
                      <a:noFill/>
                    </a:ln>
                    <a:extLst>
                      <a:ext uri="{53640926-AAD7-44D8-BBD7-CCE9431645EC}">
                        <a14:shadowObscured xmlns:a14="http://schemas.microsoft.com/office/drawing/2010/main"/>
                      </a:ext>
                    </a:extLst>
                  </pic:spPr>
                </pic:pic>
              </a:graphicData>
            </a:graphic>
          </wp:inline>
        </w:drawing>
      </w:r>
    </w:p>
    <w:p w14:paraId="244E1C64" w14:textId="384F568D" w:rsidR="00F36FCD" w:rsidRPr="000D31E6" w:rsidRDefault="00F36FCD" w:rsidP="00F36FCD">
      <w:pPr>
        <w:adjustRightInd w:val="0"/>
        <w:snapToGrid w:val="0"/>
        <w:spacing w:line="240" w:lineRule="exact"/>
        <w:jc w:val="both"/>
        <w:rPr>
          <w:noProof/>
          <w:color w:val="000000" w:themeColor="text1"/>
        </w:rPr>
      </w:pPr>
      <w:r w:rsidRPr="000D31E6">
        <w:rPr>
          <w:b/>
          <w:bCs/>
          <w:color w:val="000000" w:themeColor="text1"/>
        </w:rPr>
        <w:t>Fig. 3</w:t>
      </w:r>
      <w:r w:rsidRPr="000D31E6">
        <w:rPr>
          <w:b/>
          <w:bCs/>
          <w:color w:val="000000" w:themeColor="text1"/>
          <w:lang w:eastAsia="zh-CN"/>
        </w:rPr>
        <w:t xml:space="preserve"> </w:t>
      </w:r>
      <w:r w:rsidRPr="000D31E6">
        <w:rPr>
          <w:b/>
          <w:bCs/>
          <w:color w:val="000000" w:themeColor="text1"/>
        </w:rPr>
        <w:t xml:space="preserve">Multiscale validation of the digital twin brain. </w:t>
      </w:r>
      <w:r w:rsidRPr="000D31E6">
        <w:rPr>
          <w:color w:val="000000" w:themeColor="text1"/>
        </w:rPr>
        <w:t xml:space="preserve">Seven DTB builds are compared, differing in simulated neuron number, assimilated hyperparameters, and spatial resolution. Colour denotes model family (regional versus voxel); SAR and rWW benchmarks are grey. </w:t>
      </w:r>
      <w:r w:rsidRPr="000D31E6">
        <w:rPr>
          <w:b/>
          <w:bCs/>
          <w:color w:val="000000" w:themeColor="text1"/>
        </w:rPr>
        <w:t>a,</w:t>
      </w:r>
      <w:r w:rsidRPr="000D31E6">
        <w:rPr>
          <w:color w:val="000000" w:themeColor="text1"/>
        </w:rPr>
        <w:t xml:space="preserve"> Pearson correlation between simulated and measured BOLD within assimilated regions, averaged across assimilated voxels; 12 participants × two tasks, 24 points per build; bars, group mean. </w:t>
      </w:r>
      <w:r w:rsidRPr="000D31E6">
        <w:rPr>
          <w:b/>
          <w:bCs/>
          <w:color w:val="000000" w:themeColor="text1"/>
        </w:rPr>
        <w:t>b,</w:t>
      </w:r>
      <w:r w:rsidRPr="000D31E6">
        <w:rPr>
          <w:color w:val="000000" w:themeColor="text1"/>
        </w:rPr>
        <w:t xml:space="preserve"> whole-brain FC similarity, mean ± s.d. across 12 twins, quantified as Pearson's correlation between simulated and measured FC across 23,436 edges among 217 nodes for each task condition; n = 12 per point. </w:t>
      </w:r>
      <w:r w:rsidRPr="000D31E6">
        <w:rPr>
          <w:b/>
          <w:bCs/>
          <w:color w:val="000000" w:themeColor="text1"/>
        </w:rPr>
        <w:t>c,</w:t>
      </w:r>
      <w:r w:rsidRPr="000D31E6">
        <w:rPr>
          <w:color w:val="000000" w:themeColor="text1"/>
        </w:rPr>
        <w:t xml:space="preserve"> simulation error of the 12-edge NP profile relative to empirical values; median, 25th-75th percentiles, and 1.5 × IQR whiskers, all 12 twins overplotted. </w:t>
      </w:r>
      <w:r w:rsidRPr="000D31E6">
        <w:rPr>
          <w:b/>
          <w:bCs/>
          <w:color w:val="000000" w:themeColor="text1"/>
        </w:rPr>
        <w:t>d,</w:t>
      </w:r>
      <w:r w:rsidRPr="000D31E6">
        <w:rPr>
          <w:color w:val="000000" w:themeColor="text1"/>
        </w:rPr>
        <w:t xml:space="preserve"> run-to-run variability, quantified as the mean across twins of the within-</w:t>
      </w:r>
      <w:r w:rsidRPr="000D31E6">
        <w:rPr>
          <w:color w:val="000000" w:themeColor="text1"/>
        </w:rPr>
        <w:lastRenderedPageBreak/>
        <w:t xml:space="preserve">subject s.d. of the NP factor across five repeats; error bars, s.d. across twins; the single-run 10 M voxel build using its own hyperparameters is omitted. </w:t>
      </w:r>
      <w:r w:rsidRPr="000D31E6">
        <w:rPr>
          <w:b/>
          <w:bCs/>
          <w:color w:val="000000" w:themeColor="text1"/>
        </w:rPr>
        <w:t xml:space="preserve">e, </w:t>
      </w:r>
      <w:r w:rsidRPr="000D31E6">
        <w:rPr>
          <w:color w:val="000000" w:themeColor="text1"/>
        </w:rPr>
        <w:t xml:space="preserve">NP factor across AMPA (upper; 9 settings, 0.0020-0.0052) and GABA-A (lower; 5 settings, 0.0020-0.0040) conductance sweeps in three 100-million-neuron DTBs (HC, MDD, AUD). Colour denotes perturbation; marker and dash pattern are twins; vertical dashed line and bold tick indicate AMPA 0.0044 and GABA-A 0.0040. </w:t>
      </w:r>
      <w:r w:rsidRPr="000D31E6">
        <w:rPr>
          <w:b/>
          <w:bCs/>
          <w:color w:val="000000" w:themeColor="text1"/>
        </w:rPr>
        <w:t>f,</w:t>
      </w:r>
      <w:r w:rsidRPr="000D31E6">
        <w:rPr>
          <w:color w:val="000000" w:themeColor="text1"/>
        </w:rPr>
        <w:t xml:space="preserve"> change in summed NP after AMPA and GABA-A perturbation across all seven builds; points, twins; bars, group mean; n = 12 per build × perturbation. </w:t>
      </w:r>
      <w:r w:rsidRPr="000D31E6">
        <w:rPr>
          <w:noProof/>
          <w:color w:val="000000" w:themeColor="text1"/>
        </w:rPr>
        <w:br w:type="page"/>
      </w:r>
    </w:p>
    <w:p w14:paraId="63A3E34B" w14:textId="308F35CF" w:rsidR="00F36FCD" w:rsidRPr="008A32B0" w:rsidRDefault="00DB4860" w:rsidP="00F36FCD">
      <w:pPr>
        <w:adjustRightInd w:val="0"/>
        <w:snapToGrid w:val="0"/>
        <w:spacing w:line="480" w:lineRule="auto"/>
        <w:jc w:val="both"/>
        <w:rPr>
          <w:color w:val="000000" w:themeColor="text1"/>
          <w:lang w:eastAsia="zh-CN"/>
        </w:rPr>
      </w:pPr>
      <w:r w:rsidRPr="008A32B0">
        <w:rPr>
          <w:noProof/>
          <w:color w:val="000000" w:themeColor="text1"/>
          <w:lang w:eastAsia="zh-CN"/>
        </w:rPr>
        <w:lastRenderedPageBreak/>
        <w:drawing>
          <wp:inline distT="0" distB="0" distL="0" distR="0" wp14:anchorId="01101793" wp14:editId="1CCB2F39">
            <wp:extent cx="5490210" cy="4986068"/>
            <wp:effectExtent l="0" t="0" r="0" b="5080"/>
            <wp:docPr id="841415088" name="图片 3"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415088" name="图片 3" descr="图示, 示意图&#10;&#10;描述已自动生成"/>
                    <pic:cNvPicPr/>
                  </pic:nvPicPr>
                  <pic:blipFill rotWithShape="1">
                    <a:blip r:embed="rId15"/>
                    <a:srcRect b="35749"/>
                    <a:stretch/>
                  </pic:blipFill>
                  <pic:spPr bwMode="auto">
                    <a:xfrm>
                      <a:off x="0" y="0"/>
                      <a:ext cx="5490210" cy="4986068"/>
                    </a:xfrm>
                    <a:prstGeom prst="rect">
                      <a:avLst/>
                    </a:prstGeom>
                    <a:ln>
                      <a:noFill/>
                    </a:ln>
                    <a:extLst>
                      <a:ext uri="{53640926-AAD7-44D8-BBD7-CCE9431645EC}">
                        <a14:shadowObscured xmlns:a14="http://schemas.microsoft.com/office/drawing/2010/main"/>
                      </a:ext>
                    </a:extLst>
                  </pic:spPr>
                </pic:pic>
              </a:graphicData>
            </a:graphic>
          </wp:inline>
        </w:drawing>
      </w:r>
    </w:p>
    <w:p w14:paraId="2153B294" w14:textId="4C770B46" w:rsidR="00F36FCD" w:rsidRPr="008A32B0" w:rsidRDefault="00F36FCD" w:rsidP="00F36FCD">
      <w:pPr>
        <w:adjustRightInd w:val="0"/>
        <w:snapToGrid w:val="0"/>
        <w:spacing w:line="240" w:lineRule="exact"/>
        <w:jc w:val="both"/>
        <w:rPr>
          <w:bCs/>
          <w:color w:val="000000" w:themeColor="text1"/>
          <w:lang w:eastAsia="zh-CN"/>
        </w:rPr>
      </w:pPr>
      <w:r w:rsidRPr="008A32B0">
        <w:rPr>
          <w:b/>
          <w:bCs/>
          <w:color w:val="000000" w:themeColor="text1"/>
        </w:rPr>
        <w:t>Figure 4 Virtual perturbation stratifies individuals.</w:t>
      </w:r>
      <w:r w:rsidRPr="008A32B0">
        <w:rPr>
          <w:b/>
          <w:color w:val="000000" w:themeColor="text1"/>
        </w:rPr>
        <w:t xml:space="preserve"> </w:t>
      </w:r>
      <w:commentRangeStart w:id="10"/>
      <w:r w:rsidRPr="008A32B0">
        <w:rPr>
          <w:color w:val="000000" w:themeColor="text1"/>
        </w:rPr>
        <w:t>Sample:</w:t>
      </w:r>
      <w:commentRangeEnd w:id="10"/>
      <w:r w:rsidRPr="008A32B0">
        <w:rPr>
          <w:rStyle w:val="affb"/>
          <w:bCs/>
          <w:color w:val="000000" w:themeColor="text1"/>
          <w:sz w:val="22"/>
          <w:szCs w:val="22"/>
        </w:rPr>
        <w:commentReference w:id="10"/>
      </w:r>
      <w:r w:rsidRPr="008A32B0">
        <w:rPr>
          <w:bCs/>
          <w:color w:val="000000" w:themeColor="text1"/>
        </w:rPr>
        <w:t xml:space="preserve"> n = 288 digital twins (HC 69, high-symptom 89, patients 130). </w:t>
      </w:r>
      <w:r w:rsidRPr="008A32B0">
        <w:rPr>
          <w:b/>
          <w:color w:val="000000" w:themeColor="text1"/>
        </w:rPr>
        <w:t>a-d</w:t>
      </w:r>
      <w:r w:rsidRPr="008A32B0">
        <w:rPr>
          <w:bCs/>
          <w:color w:val="000000" w:themeColor="text1"/>
        </w:rPr>
        <w:t xml:space="preserve">, NP factor by group for measured (a), simulated baseline (b), AMPA (c), and GABA-A (d). NP was residualised for sex, site, and mean head motion (mean FD) and refitted on these 288 subjects. Box plots show median, 25th-75th percentiles, and 1.5 × IQR whisker. One-way ANOVA, F(2,285): </w:t>
      </w:r>
      <w:r w:rsidRPr="008A32B0">
        <w:rPr>
          <w:b/>
          <w:color w:val="000000" w:themeColor="text1"/>
        </w:rPr>
        <w:t>a,</w:t>
      </w:r>
      <w:r w:rsidRPr="008A32B0">
        <w:rPr>
          <w:bCs/>
          <w:color w:val="000000" w:themeColor="text1"/>
        </w:rPr>
        <w:t xml:space="preserve"> F = 8.20, P = 0.0003; </w:t>
      </w:r>
      <w:r w:rsidRPr="008A32B0">
        <w:rPr>
          <w:b/>
          <w:color w:val="000000" w:themeColor="text1"/>
        </w:rPr>
        <w:t>b,</w:t>
      </w:r>
      <w:r w:rsidRPr="008A32B0">
        <w:rPr>
          <w:bCs/>
          <w:color w:val="000000" w:themeColor="text1"/>
        </w:rPr>
        <w:t xml:space="preserve"> F = 9.22, P = 0.0001; </w:t>
      </w:r>
      <w:r w:rsidRPr="008A32B0">
        <w:rPr>
          <w:b/>
          <w:color w:val="000000" w:themeColor="text1"/>
        </w:rPr>
        <w:t xml:space="preserve">c, </w:t>
      </w:r>
      <w:r w:rsidRPr="008A32B0">
        <w:rPr>
          <w:bCs/>
          <w:color w:val="000000" w:themeColor="text1"/>
        </w:rPr>
        <w:t xml:space="preserve">F = 0.95, P = 0.39; </w:t>
      </w:r>
      <w:r w:rsidRPr="008A32B0">
        <w:rPr>
          <w:b/>
          <w:color w:val="000000" w:themeColor="text1"/>
        </w:rPr>
        <w:t>d,</w:t>
      </w:r>
      <w:r w:rsidRPr="008A32B0">
        <w:rPr>
          <w:bCs/>
          <w:color w:val="000000" w:themeColor="text1"/>
        </w:rPr>
        <w:t xml:space="preserve"> F = 0.85, P = 0.43. Pairwise two-sided </w:t>
      </w:r>
      <w:r w:rsidRPr="008A32B0">
        <w:rPr>
          <w:bCs/>
          <w:noProof/>
          <w:color w:val="000000" w:themeColor="text1"/>
        </w:rPr>
        <w:t>Welch</w:t>
      </w:r>
      <w:r w:rsidRPr="008A32B0">
        <w:rPr>
          <w:bCs/>
          <w:color w:val="000000" w:themeColor="text1"/>
        </w:rPr>
        <w:t xml:space="preserve"> t-tests were corrected within each panel using Benjamini-Hochberg FDR.  *q &lt;0.05, **q &lt;0.01, ***q &lt;0.001; n.s., not significant. </w:t>
      </w:r>
      <w:r w:rsidRPr="008A32B0">
        <w:rPr>
          <w:b/>
          <w:color w:val="000000" w:themeColor="text1"/>
        </w:rPr>
        <w:t>e,</w:t>
      </w:r>
      <w:r w:rsidRPr="008A32B0">
        <w:rPr>
          <w:bCs/>
          <w:color w:val="000000" w:themeColor="text1"/>
        </w:rPr>
        <w:t xml:space="preserve"> HC-patient separation across the four conditions. Cohen’s d (95% CI), n = 69 HC versus 130 patients; two-sided t tests, uncorrected: measured, d = 0.62 (0.32-0.92), Welch t(135.0) = 4.11, P &lt; 0.0001; simulated baseline, d = 0.53 (0.23-0.83), Welch t(118.1) = 3.36, P = 0.001; AMPA, d = 0.18 (</w:t>
      </w:r>
      <w:r w:rsidR="00955B9C" w:rsidRPr="008A32B0">
        <w:rPr>
          <w:bCs/>
          <w:color w:val="000000" w:themeColor="text1"/>
        </w:rPr>
        <w:t>-</w:t>
      </w:r>
      <w:r w:rsidRPr="008A32B0">
        <w:rPr>
          <w:bCs/>
          <w:color w:val="000000" w:themeColor="text1"/>
        </w:rPr>
        <w:t>0.11-0.47), Welch t(137.0) = 1.19, P = 0.23; GABA-A, d = 0.05 (</w:t>
      </w:r>
      <w:r w:rsidR="00955B9C" w:rsidRPr="008A32B0">
        <w:rPr>
          <w:bCs/>
          <w:color w:val="000000" w:themeColor="text1"/>
        </w:rPr>
        <w:t>-</w:t>
      </w:r>
      <w:r w:rsidRPr="008A32B0">
        <w:rPr>
          <w:bCs/>
          <w:color w:val="000000" w:themeColor="text1"/>
        </w:rPr>
        <w:t xml:space="preserve">0.24-0.34), Welch t(155.3) = 0.33, P = 0.74. </w:t>
      </w:r>
      <w:r w:rsidRPr="008A32B0">
        <w:rPr>
          <w:b/>
          <w:color w:val="000000" w:themeColor="text1"/>
        </w:rPr>
        <w:t>f,</w:t>
      </w:r>
      <w:r w:rsidRPr="008A32B0">
        <w:rPr>
          <w:bCs/>
          <w:color w:val="000000" w:themeColor="text1"/>
        </w:rPr>
        <w:t xml:space="preserve"> within-subject effects of perturbation on the 12-edge NP factor. Paired t tests versus baseline, n = 288, df = 287, AMPA, 0.78 ± 0.93, t = 14.14, Cohen’s dz = 0.83, 234/288 increased; GABA-A, 2.74 ± 1.71, t = 27.11, dz = 1.60, 282/288 increased; both P &lt;0.0001. Box plots show median, 25th-75th percentiles, and 1.5 × IQR whiskers; the axis is cropped to the whiskers, with 7/864 values beyond them not shown. </w:t>
      </w:r>
      <w:r w:rsidRPr="008A32B0">
        <w:rPr>
          <w:b/>
          <w:color w:val="000000" w:themeColor="text1"/>
        </w:rPr>
        <w:t>g,</w:t>
      </w:r>
      <w:r w:rsidRPr="008A32B0">
        <w:rPr>
          <w:bCs/>
          <w:color w:val="000000" w:themeColor="text1"/>
        </w:rPr>
        <w:t xml:space="preserve"> change under AMPA versus GABA-A; 229/288 (79.5%) increased under both, while 59 had at least one decrease. </w:t>
      </w:r>
      <w:r w:rsidRPr="008A32B0">
        <w:rPr>
          <w:b/>
          <w:color w:val="000000" w:themeColor="text1"/>
        </w:rPr>
        <w:t xml:space="preserve">h, </w:t>
      </w:r>
      <w:r w:rsidRPr="008A32B0">
        <w:rPr>
          <w:bCs/>
          <w:color w:val="000000" w:themeColor="text1"/>
        </w:rPr>
        <w:t xml:space="preserve">response pattern by clinical group, </w:t>
      </w:r>
      <w:r w:rsidRPr="008A32B0">
        <w:rPr>
          <w:rFonts w:ascii="Cambria" w:hAnsi="Cambria" w:cs="Cambria"/>
          <w:bCs/>
          <w:color w:val="000000" w:themeColor="text1"/>
        </w:rPr>
        <w:t>χ</w:t>
      </w:r>
      <w:r w:rsidRPr="000D31E6">
        <w:rPr>
          <w:rFonts w:cs="Cambria"/>
          <w:bCs/>
          <w:color w:val="000000" w:themeColor="text1"/>
        </w:rPr>
        <w:t>²(2) = 14.17, P = 0.0008</w:t>
      </w:r>
      <w:r w:rsidRPr="008A32B0">
        <w:rPr>
          <w:bCs/>
          <w:color w:val="000000" w:themeColor="text1"/>
        </w:rPr>
        <w:t xml:space="preserve">; both-up/total: HC, 51/69; high-symptom, 62/89; </w:t>
      </w:r>
      <w:r w:rsidRPr="008A32B0">
        <w:rPr>
          <w:bCs/>
          <w:color w:val="000000" w:themeColor="text1"/>
        </w:rPr>
        <w:lastRenderedPageBreak/>
        <w:t xml:space="preserve">patients, 116/130 (89% versus 74% in HC). </w:t>
      </w:r>
      <w:r w:rsidRPr="008A32B0">
        <w:rPr>
          <w:b/>
          <w:color w:val="000000" w:themeColor="text1"/>
        </w:rPr>
        <w:t>i,</w:t>
      </w:r>
      <w:r w:rsidRPr="008A32B0">
        <w:rPr>
          <w:bCs/>
          <w:color w:val="000000" w:themeColor="text1"/>
        </w:rPr>
        <w:t xml:space="preserve"> simulated baseline NP factor by response group: both-up, n = 229, </w:t>
      </w:r>
      <w:r w:rsidR="00955B9C" w:rsidRPr="008A32B0">
        <w:rPr>
          <w:bCs/>
          <w:color w:val="000000" w:themeColor="text1"/>
        </w:rPr>
        <w:t>-</w:t>
      </w:r>
      <w:r w:rsidRPr="008A32B0">
        <w:rPr>
          <w:bCs/>
          <w:color w:val="000000" w:themeColor="text1"/>
        </w:rPr>
        <w:t>0.57; any-down, n = 59, 0.88; two-sided Welch t(92.9) = -14.74, P &lt; 0.0001. A lower baseline in the both-up group is expected by construction, because the response score that defines the groups contains the baseline with a negative sign; the inferential test of baseline dependence is Oldham's method (Supplementary Results 4.3, Extended Data Fig. 2).</w:t>
      </w:r>
    </w:p>
    <w:p w14:paraId="22F694AF" w14:textId="4984B82D" w:rsidR="00F36FCD" w:rsidRPr="008A32B0" w:rsidRDefault="002A08BA" w:rsidP="00F36FCD">
      <w:pPr>
        <w:adjustRightInd w:val="0"/>
        <w:snapToGrid w:val="0"/>
        <w:spacing w:line="480" w:lineRule="auto"/>
        <w:jc w:val="both"/>
        <w:rPr>
          <w:color w:val="000000" w:themeColor="text1"/>
          <w:lang w:eastAsia="zh-CN"/>
        </w:rPr>
      </w:pPr>
      <w:r w:rsidRPr="008A32B0">
        <w:rPr>
          <w:noProof/>
          <w:color w:val="000000" w:themeColor="text1"/>
          <w:lang w:eastAsia="zh-CN"/>
        </w:rPr>
        <w:drawing>
          <wp:inline distT="0" distB="0" distL="0" distR="0" wp14:anchorId="039A8445" wp14:editId="3F3CBA49">
            <wp:extent cx="5490210" cy="4959626"/>
            <wp:effectExtent l="0" t="0" r="0" b="6350"/>
            <wp:docPr id="1513081356" name="图片 1" descr="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081356" name="图片 1" descr="图示&#10;&#10;描述已自动生成"/>
                    <pic:cNvPicPr/>
                  </pic:nvPicPr>
                  <pic:blipFill rotWithShape="1">
                    <a:blip r:embed="rId16"/>
                    <a:srcRect b="36090"/>
                    <a:stretch/>
                  </pic:blipFill>
                  <pic:spPr bwMode="auto">
                    <a:xfrm>
                      <a:off x="0" y="0"/>
                      <a:ext cx="5490210" cy="4959626"/>
                    </a:xfrm>
                    <a:prstGeom prst="rect">
                      <a:avLst/>
                    </a:prstGeom>
                    <a:ln>
                      <a:noFill/>
                    </a:ln>
                    <a:extLst>
                      <a:ext uri="{53640926-AAD7-44D8-BBD7-CCE9431645EC}">
                        <a14:shadowObscured xmlns:a14="http://schemas.microsoft.com/office/drawing/2010/main"/>
                      </a:ext>
                    </a:extLst>
                  </pic:spPr>
                </pic:pic>
              </a:graphicData>
            </a:graphic>
          </wp:inline>
        </w:drawing>
      </w:r>
    </w:p>
    <w:p w14:paraId="28A2D659" w14:textId="1B028145" w:rsidR="00954B3D" w:rsidRPr="008A32B0" w:rsidRDefault="00F36FCD" w:rsidP="00F36FCD">
      <w:pPr>
        <w:adjustRightInd w:val="0"/>
        <w:snapToGrid w:val="0"/>
        <w:spacing w:line="240" w:lineRule="exact"/>
        <w:jc w:val="both"/>
        <w:rPr>
          <w:b/>
          <w:color w:val="000000" w:themeColor="text1"/>
          <w:lang w:eastAsia="zh-CN"/>
        </w:rPr>
      </w:pPr>
      <w:r w:rsidRPr="008A32B0">
        <w:rPr>
          <w:b/>
          <w:bCs/>
          <w:color w:val="000000" w:themeColor="text1"/>
        </w:rPr>
        <w:t xml:space="preserve">Fig. 5 In vivo pharmacology and longitudinal association. </w:t>
      </w:r>
      <w:r w:rsidRPr="008A32B0">
        <w:rPr>
          <w:bCs/>
          <w:color w:val="000000" w:themeColor="text1"/>
        </w:rPr>
        <w:t xml:space="preserve">Healthy volunteers (n = 27) received placebo, ketamine and midazolam; </w:t>
      </w:r>
      <w:r w:rsidRPr="008A32B0">
        <w:rPr>
          <w:color w:val="000000" w:themeColor="text1"/>
        </w:rPr>
        <w:t>the clinical sample (n = 36)</w:t>
      </w:r>
      <w:r w:rsidRPr="008A32B0">
        <w:rPr>
          <w:bCs/>
          <w:color w:val="000000" w:themeColor="text1"/>
        </w:rPr>
        <w:t xml:space="preserve"> received placebo and ketamine; the digital twins in c are </w:t>
      </w:r>
      <w:r w:rsidRPr="008A32B0">
        <w:rPr>
          <w:color w:val="000000" w:themeColor="text1"/>
        </w:rPr>
        <w:t>the Fig. 4 sample (n = 288)</w:t>
      </w:r>
      <w:r w:rsidRPr="008A32B0">
        <w:rPr>
          <w:bCs/>
          <w:color w:val="000000" w:themeColor="text1"/>
        </w:rPr>
        <w:t xml:space="preserve">; and </w:t>
      </w:r>
      <w:r w:rsidRPr="008A32B0">
        <w:rPr>
          <w:color w:val="000000" w:themeColor="text1"/>
        </w:rPr>
        <w:t>the longitudinal subsample is the IMAGEN follow-up</w:t>
      </w:r>
      <w:r w:rsidRPr="008A32B0">
        <w:rPr>
          <w:bCs/>
          <w:color w:val="000000" w:themeColor="text1"/>
        </w:rPr>
        <w:t xml:space="preserve"> (n = 85). Box plots show median, 25th-75th percentiles and 1.5 × IQR whiskers, with all participants overplotted; dashed lines indicate no change. Asterisks denote two-sided one-sample t-tests against zero for single-box comparisons; brackets denote the between-group test specified below. *P &lt; 0.05, **P &lt; 0.01, ***P &lt; 0.001. </w:t>
      </w:r>
      <w:r w:rsidRPr="008A32B0">
        <w:rPr>
          <w:b/>
          <w:color w:val="000000" w:themeColor="text1"/>
        </w:rPr>
        <w:t>a,</w:t>
      </w:r>
      <w:r w:rsidRPr="008A32B0">
        <w:rPr>
          <w:bCs/>
          <w:color w:val="000000" w:themeColor="text1"/>
        </w:rPr>
        <w:t xml:space="preserve"> Change in summed MID FC from placebo in healthy volunteers (both-up, n = 8; any-down, n = 19). Ketamine: 0.59 ± 0.21 versus </w:t>
      </w:r>
      <w:r w:rsidR="00955B9C" w:rsidRPr="008A32B0">
        <w:rPr>
          <w:bCs/>
          <w:color w:val="000000" w:themeColor="text1"/>
        </w:rPr>
        <w:t>-</w:t>
      </w:r>
      <w:r w:rsidRPr="008A32B0">
        <w:rPr>
          <w:bCs/>
          <w:color w:val="000000" w:themeColor="text1"/>
        </w:rPr>
        <w:t xml:space="preserve">0.25 ± 0.58; midazolam: 0.72 ± 0.66 versus </w:t>
      </w:r>
      <w:r w:rsidR="00955B9C" w:rsidRPr="008A32B0">
        <w:rPr>
          <w:bCs/>
          <w:color w:val="000000" w:themeColor="text1"/>
        </w:rPr>
        <w:t>-</w:t>
      </w:r>
      <w:r w:rsidRPr="008A32B0">
        <w:rPr>
          <w:bCs/>
          <w:color w:val="000000" w:themeColor="text1"/>
        </w:rPr>
        <w:t xml:space="preserve">0.30 ± 0.61 (mean ± s.d.). </w:t>
      </w:r>
      <w:r w:rsidRPr="000D31E6">
        <w:rPr>
          <w:bCs/>
          <w:color w:val="000000" w:themeColor="text1"/>
        </w:rPr>
        <w:t xml:space="preserve">Descriptive only; no test was applied because groups are defined by the sign of the plotted quantity. </w:t>
      </w:r>
      <w:r w:rsidRPr="008A32B0">
        <w:rPr>
          <w:b/>
          <w:color w:val="000000" w:themeColor="text1"/>
        </w:rPr>
        <w:t xml:space="preserve">b, </w:t>
      </w:r>
      <w:r w:rsidR="00D33E08" w:rsidRPr="008A32B0">
        <w:rPr>
          <w:bCs/>
          <w:color w:val="000000" w:themeColor="text1"/>
          <w:lang w:eastAsia="zh-CN"/>
        </w:rPr>
        <w:t xml:space="preserve">Summed MID FC during the drug-free placebo session in volunteers, by </w:t>
      </w:r>
      <w:r w:rsidR="00D33E08" w:rsidRPr="000D31E6">
        <w:rPr>
          <w:bCs/>
          <w:color w:val="000000" w:themeColor="text1"/>
          <w:lang w:eastAsia="zh-CN"/>
        </w:rPr>
        <w:t>drug</w:t>
      </w:r>
      <w:r w:rsidR="00D33E08" w:rsidRPr="008A32B0">
        <w:rPr>
          <w:bCs/>
          <w:color w:val="000000" w:themeColor="text1"/>
          <w:lang w:eastAsia="zh-CN"/>
        </w:rPr>
        <w:t xml:space="preserve"> response group; Welch’s t = </w:t>
      </w:r>
      <w:r w:rsidR="00955B9C" w:rsidRPr="008A32B0">
        <w:rPr>
          <w:bCs/>
          <w:color w:val="000000" w:themeColor="text1"/>
          <w:lang w:eastAsia="zh-CN"/>
        </w:rPr>
        <w:t>-</w:t>
      </w:r>
      <w:r w:rsidR="00D33E08" w:rsidRPr="008A32B0">
        <w:rPr>
          <w:bCs/>
          <w:color w:val="000000" w:themeColor="text1"/>
          <w:lang w:eastAsia="zh-CN"/>
        </w:rPr>
        <w:t>2.83, P = 0.01</w:t>
      </w:r>
      <w:r w:rsidRPr="008A32B0">
        <w:rPr>
          <w:bCs/>
          <w:color w:val="000000" w:themeColor="text1"/>
        </w:rPr>
        <w:t xml:space="preserve">. </w:t>
      </w:r>
      <w:r w:rsidRPr="008A32B0">
        <w:rPr>
          <w:b/>
          <w:color w:val="000000" w:themeColor="text1"/>
        </w:rPr>
        <w:t>c,</w:t>
      </w:r>
      <w:r w:rsidRPr="008A32B0">
        <w:rPr>
          <w:bCs/>
          <w:color w:val="000000" w:themeColor="text1"/>
        </w:rPr>
        <w:t xml:space="preserve"> Corresponding </w:t>
      </w:r>
      <w:r w:rsidRPr="008A32B0">
        <w:rPr>
          <w:bCs/>
          <w:color w:val="000000" w:themeColor="text1"/>
        </w:rPr>
        <w:lastRenderedPageBreak/>
        <w:t xml:space="preserve">comparison in digital twins (n = 288), with groups defined by Fig. 4 (both-up, n = 229; any-down, n = 59): simulated baseline MID FC, </w:t>
      </w:r>
      <w:r w:rsidR="00955B9C" w:rsidRPr="008A32B0">
        <w:rPr>
          <w:bCs/>
          <w:color w:val="000000" w:themeColor="text1"/>
        </w:rPr>
        <w:t>-</w:t>
      </w:r>
      <w:r w:rsidRPr="008A32B0">
        <w:rPr>
          <w:bCs/>
          <w:color w:val="000000" w:themeColor="text1"/>
        </w:rPr>
        <w:t xml:space="preserve">0.31 ± 0.58 versus 0.22 ± 0.51; Welch t = </w:t>
      </w:r>
      <w:r w:rsidR="00955B9C" w:rsidRPr="008A32B0">
        <w:rPr>
          <w:bCs/>
          <w:color w:val="000000" w:themeColor="text1"/>
        </w:rPr>
        <w:t>-</w:t>
      </w:r>
      <w:r w:rsidRPr="008A32B0">
        <w:rPr>
          <w:bCs/>
          <w:color w:val="000000" w:themeColor="text1"/>
        </w:rPr>
        <w:t xml:space="preserve">6.95, P &lt; 0.0001. </w:t>
      </w:r>
      <w:r w:rsidRPr="008A32B0">
        <w:rPr>
          <w:b/>
          <w:color w:val="000000" w:themeColor="text1"/>
        </w:rPr>
        <w:t>d,</w:t>
      </w:r>
      <w:r w:rsidRPr="008A32B0">
        <w:rPr>
          <w:bCs/>
          <w:color w:val="000000" w:themeColor="text1"/>
        </w:rPr>
        <w:t xml:space="preserve"> Ketamine-induced change in NP FC </w:t>
      </w:r>
      <w:r w:rsidRPr="008A32B0">
        <w:rPr>
          <w:color w:val="000000" w:themeColor="text1"/>
        </w:rPr>
        <w:t>in the clinical sample (MDD</w:t>
      </w:r>
      <w:r w:rsidRPr="008A32B0">
        <w:rPr>
          <w:bCs/>
          <w:color w:val="000000" w:themeColor="text1"/>
        </w:rPr>
        <w:t xml:space="preserve">, n = 22; HC, n = 14): 0.87 versus </w:t>
      </w:r>
      <w:r w:rsidR="00955B9C" w:rsidRPr="008A32B0">
        <w:rPr>
          <w:bCs/>
          <w:color w:val="000000" w:themeColor="text1"/>
        </w:rPr>
        <w:t>-</w:t>
      </w:r>
      <w:r w:rsidRPr="008A32B0">
        <w:rPr>
          <w:bCs/>
          <w:color w:val="000000" w:themeColor="text1"/>
        </w:rPr>
        <w:t xml:space="preserve">0.93. Group coefficient from OLS adjusted for age, sex, infusion order, and placebo-session mean framewise displacement: </w:t>
      </w:r>
      <w:r w:rsidRPr="008A32B0">
        <w:rPr>
          <w:rFonts w:ascii="Cambria" w:hAnsi="Cambria" w:cs="Cambria"/>
          <w:bCs/>
          <w:color w:val="000000" w:themeColor="text1"/>
        </w:rPr>
        <w:t>β</w:t>
      </w:r>
      <w:r w:rsidRPr="008A32B0">
        <w:rPr>
          <w:bCs/>
          <w:color w:val="000000" w:themeColor="text1"/>
        </w:rPr>
        <w:t xml:space="preserve"> = 2.43, t = 3.43, df = 30, P = 0.0018. </w:t>
      </w:r>
      <w:r w:rsidRPr="008A32B0">
        <w:rPr>
          <w:b/>
          <w:color w:val="000000" w:themeColor="text1"/>
        </w:rPr>
        <w:t>e,</w:t>
      </w:r>
      <w:r w:rsidRPr="008A32B0">
        <w:rPr>
          <w:bCs/>
          <w:color w:val="000000" w:themeColor="text1"/>
        </w:rPr>
        <w:t xml:space="preserve"> Placebo NP FC </w:t>
      </w:r>
      <w:r w:rsidRPr="008A32B0">
        <w:rPr>
          <w:color w:val="000000" w:themeColor="text1"/>
        </w:rPr>
        <w:t>in the same sample and adjusted</w:t>
      </w:r>
      <w:r w:rsidRPr="008A32B0">
        <w:rPr>
          <w:bCs/>
          <w:color w:val="000000" w:themeColor="text1"/>
        </w:rPr>
        <w:t xml:space="preserve"> model: </w:t>
      </w:r>
      <w:r w:rsidRPr="008A32B0">
        <w:rPr>
          <w:rFonts w:ascii="Cambria" w:hAnsi="Cambria" w:cs="Cambria"/>
          <w:bCs/>
          <w:color w:val="000000" w:themeColor="text1"/>
        </w:rPr>
        <w:t>β</w:t>
      </w:r>
      <w:r w:rsidRPr="008A32B0">
        <w:rPr>
          <w:bCs/>
          <w:color w:val="000000" w:themeColor="text1"/>
        </w:rPr>
        <w:t xml:space="preserve"> = </w:t>
      </w:r>
      <w:r w:rsidR="00955B9C" w:rsidRPr="008A32B0">
        <w:rPr>
          <w:bCs/>
          <w:color w:val="000000" w:themeColor="text1"/>
        </w:rPr>
        <w:t>-</w:t>
      </w:r>
      <w:r w:rsidRPr="008A32B0">
        <w:rPr>
          <w:bCs/>
          <w:color w:val="000000" w:themeColor="text1"/>
        </w:rPr>
        <w:t xml:space="preserve">1.11, t = </w:t>
      </w:r>
      <w:r w:rsidR="00955B9C" w:rsidRPr="008A32B0">
        <w:rPr>
          <w:bCs/>
          <w:color w:val="000000" w:themeColor="text1"/>
        </w:rPr>
        <w:t>-</w:t>
      </w:r>
      <w:r w:rsidRPr="008A32B0">
        <w:rPr>
          <w:bCs/>
          <w:color w:val="000000" w:themeColor="text1"/>
        </w:rPr>
        <w:t xml:space="preserve">2.51, df = 35, P = 0.017 (n = 41, all participants with a placebo session). </w:t>
      </w:r>
      <w:r w:rsidRPr="008A32B0">
        <w:rPr>
          <w:b/>
          <w:color w:val="000000" w:themeColor="text1"/>
        </w:rPr>
        <w:t>f,</w:t>
      </w:r>
      <w:r w:rsidRPr="008A32B0">
        <w:rPr>
          <w:bCs/>
          <w:color w:val="000000" w:themeColor="text1"/>
        </w:rPr>
        <w:t xml:space="preserve"> Change in NP FC versus change in symptom PC1 in patients (n = 22); both axes residualised for baseline severity, age, infusion order and placebo-session mean framewise displacement: partial r = </w:t>
      </w:r>
      <w:r w:rsidR="00955B9C" w:rsidRPr="008A32B0">
        <w:rPr>
          <w:bCs/>
          <w:color w:val="000000" w:themeColor="text1"/>
        </w:rPr>
        <w:t>-</w:t>
      </w:r>
      <w:r w:rsidRPr="008A32B0">
        <w:rPr>
          <w:bCs/>
          <w:color w:val="000000" w:themeColor="text1"/>
        </w:rPr>
        <w:t xml:space="preserve">0.56, P = 0.016, residual df = 16. </w:t>
      </w:r>
      <w:r w:rsidRPr="008A32B0">
        <w:rPr>
          <w:b/>
          <w:color w:val="000000" w:themeColor="text1"/>
        </w:rPr>
        <w:t>g,</w:t>
      </w:r>
      <w:r w:rsidRPr="008A32B0">
        <w:rPr>
          <w:bCs/>
          <w:color w:val="000000" w:themeColor="text1"/>
        </w:rPr>
        <w:t xml:space="preserve"> Similarity of the ketamine state to the AMPA-perturbed digital twin versus </w:t>
      </w:r>
      <w:r w:rsidR="00162180" w:rsidRPr="008A32B0">
        <w:rPr>
          <w:bCs/>
          <w:color w:val="000000" w:themeColor="text1"/>
        </w:rPr>
        <w:t>depression symptom</w:t>
      </w:r>
      <w:r w:rsidR="0013091D" w:rsidRPr="008A32B0">
        <w:rPr>
          <w:bCs/>
          <w:color w:val="000000" w:themeColor="text1"/>
        </w:rPr>
        <w:t xml:space="preserve"> </w:t>
      </w:r>
      <w:r w:rsidR="00162180" w:rsidRPr="008A32B0">
        <w:rPr>
          <w:bCs/>
          <w:color w:val="000000" w:themeColor="text1"/>
        </w:rPr>
        <w:t>(</w:t>
      </w:r>
      <w:r w:rsidR="00F21DD6" w:rsidRPr="000D31E6">
        <w:rPr>
          <w:bCs/>
          <w:color w:val="000000" w:themeColor="text1"/>
          <w:lang w:eastAsia="zh-CN"/>
        </w:rPr>
        <w:t xml:space="preserve">assessed </w:t>
      </w:r>
      <w:r w:rsidR="00F21DD6" w:rsidRPr="008A32B0">
        <w:rPr>
          <w:bCs/>
          <w:color w:val="000000" w:themeColor="text1"/>
          <w:lang w:eastAsia="zh-CN"/>
        </w:rPr>
        <w:t xml:space="preserve">by </w:t>
      </w:r>
      <w:r w:rsidR="00162180" w:rsidRPr="000D31E6">
        <w:rPr>
          <w:rFonts w:eastAsiaTheme="minorHAnsi" w:cs="Times New Roman"/>
          <w:lang w:val="en-GB"/>
        </w:rPr>
        <w:t>Montgomery-Åsberg Depression Rating Scale)</w:t>
      </w:r>
      <w:r w:rsidR="00162180" w:rsidRPr="000D31E6">
        <w:rPr>
          <w:rFonts w:eastAsiaTheme="minorHAnsi" w:cs="Times New Roman"/>
          <w:color w:val="0070C0"/>
          <w:lang w:eastAsia="zh-CN"/>
        </w:rPr>
        <w:fldChar w:fldCharType="begin"/>
      </w:r>
      <w:r w:rsidR="00162180" w:rsidRPr="000D31E6">
        <w:rPr>
          <w:rFonts w:eastAsiaTheme="minorHAnsi" w:cs="Times New Roman"/>
          <w:color w:val="0070C0"/>
          <w:lang w:eastAsia="zh-CN"/>
        </w:rPr>
        <w:instrText xml:space="preserve"> ADDIN ZOTERO_ITEM CSL_CITATION {"citationID":"DIx3XJMf","properties":{"unsorted":false,"formattedCitation":"\\super 10\\nosupersub{}","plainCitation":"10","noteIndex":0},"citationItems":[{"id":3115,"uris":["http://zotero.org/users/7033572/items/FFAQGDGK"],"itemData":{"id":3115,"type":"article-journal","abstract":"The construction of a depression rating scale designed to be particularly sensitive to treatment effects is described. Ratings of 54 English and 52 Swedish patients on a 65 item comprehensive psychopathology scale were used to identify the 17 most commonly occurring symptoms in primary depressive illness in the combined sample. Ratings on these 17 items for 64 patients participating in studies of four different antidepressant drugs were used to create a depression scale consisting of the 10 items which showed the largest changes with treatment and the highest correlation to overall change. The inner-rater reliability of the new depression scale was high. Scores on the scale correlated significantly with scores on a standard rating scale for depression, the Hamilton Rating Scale (HRS), indicating its validity as a general severity estimate. Its capacity to differentiate between responders and non-responders to antidepressant treatment was better than the HRS, indicating greater sensitivity to change. The practical and ethical implications in terms of smaller sample sizes in clinical trials are discussed.","container-title":"The British Journal of Psychiatry: The Journal of Mental Science","DOI":"10.1192/bjp.134.4.382","ISSN":"0007-1250","journalAbbreviation":"Br J Psychiatry","language":"eng","page":"382-389","PMID":"444788","source":"PubMed","title":"A new depression scale designed to be sensitive to change","volume":"134","author":[{"family":"Montgomery","given":"S. A."},{"family":"Asberg","given":"M."}],"issued":{"date-parts":[["1979",4]]}}}],"schema":"https://github.com/citation-style-language/schema/raw/master/csl-citation.json"} </w:instrText>
      </w:r>
      <w:r w:rsidR="00162180" w:rsidRPr="000D31E6">
        <w:rPr>
          <w:rFonts w:eastAsiaTheme="minorHAnsi" w:cs="Times New Roman"/>
          <w:color w:val="0070C0"/>
          <w:lang w:eastAsia="zh-CN"/>
        </w:rPr>
        <w:fldChar w:fldCharType="separate"/>
      </w:r>
      <w:r w:rsidR="00162180" w:rsidRPr="008A32B0">
        <w:rPr>
          <w:rFonts w:cs="Times New Roman"/>
          <w:vertAlign w:val="superscript"/>
          <w:lang w:eastAsia="zh-CN"/>
        </w:rPr>
        <w:t>10</w:t>
      </w:r>
      <w:r w:rsidR="00162180" w:rsidRPr="000D31E6">
        <w:rPr>
          <w:rFonts w:eastAsiaTheme="minorHAnsi" w:cs="Times New Roman"/>
          <w:color w:val="0070C0"/>
          <w:lang w:eastAsia="zh-CN"/>
        </w:rPr>
        <w:fldChar w:fldCharType="end"/>
      </w:r>
      <w:r w:rsidR="00162180" w:rsidRPr="008A32B0">
        <w:rPr>
          <w:bCs/>
          <w:color w:val="000000" w:themeColor="text1"/>
        </w:rPr>
        <w:t xml:space="preserve"> </w:t>
      </w:r>
      <w:r w:rsidRPr="008A32B0">
        <w:rPr>
          <w:bCs/>
          <w:color w:val="000000" w:themeColor="text1"/>
        </w:rPr>
        <w:t>change</w:t>
      </w:r>
      <w:r w:rsidR="00162180" w:rsidRPr="008A32B0">
        <w:rPr>
          <w:bCs/>
          <w:color w:val="000000" w:themeColor="text1"/>
        </w:rPr>
        <w:t xml:space="preserve"> </w:t>
      </w:r>
      <w:r w:rsidRPr="008A32B0">
        <w:rPr>
          <w:bCs/>
          <w:color w:val="000000" w:themeColor="text1"/>
        </w:rPr>
        <w:t xml:space="preserve"> (n = 22); both variables residualised for age, sex, infusion order and placebo-session mean framewise displacement: Spearman </w:t>
      </w:r>
      <w:r w:rsidRPr="000D31E6">
        <w:rPr>
          <w:rFonts w:ascii="Cambria" w:hAnsi="Cambria" w:cs="Cambria"/>
          <w:bCs/>
          <w:color w:val="000000" w:themeColor="text1"/>
        </w:rPr>
        <w:t>ρ</w:t>
      </w:r>
      <w:r w:rsidRPr="008A32B0">
        <w:rPr>
          <w:bCs/>
          <w:color w:val="000000" w:themeColor="text1"/>
        </w:rPr>
        <w:t xml:space="preserve"> = -0.56, Pperm = 0.0068, qFDR = 0.027 after Benjamini-Hochberg correction across the four symptom measures. </w:t>
      </w:r>
      <w:r w:rsidRPr="008A32B0">
        <w:rPr>
          <w:b/>
          <w:color w:val="000000" w:themeColor="text1"/>
        </w:rPr>
        <w:t xml:space="preserve">h, </w:t>
      </w:r>
      <w:r w:rsidRPr="000D31E6">
        <w:rPr>
          <w:bCs/>
          <w:color w:val="000000" w:themeColor="text1"/>
        </w:rPr>
        <w:t>Leave-one-out predicted versus observed four-year symptom change from the 12 simulated NP edges, with sex, recruitment site and mean framewise displacement included as covariates in every model (n = 85): r = 0.32, P</w:t>
      </w:r>
      <w:r w:rsidR="008A32B0" w:rsidRPr="000D31E6">
        <w:rPr>
          <w:bCs/>
          <w:color w:val="000000" w:themeColor="text1"/>
          <w:vertAlign w:val="subscript"/>
        </w:rPr>
        <w:t>perm</w:t>
      </w:r>
      <w:r w:rsidRPr="000D31E6">
        <w:rPr>
          <w:bCs/>
          <w:color w:val="000000" w:themeColor="text1"/>
        </w:rPr>
        <w:t xml:space="preserve"> = 0.0088 (5,000 permutations); in-sample R² = 0.42, F(21,63) = 2.15, P = 0.0103</w:t>
      </w:r>
      <w:r w:rsidRPr="008A32B0">
        <w:rPr>
          <w:b/>
          <w:color w:val="000000" w:themeColor="text1"/>
        </w:rPr>
        <w:t>.</w:t>
      </w:r>
      <w:r w:rsidR="00954B3D" w:rsidRPr="008A32B0">
        <w:rPr>
          <w:bCs/>
        </w:rPr>
        <w:t xml:space="preserve"> Negative values indicate symptom reduction; the line shows the ordinary least-squares fit with a 95% confidence band. </w:t>
      </w:r>
      <w:r w:rsidR="00954B3D" w:rsidRPr="008A32B0">
        <w:rPr>
          <w:b/>
        </w:rPr>
        <w:t xml:space="preserve">i, </w:t>
      </w:r>
      <w:r w:rsidR="00954B3D" w:rsidRPr="000D31E6">
        <w:rPr>
          <w:bCs/>
        </w:rPr>
        <w:t xml:space="preserve">Leave-one-out correlations for five model specifications, each including </w:t>
      </w:r>
      <w:r w:rsidR="008A32B0">
        <w:rPr>
          <w:bCs/>
        </w:rPr>
        <w:t>same</w:t>
      </w:r>
      <w:r w:rsidR="00954B3D" w:rsidRPr="000D31E6">
        <w:rPr>
          <w:bCs/>
        </w:rPr>
        <w:t xml:space="preserve"> covariates: age-19 symptoms alone (r = 0.23), the 12 simulated edges (r = 0.32), the 12 empirical edges (r = 0.09), and symptoms combined with the simulated or empirical edges (r = 0.40 and r = 0.19, respectively). The dashed segment above each bar marks the 95th percentile of that specification’s own permutation null (0.19 to 0.22; 5,000 permutations of the outcome with the complete leave-one-out procedure repeated).</w:t>
      </w:r>
      <w:r w:rsidR="00954B3D" w:rsidRPr="008A32B0">
        <w:rPr>
          <w:bCs/>
        </w:rPr>
        <w:t xml:space="preserve"> </w:t>
      </w:r>
      <w:r w:rsidR="000D31E6" w:rsidRPr="000D31E6">
        <w:rPr>
          <w:bCs/>
        </w:rPr>
        <w:t>Asterisks give the permutation P of each leave-one-out correlation against that null: *P &lt; 0.05, **P &lt; 0.01, ***P &lt; 0.00</w:t>
      </w:r>
      <w:r w:rsidR="000D31E6">
        <w:rPr>
          <w:bCs/>
        </w:rPr>
        <w:t>1</w:t>
      </w:r>
      <w:r w:rsidR="000D31E6" w:rsidRPr="000D31E6">
        <w:rPr>
          <w:bCs/>
          <w:lang w:eastAsia="zh-CN"/>
        </w:rPr>
        <w:t xml:space="preserve">. </w:t>
      </w:r>
      <w:r w:rsidR="00954B3D" w:rsidRPr="008A32B0">
        <w:rPr>
          <w:bCs/>
        </w:rPr>
        <w:t>Filled symbols and bars denote simulated networks; open symbols and bars denote empirical networks.</w:t>
      </w:r>
    </w:p>
    <w:p w14:paraId="619F7288" w14:textId="77777777" w:rsidR="002C3191" w:rsidRPr="008A32B0" w:rsidRDefault="00000000">
      <w:pPr>
        <w:adjustRightInd w:val="0"/>
        <w:snapToGrid w:val="0"/>
        <w:spacing w:line="240" w:lineRule="exact"/>
        <w:jc w:val="both"/>
        <w:rPr>
          <w:b/>
          <w:color w:val="000000" w:themeColor="text1"/>
          <w:lang w:eastAsia="zh-CN"/>
        </w:rPr>
      </w:pPr>
      <w:r w:rsidRPr="008A32B0">
        <w:rPr>
          <w:b/>
          <w:bCs/>
          <w:color w:val="000000" w:themeColor="text1"/>
        </w:rPr>
        <w:t>Extended Data figure legends</w:t>
      </w:r>
    </w:p>
    <w:p w14:paraId="3CF9AAB6" w14:textId="4A25E3CC" w:rsidR="002C3191" w:rsidRPr="008A32B0" w:rsidRDefault="00000000">
      <w:pPr>
        <w:adjustRightInd w:val="0"/>
        <w:snapToGrid w:val="0"/>
        <w:spacing w:line="240" w:lineRule="exact"/>
        <w:jc w:val="both"/>
        <w:rPr>
          <w:b/>
          <w:color w:val="000000" w:themeColor="text1"/>
          <w:lang w:eastAsia="zh-CN"/>
        </w:rPr>
      </w:pPr>
      <w:r w:rsidRPr="008A32B0">
        <w:rPr>
          <w:b/>
          <w:bCs/>
          <w:color w:val="000000" w:themeColor="text1"/>
        </w:rPr>
        <w:t xml:space="preserve">Extended Data Fig. 1 </w:t>
      </w:r>
      <w:r w:rsidRPr="008A32B0">
        <w:rPr>
          <w:bCs/>
          <w:color w:val="000000" w:themeColor="text1"/>
        </w:rPr>
        <w:t xml:space="preserve">Cross-build agreement of the 12-edge NP profile. Each matrix shows pairwise Spearman correlations between the seven digital-twin-brain builds, calculated across the 144 cells comprising 12 subjects × 12 NP-factor edges. Rows and columns indicate model scale, parcellation and assimilated hyperparameter set; regional and voxel builds are shown separately. Profiles were averaged across repeated runs where available. </w:t>
      </w:r>
      <w:r w:rsidRPr="000D31E6">
        <w:rPr>
          <w:b/>
          <w:color w:val="000000" w:themeColor="text1"/>
        </w:rPr>
        <w:t xml:space="preserve">a, </w:t>
      </w:r>
      <w:r w:rsidRPr="008A32B0">
        <w:rPr>
          <w:bCs/>
          <w:color w:val="000000" w:themeColor="text1"/>
        </w:rPr>
        <w:t>Baseline. Agreement was higher between builds sharing the same assimilated hyperparameters than between builds using different hyperparameter sets, with correlations of 0.89 (P &lt; 0.0001) between the two builds using the 3M hyperparameters and 0.87-0.93 among voxel builds using the 100M hyperparameters (all three pairs of P &lt;0.0001). Agreement between these two hyperparameter families was 0.40-0.52, whereas the 10M voxel build using its own hyperparameters showed low agreement with the other builds (</w:t>
      </w:r>
      <w:r w:rsidRPr="000D31E6">
        <w:rPr>
          <w:rFonts w:ascii="Cambria" w:hAnsi="Cambria" w:cs="Cambria"/>
          <w:bCs/>
          <w:color w:val="000000" w:themeColor="text1"/>
        </w:rPr>
        <w:t>ρ</w:t>
      </w:r>
      <w:r w:rsidRPr="008A32B0">
        <w:rPr>
          <w:bCs/>
          <w:color w:val="000000" w:themeColor="text1"/>
        </w:rPr>
        <w:t xml:space="preserve"> = 0.06-0.15).</w:t>
      </w:r>
      <w:r w:rsidRPr="000D31E6">
        <w:rPr>
          <w:b/>
          <w:color w:val="000000" w:themeColor="text1"/>
        </w:rPr>
        <w:t xml:space="preserve"> b, </w:t>
      </w:r>
      <w:r w:rsidRPr="008A32B0">
        <w:rPr>
          <w:bCs/>
          <w:color w:val="000000" w:themeColor="text1"/>
        </w:rPr>
        <w:t>AMPA perturbation. Agreement increased among regional builds (</w:t>
      </w:r>
      <w:r w:rsidRPr="000D31E6">
        <w:rPr>
          <w:rFonts w:ascii="Cambria" w:hAnsi="Cambria" w:cs="Cambria"/>
          <w:bCs/>
          <w:color w:val="000000" w:themeColor="text1"/>
        </w:rPr>
        <w:t>ρ</w:t>
      </w:r>
      <w:r w:rsidRPr="008A32B0">
        <w:rPr>
          <w:bCs/>
          <w:color w:val="000000" w:themeColor="text1"/>
        </w:rPr>
        <w:t xml:space="preserve"> = 0.76-0.94) and decreased among voxel builds (0.35-0.86), with correlations ranging down to -0.07. </w:t>
      </w:r>
      <w:r w:rsidRPr="000D31E6">
        <w:rPr>
          <w:b/>
          <w:color w:val="000000" w:themeColor="text1"/>
        </w:rPr>
        <w:t xml:space="preserve">c, </w:t>
      </w:r>
      <w:r w:rsidRPr="008A32B0">
        <w:rPr>
          <w:bCs/>
          <w:color w:val="000000" w:themeColor="text1"/>
        </w:rPr>
        <w:t>GABA-A perturbation. The two 268-region builds showed near-identical profiles (</w:t>
      </w:r>
      <w:r w:rsidRPr="000D31E6">
        <w:rPr>
          <w:rFonts w:ascii="Cambria" w:hAnsi="Cambria" w:cs="Cambria"/>
          <w:bCs/>
          <w:color w:val="000000" w:themeColor="text1"/>
        </w:rPr>
        <w:t>ρ</w:t>
      </w:r>
      <w:r w:rsidRPr="008A32B0">
        <w:rPr>
          <w:bCs/>
          <w:color w:val="000000" w:themeColor="text1"/>
        </w:rPr>
        <w:t xml:space="preserve"> = 0.99, P &lt; 0.0001), voxel-build agreement remained high (0.70-0.83), and agreement between regional and voxel builds decreased to 0.11-0.44. The 10M voxel build using its own hyperparameters showed low or negative agreement with the other voxel builds (</w:t>
      </w:r>
      <w:r w:rsidRPr="000D31E6">
        <w:rPr>
          <w:rFonts w:ascii="Cambria" w:hAnsi="Cambria" w:cs="Cambria"/>
          <w:bCs/>
          <w:color w:val="000000" w:themeColor="text1"/>
        </w:rPr>
        <w:t>ρ</w:t>
      </w:r>
      <w:r w:rsidRPr="008A32B0">
        <w:rPr>
          <w:bCs/>
          <w:color w:val="000000" w:themeColor="text1"/>
        </w:rPr>
        <w:t xml:space="preserve"> = -0.19 to 0.07). Matrices show Spearman correlation coefficients; no error indicator is drawn. Exact within-participant test statistics, P values, and the multiple-comparison correction applied to each comparison (Bonferroni across the 10 build pairs where applied) are listed in Table S24.</w:t>
      </w:r>
    </w:p>
    <w:p w14:paraId="5116DC1C" w14:textId="5BA64D9F" w:rsidR="002C3191" w:rsidRPr="008A32B0" w:rsidRDefault="00000000">
      <w:pPr>
        <w:adjustRightInd w:val="0"/>
        <w:snapToGrid w:val="0"/>
        <w:spacing w:line="240" w:lineRule="exact"/>
        <w:jc w:val="both"/>
        <w:rPr>
          <w:b/>
          <w:color w:val="000000" w:themeColor="text1"/>
          <w:lang w:eastAsia="zh-CN"/>
        </w:rPr>
      </w:pPr>
      <w:r w:rsidRPr="008A32B0">
        <w:rPr>
          <w:b/>
          <w:bCs/>
          <w:color w:val="000000" w:themeColor="text1"/>
        </w:rPr>
        <w:t xml:space="preserve">Extended Data Fig. 2 </w:t>
      </w:r>
      <w:r w:rsidRPr="008A32B0">
        <w:rPr>
          <w:bCs/>
          <w:color w:val="000000" w:themeColor="text1"/>
        </w:rPr>
        <w:t>Oldham’s test for baseline dependence in the digital-twin and pharmacological datasets. Each panel plots change against the mean of the pre- and post-</w:t>
      </w:r>
      <w:r w:rsidRPr="008A32B0">
        <w:rPr>
          <w:bCs/>
          <w:color w:val="000000" w:themeColor="text1"/>
        </w:rPr>
        <w:lastRenderedPageBreak/>
        <w:t>perturbation NP-connectivity summed scores (Oldham’s method), which avoids the mathematical coupling inherent to a baseline-versus-change correlation. Points represent participants or digital twins; lines show ordinary-least-squares fits with 95% confidence bands, and the dashed line indicates no change. Digital twins from the Fig. 4 cohort using the full 12-edge NP factor, before and after AMPA (</w:t>
      </w:r>
      <w:r w:rsidRPr="000D31E6">
        <w:rPr>
          <w:b/>
          <w:color w:val="000000" w:themeColor="text1"/>
        </w:rPr>
        <w:t>a</w:t>
      </w:r>
      <w:r w:rsidRPr="008A32B0">
        <w:rPr>
          <w:bCs/>
          <w:color w:val="000000" w:themeColor="text1"/>
        </w:rPr>
        <w:t>) or GABA-A (</w:t>
      </w:r>
      <w:r w:rsidRPr="000D31E6">
        <w:rPr>
          <w:b/>
          <w:color w:val="000000" w:themeColor="text1"/>
        </w:rPr>
        <w:t>b</w:t>
      </w:r>
      <w:r w:rsidRPr="008A32B0">
        <w:rPr>
          <w:bCs/>
          <w:color w:val="000000" w:themeColor="text1"/>
        </w:rPr>
        <w:t xml:space="preserve">) perturbation. Spread contracted after AMPA (r = -0.47, 95% CI -0.55 to -0.37, P &lt; 0.0001, n = 288) and expanded after GABA-A (r = 0.59, 95% CI 0.51 to 0.66, P &lt; 0.0001, n = 288). c,d, Healthy volunteers, placebo to ketamine (c) or midazolam (d), showed no evidence of a change in between-participant variance on the motion-residualised scale used in the main text (ketamine: r = 0.29, P = 0.138, n = 27; midazolam: r = 0.30, P = 0.125, n = 27; the unadjusted analysis gives the same conclusion, r = 0.22, P = 0.264 and r = 0.25, P = 0.214). </w:t>
      </w:r>
      <w:r w:rsidRPr="000D31E6">
        <w:rPr>
          <w:b/>
          <w:color w:val="000000" w:themeColor="text1"/>
        </w:rPr>
        <w:t xml:space="preserve">e, </w:t>
      </w:r>
      <w:r w:rsidRPr="008A32B0">
        <w:rPr>
          <w:bCs/>
          <w:color w:val="000000" w:themeColor="text1"/>
        </w:rPr>
        <w:t>The clinical cohort likewise showed no evidence of a variance change from placebo to ketamine (r = 0.12, P = 0.50, n = 36). All five Oldham tests are two-sided and reported uncorrected; more statistical values are listed in Table S24.</w:t>
      </w:r>
    </w:p>
    <w:p w14:paraId="75070FC3" w14:textId="777D4979" w:rsidR="002C3191" w:rsidRPr="008A32B0" w:rsidRDefault="00000000">
      <w:pPr>
        <w:adjustRightInd w:val="0"/>
        <w:snapToGrid w:val="0"/>
        <w:spacing w:line="240" w:lineRule="exact"/>
        <w:jc w:val="both"/>
        <w:rPr>
          <w:b/>
          <w:color w:val="000000" w:themeColor="text1"/>
          <w:lang w:eastAsia="zh-CN"/>
        </w:rPr>
      </w:pPr>
      <w:r w:rsidRPr="008A32B0">
        <w:rPr>
          <w:b/>
          <w:bCs/>
          <w:color w:val="000000" w:themeColor="text1"/>
        </w:rPr>
        <w:t xml:space="preserve">Extended Data Fig. 3 </w:t>
      </w:r>
      <w:r w:rsidRPr="008A32B0">
        <w:rPr>
          <w:bCs/>
          <w:color w:val="000000" w:themeColor="text1"/>
        </w:rPr>
        <w:t xml:space="preserve">Whole-brain perturbational effects. Whole-brain extent of virtual perturbations at n = 288. Analyses use the same 23,436 upper-triangular edges among 217 nodes across four task conditions (SST stop-success, SST stop-failure, MID feedback and MID anticipation) in 288 digital twins. Each edge was tested with a two-sided paired t test (df = 287), with BH-FDR correction across edges within each condition. </w:t>
      </w:r>
      <w:r w:rsidRPr="000D31E6">
        <w:rPr>
          <w:b/>
          <w:color w:val="000000" w:themeColor="text1"/>
        </w:rPr>
        <w:t>a,</w:t>
      </w:r>
      <w:r w:rsidRPr="008A32B0">
        <w:rPr>
          <w:bCs/>
          <w:color w:val="000000" w:themeColor="text1"/>
        </w:rPr>
        <w:t xml:space="preserve"> Proportion of edges surviving FDR and increasingly stringent effect-size thresholds. Under AMPA, 69.5-83.2% of edges survived FDR, 15.9-31.2% exceeded |d_z| &gt; 0.5 and 6.5-12.3% exceeded |d_z| &gt; 0.8; corresponding values for GABA-A were 82.8-89.7% and 37.0-52.7%. </w:t>
      </w:r>
      <w:r w:rsidRPr="000D31E6">
        <w:rPr>
          <w:b/>
          <w:color w:val="000000" w:themeColor="text1"/>
        </w:rPr>
        <w:t>b,</w:t>
      </w:r>
      <w:r w:rsidRPr="008A32B0">
        <w:rPr>
          <w:bCs/>
          <w:color w:val="000000" w:themeColor="text1"/>
        </w:rPr>
        <w:t xml:space="preserve"> Median |d_z| among significant edges; dashed lines indicate |d_z| = 0.5 and 0.8. Median values were 0.32-0.40 for AMPA and 0.45-0.59 for GABA-A.</w:t>
      </w:r>
      <w:r w:rsidRPr="000D31E6">
        <w:rPr>
          <w:b/>
          <w:color w:val="000000" w:themeColor="text1"/>
        </w:rPr>
        <w:t xml:space="preserve"> c,</w:t>
      </w:r>
      <w:r w:rsidRPr="008A32B0">
        <w:rPr>
          <w:bCs/>
          <w:color w:val="000000" w:themeColor="text1"/>
        </w:rPr>
        <w:t xml:space="preserve"> Net signed percentage of significant edges across 45 canonical network pairs for two representative task conditions. Red indicates a net increase and blue a net decrease. Among significant edges, 53.0-88.1% increased under AMPA and 88.8-91.2% under GABA-A. Bars show the percentage of edges meeting the criterion; no error indicators are drawn. Exact test statistics and P values are listed in Table S24.</w:t>
      </w:r>
    </w:p>
    <w:p w14:paraId="2AF493C4" w14:textId="1C78AF2E" w:rsidR="002C3191" w:rsidRPr="008A32B0" w:rsidRDefault="00000000">
      <w:pPr>
        <w:adjustRightInd w:val="0"/>
        <w:snapToGrid w:val="0"/>
        <w:spacing w:line="240" w:lineRule="exact"/>
        <w:jc w:val="both"/>
        <w:rPr>
          <w:b/>
          <w:color w:val="000000" w:themeColor="text1"/>
          <w:lang w:eastAsia="zh-CN"/>
        </w:rPr>
      </w:pPr>
      <w:r w:rsidRPr="008A32B0">
        <w:rPr>
          <w:b/>
          <w:bCs/>
          <w:color w:val="000000" w:themeColor="text1"/>
        </w:rPr>
        <w:t xml:space="preserve">Extended Data Fig. 4 </w:t>
      </w:r>
      <w:r w:rsidRPr="008A32B0">
        <w:rPr>
          <w:bCs/>
          <w:color w:val="000000" w:themeColor="text1"/>
        </w:rPr>
        <w:t xml:space="preserve">The virtual perturbations for the depression-specific network in DTB simulations. The network comprises 27 edges selected against diagnosis in the population-scale simulations (n = 141; healthy controls n = 69, MDD n = 72). The measure is the summed connectivity of these edges. a-c, Empirical connectivity, simulated baseline, AMPA perturbation and GABA-A perturbation are compared using linear models adjusted for sex, recruitment site and meanFD (df = 136), with no correction across the four prespecified conditions. </w:t>
      </w:r>
      <w:r w:rsidRPr="000D31E6">
        <w:rPr>
          <w:b/>
          <w:color w:val="000000" w:themeColor="text1"/>
        </w:rPr>
        <w:t>a,</w:t>
      </w:r>
      <w:r w:rsidRPr="008A32B0">
        <w:rPr>
          <w:bCs/>
          <w:color w:val="000000" w:themeColor="text1"/>
        </w:rPr>
        <w:t xml:space="preserve"> The diagnostic difference was present empirically (adjusted difference = 1.25, t = -4.98, 95% CI 0.76-1.75, P &lt; 0.0001), in the simulated baseline (1.09, t = -5.13, 95% CI 0.67-1.51, P &lt; 0.0001) and after GABA-A (1.25, t = -2.78, 95% CI 0.36-2.13, P = 0.0062), but not after AMPA (0.13, t = -0.97, 95% CI -0.13 to 0.39, P = 0.335). </w:t>
      </w:r>
      <w:r w:rsidRPr="000D31E6">
        <w:rPr>
          <w:b/>
          <w:color w:val="000000" w:themeColor="text1"/>
        </w:rPr>
        <w:t xml:space="preserve">b, </w:t>
      </w:r>
      <w:r w:rsidRPr="008A32B0">
        <w:rPr>
          <w:bCs/>
          <w:color w:val="000000" w:themeColor="text1"/>
        </w:rPr>
        <w:t xml:space="preserve">Edge-level effect sizes for the 27 network edges, oriented as controls minus MDD; 11 edges were nominally significant empirically and 12 in the simulated baseline. </w:t>
      </w:r>
      <w:r w:rsidRPr="000D31E6">
        <w:rPr>
          <w:b/>
          <w:color w:val="000000" w:themeColor="text1"/>
        </w:rPr>
        <w:t xml:space="preserve">c, </w:t>
      </w:r>
      <w:r w:rsidRPr="008A32B0">
        <w:rPr>
          <w:bCs/>
          <w:color w:val="000000" w:themeColor="text1"/>
        </w:rPr>
        <w:t xml:space="preserve">Adjusted group differences with 95% confidence intervals, corresponding to the tests in a. </w:t>
      </w:r>
      <w:r w:rsidRPr="000D31E6">
        <w:rPr>
          <w:b/>
          <w:color w:val="000000" w:themeColor="text1"/>
        </w:rPr>
        <w:t xml:space="preserve">d, </w:t>
      </w:r>
      <w:r w:rsidRPr="008A32B0">
        <w:rPr>
          <w:bCs/>
          <w:color w:val="000000" w:themeColor="text1"/>
        </w:rPr>
        <w:t>Within-subject perturbation effects pooled across groups. AMPA increased network connectivity by 0.36 ± 1.40 (66.7% of subjects; paired t(140) = 3.03, P = 0.0029), and GABA-A increased it by 2.87 ± 2.64 (87.9%; paired t(140) = 12.92, P &lt; 0.0001). Thus, both perturbations increased connectivity of the depression-specific network, but only AMPA abolished the diagnostic difference. In d, boxes show the median and interquartile range with 1.5 × IQR whiskers, with every participant plotted. Exact t statistics, degrees of freedom and P values for all panels are listed in Table S24.</w:t>
      </w:r>
    </w:p>
    <w:p w14:paraId="03D59DA6" w14:textId="00F04AA8" w:rsidR="002C3191" w:rsidRPr="008A32B0" w:rsidRDefault="00000000">
      <w:pPr>
        <w:adjustRightInd w:val="0"/>
        <w:snapToGrid w:val="0"/>
        <w:spacing w:line="240" w:lineRule="exact"/>
        <w:jc w:val="both"/>
        <w:rPr>
          <w:b/>
          <w:color w:val="000000" w:themeColor="text1"/>
          <w:lang w:eastAsia="zh-CN"/>
        </w:rPr>
      </w:pPr>
      <w:r w:rsidRPr="008A32B0">
        <w:rPr>
          <w:b/>
          <w:bCs/>
          <w:color w:val="000000" w:themeColor="text1"/>
        </w:rPr>
        <w:t xml:space="preserve">Extended Data Fig. 5 </w:t>
      </w:r>
      <w:r w:rsidRPr="008A32B0">
        <w:rPr>
          <w:bCs/>
          <w:color w:val="000000" w:themeColor="text1"/>
        </w:rPr>
        <w:t xml:space="preserve">Directional agreement between simulated and empirical whole-brain drug effects. Directional concordance was assessed between drug effects in 27 healthy </w:t>
      </w:r>
      <w:r w:rsidRPr="008A32B0">
        <w:rPr>
          <w:bCs/>
          <w:color w:val="000000" w:themeColor="text1"/>
        </w:rPr>
        <w:lastRenderedPageBreak/>
        <w:t xml:space="preserve">volunteers performing the MID task and corresponding DTB perturbations. Edges with a nominal drug-versus-placebo effect at P &lt; 0.001 were included; matching/total edges are shown beside each marker. Circles indicate the task-matched MID model and squares the task-mismatched SST model. Filled markers indicate significance against a node-level sign-flip null (999 permutations); the dashed line denotes chance (50%) and the grey band ±1 s.d. of the null. </w:t>
      </w:r>
      <w:r w:rsidRPr="000D31E6">
        <w:rPr>
          <w:b/>
          <w:color w:val="000000" w:themeColor="text1"/>
        </w:rPr>
        <w:t>a,</w:t>
      </w:r>
      <w:r w:rsidRPr="008A32B0">
        <w:rPr>
          <w:bCs/>
          <w:color w:val="000000" w:themeColor="text1"/>
        </w:rPr>
        <w:t xml:space="preserve"> For ketamine, the AMPA perturbation matched 38/56 edges (67.9%, P = 0.005) when pooled across MID conditions, compared with 25/56 (44.6%, P = 0.782) for the SST model. For midazolam, the GABA-A perturbation matched 73/102 edges (71.6%, P = 0.001), compared with 66/102 (64.7%, P = 0.003) for the SST model. </w:t>
      </w:r>
      <w:r w:rsidRPr="000D31E6">
        <w:rPr>
          <w:b/>
          <w:color w:val="000000" w:themeColor="text1"/>
        </w:rPr>
        <w:t>b,</w:t>
      </w:r>
      <w:r w:rsidRPr="008A32B0">
        <w:rPr>
          <w:bCs/>
          <w:color w:val="000000" w:themeColor="text1"/>
        </w:rPr>
        <w:t xml:space="preserve"> Split-half reliability of the empirical drug-effect maps was low: 0.03-0.04 for ketamine and 0.18-0.20 for midazolam across MID conditions.Triangles indicate the theoretical maximum correlation with an empirical map of the observed reliability (√reliability).  Directional agreement was tested with node-level sign-flip permutation tests against 50% agreement, two-sided and uncorrected across the four drug × task comparisons; an unadjusted binomial test on the same counts gives the same conclusion; in a, bars show 95% binomial confidence intervals, and in b the reliability bars carry no error indicator. Exact test statistics and P values are listed in Table S24.</w:t>
      </w:r>
    </w:p>
    <w:p w14:paraId="350D9BCF" w14:textId="7078DD0A" w:rsidR="002C3191" w:rsidRPr="008A32B0" w:rsidRDefault="00000000">
      <w:pPr>
        <w:adjustRightInd w:val="0"/>
        <w:snapToGrid w:val="0"/>
        <w:spacing w:line="240" w:lineRule="exact"/>
        <w:jc w:val="both"/>
        <w:rPr>
          <w:b/>
          <w:color w:val="000000" w:themeColor="text1"/>
          <w:lang w:eastAsia="zh-CN"/>
        </w:rPr>
      </w:pPr>
      <w:r w:rsidRPr="008A32B0">
        <w:rPr>
          <w:b/>
          <w:bCs/>
          <w:color w:val="000000" w:themeColor="text1"/>
        </w:rPr>
        <w:t xml:space="preserve">Extended Data Fig. 6 </w:t>
      </w:r>
      <w:r w:rsidRPr="008A32B0">
        <w:rPr>
          <w:bCs/>
          <w:color w:val="000000" w:themeColor="text1"/>
        </w:rPr>
        <w:t xml:space="preserve">Leave-one-out prediction of four-year symptom change under each model specification. Leave-one-out predicted versus observed symptom change (age 23 minus age 19) in 85 longitudinal participants. All models included sex, recruitment site and mean framewise displacement as covariates. </w:t>
      </w:r>
      <w:r w:rsidRPr="000D31E6">
        <w:rPr>
          <w:b/>
          <w:color w:val="000000" w:themeColor="text1"/>
        </w:rPr>
        <w:t>a,</w:t>
      </w:r>
      <w:r w:rsidRPr="008A32B0">
        <w:rPr>
          <w:bCs/>
          <w:color w:val="000000" w:themeColor="text1"/>
        </w:rPr>
        <w:t xml:space="preserve"> Covariates only (r = −0.10, P = 0.6293; R² = 0.08, F(9,75) = 0.75, P = 0.6597). </w:t>
      </w:r>
      <w:r w:rsidRPr="000D31E6">
        <w:rPr>
          <w:b/>
          <w:color w:val="000000" w:themeColor="text1"/>
        </w:rPr>
        <w:t>b,</w:t>
      </w:r>
      <w:r w:rsidRPr="008A32B0">
        <w:rPr>
          <w:bCs/>
          <w:color w:val="000000" w:themeColor="text1"/>
        </w:rPr>
        <w:t xml:space="preserve"> Age-19 symptoms (r = 0.23, P = 0.0286; R² = 0.24, F(10,74) = 2.31, P = 0.0201). </w:t>
      </w:r>
      <w:r w:rsidRPr="000D31E6">
        <w:rPr>
          <w:b/>
          <w:color w:val="000000" w:themeColor="text1"/>
        </w:rPr>
        <w:t>c,</w:t>
      </w:r>
      <w:r w:rsidRPr="008A32B0">
        <w:rPr>
          <w:bCs/>
          <w:color w:val="000000" w:themeColor="text1"/>
        </w:rPr>
        <w:t xml:space="preserve"> 12 simulated NP edges (r = 0.32, P = 0.0088; R² = 0.42, F(21,63) = 2.15, P = 0.0103). </w:t>
      </w:r>
      <w:r w:rsidRPr="000D31E6">
        <w:rPr>
          <w:b/>
          <w:color w:val="000000" w:themeColor="text1"/>
        </w:rPr>
        <w:t>d,</w:t>
      </w:r>
      <w:r w:rsidRPr="008A32B0">
        <w:rPr>
          <w:bCs/>
          <w:color w:val="000000" w:themeColor="text1"/>
        </w:rPr>
        <w:t xml:space="preserve"> 12 empirical NP edges (r = 0.09, P = 0.2236; R² = 0.30, F(21,63) = 1.26, P = 0.2399). </w:t>
      </w:r>
      <w:r w:rsidRPr="000D31E6">
        <w:rPr>
          <w:b/>
          <w:color w:val="000000" w:themeColor="text1"/>
        </w:rPr>
        <w:t>e,</w:t>
      </w:r>
      <w:r w:rsidRPr="008A32B0">
        <w:rPr>
          <w:bCs/>
          <w:color w:val="000000" w:themeColor="text1"/>
        </w:rPr>
        <w:t xml:space="preserve"> Summed simulated NP (r = 0.05, P = 0.2735; R² = 0.14, F(10,74) = 1.23, P = 0.2849). </w:t>
      </w:r>
      <w:r w:rsidRPr="000D31E6">
        <w:rPr>
          <w:b/>
          <w:color w:val="000000" w:themeColor="text1"/>
        </w:rPr>
        <w:t>f,</w:t>
      </w:r>
      <w:r w:rsidRPr="008A32B0">
        <w:rPr>
          <w:bCs/>
          <w:color w:val="000000" w:themeColor="text1"/>
        </w:rPr>
        <w:t xml:space="preserve"> Summed empirical NP (r = 0.21, P = 0.0372; R² = 0.22, F(10,74) = 2.12, P = 0.0335). </w:t>
      </w:r>
      <w:r w:rsidRPr="000D31E6">
        <w:rPr>
          <w:b/>
          <w:color w:val="000000" w:themeColor="text1"/>
        </w:rPr>
        <w:t>g,</w:t>
      </w:r>
      <w:r w:rsidRPr="008A32B0">
        <w:rPr>
          <w:bCs/>
          <w:color w:val="000000" w:themeColor="text1"/>
        </w:rPr>
        <w:t xml:space="preserve"> Summed simulated plus summed empirical NP (r = 0.25, P = 0.0258; R² = 0.26, F(11,73) = 2.37, P = 0.0146). </w:t>
      </w:r>
      <w:r w:rsidRPr="000D31E6">
        <w:rPr>
          <w:b/>
          <w:color w:val="000000" w:themeColor="text1"/>
        </w:rPr>
        <w:t>h,</w:t>
      </w:r>
      <w:r w:rsidRPr="008A32B0">
        <w:rPr>
          <w:bCs/>
          <w:color w:val="000000" w:themeColor="text1"/>
        </w:rPr>
        <w:t xml:space="preserve"> Symptoms plus 12 simulated NP edges (r = 0.40, P = 0.0008; R² = 0.49, F(22,62) = 2.69, P = 0.0012).</w:t>
      </w:r>
      <w:r w:rsidRPr="000D31E6">
        <w:rPr>
          <w:b/>
          <w:color w:val="000000" w:themeColor="text1"/>
        </w:rPr>
        <w:t xml:space="preserve"> i,</w:t>
      </w:r>
      <w:r w:rsidRPr="008A32B0">
        <w:rPr>
          <w:bCs/>
          <w:color w:val="000000" w:themeColor="text1"/>
        </w:rPr>
        <w:t xml:space="preserve"> Symptoms plus 12 empirical NP edges (r = 0.19, P = 0.082; R² = 0.36, F(22,62) = 1.59, P = 0.0795). Panels c and d compare the two 12-edge sets with 12 additional predictors, and panels e and f compare the two summed read-outs with one additional predictor; panel c is the specification shown in Fig. 5h. Negative symptom change denotes symptom reduction. Points represent individual participants; lines show ordinary least-squares fits with 95% confidence bands to indicate direction and are not additional statistical tests. No other error indicators are shown. Prediction used ordinary least squares with leave-one-out cross-validation, with significance assessed by 5,000 outcome permutations using the complete leave-one-out procedure for each permutation. The asterisk in each panel gives this permutation P for that specification's leave-one-out correlation: *P &lt; 0.05, **P &lt; 0.01, ***P &lt; 0.001; n.s., not significant. No correction for multiple comparisons was applied across these nested specifications of the same dataset. Exact statistics, effect sizes and confidence intervals are reported in Table S24.</w:t>
      </w:r>
    </w:p>
    <w:p w14:paraId="661F1802" w14:textId="02E0D0ED" w:rsidR="002C3191" w:rsidRPr="008A32B0" w:rsidRDefault="00000000">
      <w:pPr>
        <w:adjustRightInd w:val="0"/>
        <w:snapToGrid w:val="0"/>
        <w:spacing w:line="240" w:lineRule="exact"/>
        <w:jc w:val="both"/>
        <w:rPr>
          <w:b/>
          <w:color w:val="000000" w:themeColor="text1"/>
          <w:lang w:eastAsia="zh-CN"/>
        </w:rPr>
      </w:pPr>
      <w:r w:rsidRPr="008A32B0">
        <w:rPr>
          <w:b/>
          <w:bCs/>
          <w:color w:val="000000" w:themeColor="text1"/>
        </w:rPr>
        <w:t xml:space="preserve">Extended Data Fig. 7 </w:t>
      </w:r>
      <w:r w:rsidRPr="008A32B0">
        <w:rPr>
          <w:bCs/>
          <w:color w:val="000000" w:themeColor="text1"/>
        </w:rPr>
        <w:t xml:space="preserve">Digital twin brains preserve participant-specific signatures on held-out trials without re-assimilation. Four participants × 6 held-out emotional-face trials (n = 24 trials). </w:t>
      </w:r>
      <w:r w:rsidRPr="000D31E6">
        <w:rPr>
          <w:b/>
          <w:color w:val="000000" w:themeColor="text1"/>
        </w:rPr>
        <w:t xml:space="preserve">a,b, </w:t>
      </w:r>
      <w:r w:rsidRPr="008A32B0">
        <w:rPr>
          <w:bCs/>
          <w:color w:val="000000" w:themeColor="text1"/>
        </w:rPr>
        <w:t xml:space="preserve">Participant identification from empirical BOLD and digital twins, respectively; black outlines indicate the correct template and orange outlines indicate misidentification. </w:t>
      </w:r>
      <w:r w:rsidRPr="000D31E6">
        <w:rPr>
          <w:b/>
          <w:color w:val="000000" w:themeColor="text1"/>
        </w:rPr>
        <w:t xml:space="preserve">c, </w:t>
      </w:r>
      <w:r w:rsidRPr="008A32B0">
        <w:rPr>
          <w:bCs/>
          <w:color w:val="000000" w:themeColor="text1"/>
        </w:rPr>
        <w:t xml:space="preserve">Identification margin (self minus best-other correlation). Margins were higher for digital twins than empirical BOLD (0.20 ± 0.04 versus 0.16 ± 0.07; paired t-test, t(23) = 2.29, P = 0.0313). Self-correlation exceeded the best-other correlation for both empirical BOLD (0.17 versus 0.0034, P &lt; 0.0001) and digital twins (0.20 versus 0.0047, P &lt; 0.0001). </w:t>
      </w:r>
      <w:r w:rsidRPr="000D31E6">
        <w:rPr>
          <w:b/>
          <w:color w:val="000000" w:themeColor="text1"/>
        </w:rPr>
        <w:t xml:space="preserve">d, </w:t>
      </w:r>
      <w:r w:rsidRPr="008A32B0">
        <w:rPr>
          <w:bCs/>
          <w:color w:val="000000" w:themeColor="text1"/>
        </w:rPr>
        <w:t xml:space="preserve">Identification accuracy was 23/24 (95.8%) for empirical BOLD and 24/24 (100%) for digital twins; both exceeded the 25% chance level (one-sided exact binomial both P &lt; 0.0001, respectively). Values are mean ± s.d.; box plots show the median and interquartile range </w:t>
      </w:r>
      <w:r w:rsidRPr="008A32B0">
        <w:rPr>
          <w:bCs/>
          <w:color w:val="000000" w:themeColor="text1"/>
        </w:rPr>
        <w:lastRenderedPageBreak/>
        <w:t>with 1.5 × IQR whiskers, with every trial plotted, and the similarity matrices carry no error indicator. Comparisons used two-sided paired t tests and a one-sided exact binomial test, uncorrected; asterisks mark these tests (*P &lt; 0.05, ***P &lt; 0.001) and the exact test statistics and P values are listed in Table S24.</w:t>
      </w:r>
    </w:p>
    <w:p w14:paraId="51E8ED53" w14:textId="0E0F9929" w:rsidR="002C3191" w:rsidRPr="008A32B0" w:rsidRDefault="00000000">
      <w:pPr>
        <w:adjustRightInd w:val="0"/>
        <w:snapToGrid w:val="0"/>
        <w:spacing w:line="240" w:lineRule="exact"/>
        <w:jc w:val="both"/>
        <w:rPr>
          <w:b/>
          <w:color w:val="000000" w:themeColor="text1"/>
          <w:lang w:eastAsia="zh-CN"/>
        </w:rPr>
      </w:pPr>
      <w:r w:rsidRPr="008A32B0">
        <w:rPr>
          <w:b/>
          <w:bCs/>
          <w:color w:val="000000" w:themeColor="text1"/>
        </w:rPr>
        <w:t>Extended Data Fig. 8</w:t>
      </w:r>
      <w:r w:rsidR="000D31E6">
        <w:rPr>
          <w:b/>
          <w:bCs/>
          <w:color w:val="000000" w:themeColor="text1"/>
        </w:rPr>
        <w:t xml:space="preserve"> </w:t>
      </w:r>
      <w:r w:rsidRPr="008A32B0">
        <w:rPr>
          <w:bCs/>
          <w:color w:val="000000" w:themeColor="text1"/>
        </w:rPr>
        <w:t xml:space="preserve">Virtual perturbational sensitivity across conductance and task context. </w:t>
      </w:r>
      <w:r w:rsidRPr="000D31E6">
        <w:rPr>
          <w:b/>
          <w:color w:val="000000" w:themeColor="text1"/>
        </w:rPr>
        <w:t>a,</w:t>
      </w:r>
      <w:r w:rsidRPr="008A32B0">
        <w:rPr>
          <w:bCs/>
          <w:color w:val="000000" w:themeColor="text1"/>
        </w:rPr>
        <w:t xml:space="preserve"> Group-level change in NP across three AMPA and three GABA-A conductance settings in n = 288 digital twins. Bars show means with 95% confidence intervals; Cohen’s d is indicated above each bar. All settings increased NP. The main-analysis settings gave the smallest raw mean changes but the largest standardised effects (AMPA, d = 0.83; GABA-A, d = 1.60). </w:t>
      </w:r>
      <w:r w:rsidRPr="000D31E6">
        <w:rPr>
          <w:b/>
          <w:color w:val="000000" w:themeColor="text1"/>
        </w:rPr>
        <w:t>b,</w:t>
      </w:r>
      <w:r w:rsidRPr="008A32B0">
        <w:rPr>
          <w:bCs/>
          <w:color w:val="000000" w:themeColor="text1"/>
        </w:rPr>
        <w:t xml:space="preserve"> Percentage of twins showing increased NP at each setting, by diagnostic group. Chi-squared P values are shown above each setting. </w:t>
      </w:r>
      <w:r w:rsidRPr="000D31E6">
        <w:rPr>
          <w:b/>
          <w:color w:val="000000" w:themeColor="text1"/>
        </w:rPr>
        <w:t xml:space="preserve">c, </w:t>
      </w:r>
      <w:r w:rsidRPr="008A32B0">
        <w:rPr>
          <w:bCs/>
          <w:color w:val="000000" w:themeColor="text1"/>
        </w:rPr>
        <w:t xml:space="preserve">Number of settings under which each twin showed increased NP; 185/288 twins (64.2%) increased under all six settings. Twin-wise changes correlated across settings within AMPA (r = 0.39-0.55) and GABA-A (r = 0.69-0.90), but less strongly between knobs (r = -0.05-0.31). </w:t>
      </w:r>
      <w:r w:rsidRPr="000D31E6">
        <w:rPr>
          <w:b/>
          <w:color w:val="000000" w:themeColor="text1"/>
        </w:rPr>
        <w:t xml:space="preserve">d, </w:t>
      </w:r>
      <w:r w:rsidRPr="008A32B0">
        <w:rPr>
          <w:bCs/>
          <w:color w:val="000000" w:themeColor="text1"/>
        </w:rPr>
        <w:t xml:space="preserve">Individual responses of three 100-million-neuron twins in the held-out emotional-face task; these are the same three participants used for the perturbation-parameter grid search, not an independent sample. AMPA increased NP in 2/3 twins and GABA-A in 3/3. </w:t>
      </w:r>
      <w:r w:rsidRPr="000D31E6">
        <w:rPr>
          <w:b/>
          <w:color w:val="000000" w:themeColor="text1"/>
        </w:rPr>
        <w:t xml:space="preserve">e, </w:t>
      </w:r>
      <w:r w:rsidRPr="008A32B0">
        <w:rPr>
          <w:bCs/>
          <w:color w:val="000000" w:themeColor="text1"/>
        </w:rPr>
        <w:t>Responses of the same twins on the reward/inhibition NP profile used in the main analysis; AMPA increased NP in 2/3 and GABA-A in 2/3. All tests are two-sided and uncorrected. Exact chi-squared statistics and P values for the per-setting group comparisons, and the paired t statistics for each conductance setting, are listed in Table S24.</w:t>
      </w:r>
    </w:p>
    <w:p w14:paraId="6FE578DE" w14:textId="72C732BA" w:rsidR="002C3191" w:rsidRPr="008A32B0" w:rsidRDefault="00000000">
      <w:pPr>
        <w:adjustRightInd w:val="0"/>
        <w:snapToGrid w:val="0"/>
        <w:spacing w:line="240" w:lineRule="exact"/>
        <w:jc w:val="both"/>
        <w:rPr>
          <w:b/>
          <w:color w:val="000000" w:themeColor="text1"/>
          <w:lang w:eastAsia="zh-CN"/>
        </w:rPr>
      </w:pPr>
      <w:r w:rsidRPr="008A32B0">
        <w:rPr>
          <w:b/>
          <w:bCs/>
          <w:color w:val="000000" w:themeColor="text1"/>
        </w:rPr>
        <w:t xml:space="preserve">Extended Data Fig. 9 </w:t>
      </w:r>
      <w:r w:rsidRPr="008A32B0">
        <w:rPr>
          <w:bCs/>
          <w:color w:val="000000" w:themeColor="text1"/>
        </w:rPr>
        <w:t xml:space="preserve">Head motion does not account for group effects on NP measures. All panels include the same 288 twins (69 healthy controls, 89 high-symptom participants and 130 patients) retained after the mean-FD &lt; 0.5 mm threshold. </w:t>
      </w:r>
      <w:r w:rsidRPr="000D31E6">
        <w:rPr>
          <w:b/>
          <w:color w:val="000000" w:themeColor="text1"/>
        </w:rPr>
        <w:t>a,</w:t>
      </w:r>
      <w:r w:rsidRPr="008A32B0">
        <w:rPr>
          <w:bCs/>
          <w:color w:val="000000" w:themeColor="text1"/>
        </w:rPr>
        <w:t xml:space="preserve"> Mean framewise displacement (FD) did not differ across groups (one-way ANOVA, F (2,285) = 0.84, P = 0.431). </w:t>
      </w:r>
      <w:r w:rsidRPr="000D31E6">
        <w:rPr>
          <w:b/>
          <w:color w:val="000000" w:themeColor="text1"/>
        </w:rPr>
        <w:t>b,</w:t>
      </w:r>
      <w:r w:rsidRPr="008A32B0">
        <w:rPr>
          <w:bCs/>
          <w:color w:val="000000" w:themeColor="text1"/>
        </w:rPr>
        <w:t xml:space="preserve"> Associations between FD and six NP measures. Three survived Bonferroni correction across the six measures: the empirical NP factor (r = 0.16, P corrected = 0.049), GABA-A-perturbed NP (r = 0.27, P corrected &lt; 0.0001) and GABA-A-induced change in NP (r = 0.20, P corrected = 0.003); simulated baseline NP (r = 0.13, P corrected = 0.18), AMPA-perturbed NP (r = 0.15, P corrected = 0.067) and AMPA-induced change (r = -0.04, uncorrected P = 0.554, corrected P = 1.00) did not. </w:t>
      </w:r>
      <w:r w:rsidRPr="000D31E6">
        <w:rPr>
          <w:b/>
          <w:color w:val="000000" w:themeColor="text1"/>
        </w:rPr>
        <w:t>c,</w:t>
      </w:r>
      <w:r w:rsidRPr="008A32B0">
        <w:rPr>
          <w:bCs/>
          <w:color w:val="000000" w:themeColor="text1"/>
        </w:rPr>
        <w:t xml:space="preserve"> FD was not significantly associated with any of the 12 individual empirical NP edges (all Bonferroni-corrected P ≥ 0.94). </w:t>
      </w:r>
      <w:r w:rsidRPr="000D31E6">
        <w:rPr>
          <w:b/>
          <w:color w:val="000000" w:themeColor="text1"/>
        </w:rPr>
        <w:t xml:space="preserve">d, </w:t>
      </w:r>
      <w:r w:rsidRPr="008A32B0">
        <w:rPr>
          <w:bCs/>
          <w:color w:val="000000" w:themeColor="text1"/>
        </w:rPr>
        <w:t xml:space="preserve">Group effects expressed as partial </w:t>
      </w:r>
      <w:r w:rsidRPr="000D31E6">
        <w:rPr>
          <w:rFonts w:ascii="Cambria" w:hAnsi="Cambria" w:cs="Cambria"/>
          <w:bCs/>
          <w:color w:val="000000" w:themeColor="text1"/>
        </w:rPr>
        <w:t>η</w:t>
      </w:r>
      <w:r w:rsidRPr="008A32B0">
        <w:rPr>
          <w:bCs/>
          <w:color w:val="000000" w:themeColor="text1"/>
        </w:rPr>
        <w:t xml:space="preserve">² before and after adjustment for FD. Adding FD changed partial </w:t>
      </w:r>
      <w:r w:rsidRPr="000D31E6">
        <w:rPr>
          <w:rFonts w:ascii="Cambria" w:hAnsi="Cambria" w:cs="Cambria"/>
          <w:bCs/>
          <w:color w:val="000000" w:themeColor="text1"/>
        </w:rPr>
        <w:t>η</w:t>
      </w:r>
      <w:r w:rsidRPr="008A32B0">
        <w:rPr>
          <w:bCs/>
          <w:color w:val="000000" w:themeColor="text1"/>
        </w:rPr>
        <w:t xml:space="preserve">² by ≤0.74 percentage points and did not alter the significance of any group effect. All tests are two-sided. In a, boxes show the median and interquartile range with 1.5 × IQR whiskers, with every twin plotted; b and c show ordinary least-squares fits with 95% confidence bands. Exact correlation coefficients and Bonferroni-corrected P values for the six NP measures and the 12 individual edges, and the partial </w:t>
      </w:r>
      <w:r w:rsidRPr="000D31E6">
        <w:rPr>
          <w:rFonts w:ascii="Cambria" w:hAnsi="Cambria" w:cs="Cambria"/>
          <w:bCs/>
          <w:color w:val="000000" w:themeColor="text1"/>
        </w:rPr>
        <w:t>η</w:t>
      </w:r>
      <w:r w:rsidRPr="008A32B0">
        <w:rPr>
          <w:bCs/>
          <w:color w:val="000000" w:themeColor="text1"/>
        </w:rPr>
        <w:t>² values with and without adjustment for framewise displacement shown in d, are listed in Table S24.</w:t>
      </w:r>
    </w:p>
    <w:p w14:paraId="1F252072" w14:textId="2E1EC4C7" w:rsidR="00F36FCD" w:rsidRPr="000D31E6" w:rsidRDefault="00F36FCD">
      <w:pPr>
        <w:rPr>
          <w:rFonts w:eastAsia="Times New Roman" w:cs="Times New Roman"/>
          <w:color w:val="000000" w:themeColor="text1"/>
          <w:lang w:eastAsia="zh-CN"/>
        </w:rPr>
      </w:pPr>
    </w:p>
    <w:p w14:paraId="66DACEB8" w14:textId="68F4800C" w:rsidR="00227080" w:rsidRPr="008A32B0" w:rsidRDefault="00F36FCD" w:rsidP="000D31E6">
      <w:pPr>
        <w:rPr>
          <w:lang w:eastAsia="zh-CN"/>
        </w:rPr>
      </w:pPr>
      <w:r w:rsidRPr="008A32B0">
        <w:rPr>
          <w:rFonts w:eastAsiaTheme="minorHAnsi"/>
          <w:b/>
          <w:bCs/>
          <w:lang w:val="en-GB"/>
        </w:rPr>
        <w:br w:type="page"/>
      </w:r>
    </w:p>
    <w:sectPr w:rsidR="00227080" w:rsidRPr="008A32B0" w:rsidSect="00147002">
      <w:footerReference w:type="even" r:id="rId17"/>
      <w:footerReference w:type="default" r:id="rId18"/>
      <w:pgSz w:w="12240" w:h="15840"/>
      <w:pgMar w:top="1440" w:right="1797" w:bottom="1440" w:left="1797"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Claude" w:date="2026-09-25T14:37:00Z" w:initials="C">
    <w:p w14:paraId="268FEB5F" w14:textId="77777777" w:rsidR="006A257E" w:rsidRDefault="00000000">
      <w:r>
        <w:rPr>
          <w:rStyle w:val="affb"/>
        </w:rPr>
        <w:annotationRef/>
      </w:r>
      <w:r>
        <w:rPr>
          <w:color w:val="000000"/>
          <w:sz w:val="20"/>
          <w:szCs w:val="20"/>
        </w:rPr>
        <w:t>Main section condensed by about 90 words across its five paragraphs (redundant bridging sentences removed; no reviewer-requested content cut). Addresses: word limit.</w:t>
      </w:r>
    </w:p>
  </w:comment>
  <w:comment w:id="3" w:author="Claude" w:date="2026-09-25T14:37:00Z" w:initials="C">
    <w:p w14:paraId="3E11BBF1" w14:textId="77777777" w:rsidR="006A257E" w:rsidRDefault="00000000">
      <w:r>
        <w:rPr>
          <w:rStyle w:val="affb"/>
        </w:rPr>
        <w:annotationRef/>
      </w:r>
      <w:r>
        <w:rPr>
          <w:color w:val="000000"/>
          <w:sz w:val="20"/>
          <w:szCs w:val="20"/>
        </w:rPr>
        <w:t>Overview condensed (about 45 words saved). Also corrects the cross-reference: dataset independence is in Supplementary Methods 14, not 1. Addresses: word limit; Reviewer 1 circularity (pointer to the independence section).</w:t>
      </w:r>
    </w:p>
  </w:comment>
  <w:comment w:id="6" w:author="Claude" w:date="2026-09-25T14:37:00Z" w:initials="C">
    <w:p w14:paraId="6F56C8D6" w14:textId="77777777" w:rsidR="006A257E" w:rsidRDefault="00000000">
      <w:r>
        <w:rPr>
          <w:rStyle w:val="affb"/>
        </w:rPr>
        <w:annotationRef/>
      </w:r>
      <w:r>
        <w:rPr>
          <w:color w:val="000000"/>
          <w:sz w:val="20"/>
          <w:szCs w:val="20"/>
        </w:rPr>
        <w:t>The previous sentence was not comprehensible, and it sits exactly where Reviewer 4 objected to the clustering. Rewritten; the grouping is now described as descriptive, defined as in the DTB analysis. 'Healthy cohort' changed to 'healthy volunteers': 27 participants in a crossover study are a sample, not a cohort. Addresses: Reviewer 4 clustering; terminology.</w:t>
      </w:r>
    </w:p>
  </w:comment>
  <w:comment w:id="7" w:author="Claude" w:date="2026-09-25T14:37:00Z" w:initials="C">
    <w:p w14:paraId="3D228ECF" w14:textId="77777777" w:rsidR="006A257E" w:rsidRDefault="00000000">
      <w:r>
        <w:rPr>
          <w:rStyle w:val="affb"/>
        </w:rPr>
        <w:annotationRef/>
      </w:r>
      <w:r>
        <w:rPr>
          <w:color w:val="000000"/>
          <w:sz w:val="20"/>
          <w:szCs w:val="20"/>
        </w:rPr>
        <w:t>The previous sentence said findings 'were not explained by head motion'. Supplementary Results 12 reports GABA-A-perturbed NP r = 0.268 (P = 4.1e-6) and GABA-A-induced change r = 0.204 (P = 5.1e-4). The main text now matches the supplement. Head motion is Fig. S23 (S17 is the emotional face task). The assimilation sentence now states n = 1 and the ICC. Addresses: motion overstatement (Reviewers 1 and 2); assimilation-stability scope (Reviewer 1).</w:t>
      </w:r>
    </w:p>
  </w:comment>
  <w:comment w:id="8" w:author="Claude" w:date="2026-09-25T14:37:00Z" w:initials="C">
    <w:p w14:paraId="59D8DA70" w14:textId="77777777" w:rsidR="006A257E" w:rsidRDefault="00000000">
      <w:r>
        <w:rPr>
          <w:rStyle w:val="affb"/>
        </w:rPr>
        <w:annotationRef/>
      </w:r>
      <w:r>
        <w:rPr>
          <w:color w:val="000000"/>
          <w:sz w:val="20"/>
          <w:szCs w:val="20"/>
        </w:rPr>
        <w:t>The ICC of 0.995 comes from five runs in a single participant. Stating it here pre-empts Reviewer 1's uncertainty question. Your inserted future-proofing passage is retained unchanged. Addresses: Reviewer 1 model uncertainty.</w:t>
      </w:r>
    </w:p>
  </w:comment>
  <w:comment w:id="9" w:author="Claude" w:date="2026-09-25T14:37:00Z" w:initials="C">
    <w:p w14:paraId="775CF9A1" w14:textId="77777777" w:rsidR="006A257E" w:rsidRDefault="00000000">
      <w:r>
        <w:rPr>
          <w:rStyle w:val="affb"/>
        </w:rPr>
        <w:annotationRef/>
      </w:r>
      <w:r>
        <w:rPr>
          <w:color w:val="000000"/>
          <w:sz w:val="20"/>
          <w:szCs w:val="20"/>
        </w:rPr>
        <w:t>Closing sentence no longer claims the models 'predict trajectories of brain and behaviour'; the longitudinal result is one association in 85 participants. Addresses: overclaiming (Reviewers 1 and 4); word limit.</w:t>
      </w:r>
    </w:p>
  </w:comment>
  <w:comment w:id="10" w:author="Claude" w:date="2026-09-25T14:37:00Z" w:initials="C">
    <w:p w14:paraId="71A9016A" w14:textId="77777777" w:rsidR="006A257E" w:rsidRDefault="00000000">
      <w:r>
        <w:rPr>
          <w:rStyle w:val="affb"/>
        </w:rPr>
        <w:annotationRef/>
      </w:r>
      <w:r>
        <w:rPr>
          <w:color w:val="000000"/>
          <w:sz w:val="20"/>
          <w:szCs w:val="20"/>
        </w:rPr>
        <w:t>Terminology: the 288 digital twins, the 36 clinical participants and the 85 follow-up participants are samples drawn from cohorts, not cohorts. Changed here and in the Figure 5 legend.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268FEB5F" w15:done="0"/>
  <w15:commentEx w15:paraId="3E11BBF1" w15:done="0"/>
  <w15:commentEx w15:paraId="6F56C8D6" w15:done="0"/>
  <w15:commentEx w15:paraId="3D228ECF" w15:done="0"/>
  <w15:commentEx w15:paraId="59D8DA70" w15:done="0"/>
  <w15:commentEx w15:paraId="775CF9A1" w15:done="0"/>
  <w15:commentEx w15:paraId="71A9016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143EB5F" w16cex:dateUtc="2026-09-25T14:37:00Z"/>
  <w16cex:commentExtensible w16cex:durableId="6CCA151F" w16cex:dateUtc="2026-09-25T14:37:00Z"/>
  <w16cex:commentExtensible w16cex:durableId="0EE6841C" w16cex:dateUtc="2026-09-25T14:37:00Z"/>
  <w16cex:commentExtensible w16cex:durableId="70415B89" w16cex:dateUtc="2026-09-25T14:37:00Z"/>
  <w16cex:commentExtensible w16cex:durableId="315AABB9" w16cex:dateUtc="2026-09-25T14:37:00Z"/>
  <w16cex:commentExtensible w16cex:durableId="0DA116B9" w16cex:dateUtc="2026-09-25T14:37:00Z"/>
  <w16cex:commentExtensible w16cex:durableId="2BE777CE" w16cex:dateUtc="2026-09-25T1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268FEB5F" w16cid:durableId="7143EB5F"/>
  <w16cid:commentId w16cid:paraId="3E11BBF1" w16cid:durableId="6CCA151F"/>
  <w16cid:commentId w16cid:paraId="6F56C8D6" w16cid:durableId="0EE6841C"/>
  <w16cid:commentId w16cid:paraId="3D228ECF" w16cid:durableId="70415B89"/>
  <w16cid:commentId w16cid:paraId="59D8DA70" w16cid:durableId="315AABB9"/>
  <w16cid:commentId w16cid:paraId="775CF9A1" w16cid:durableId="0DA116B9"/>
  <w16cid:commentId w16cid:paraId="71A9016A" w16cid:durableId="2BE77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72124C" w14:textId="77777777" w:rsidR="00495D27" w:rsidRDefault="00495D27" w:rsidP="00CC1407">
      <w:pPr>
        <w:spacing w:after="0" w:line="240" w:lineRule="auto"/>
      </w:pPr>
      <w:r>
        <w:separator/>
      </w:r>
    </w:p>
  </w:endnote>
  <w:endnote w:type="continuationSeparator" w:id="0">
    <w:p w14:paraId="0F7DF0D2" w14:textId="77777777" w:rsidR="00495D27" w:rsidRDefault="00495D27" w:rsidP="00CC1407">
      <w:pPr>
        <w:spacing w:after="0" w:line="240" w:lineRule="auto"/>
      </w:pPr>
      <w:r>
        <w:continuationSeparator/>
      </w:r>
    </w:p>
  </w:endnote>
  <w:endnote w:type="continuationNotice" w:id="1">
    <w:p w14:paraId="406674CF" w14:textId="77777777" w:rsidR="00495D27" w:rsidRDefault="00495D2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Optima">
    <w:panose1 w:val="02000503060000020004"/>
    <w:charset w:val="00"/>
    <w:family w:val="auto"/>
    <w:pitch w:val="variable"/>
    <w:sig w:usb0="80000067" w:usb1="00000000" w:usb2="00000000" w:usb3="00000000" w:csb0="00000001" w:csb1="00000000"/>
  </w:font>
  <w:font w:name="Times New Roman (正文 CS 字体)">
    <w:altName w:val="宋体"/>
    <w:panose1 w:val="020B0604020202020204"/>
    <w:charset w:val="86"/>
    <w:family w:val="roman"/>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ppleSystemUIFont">
    <w:altName w:val="Cambria"/>
    <w:panose1 w:val="020B0604020202020204"/>
    <w:charset w:val="00"/>
    <w:family w:val="roman"/>
    <w:pitch w:val="default"/>
  </w:font>
  <w:font w:name=".AppleSystemUIFontMonospaced">
    <w:altName w:val="Cambria"/>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 w:name="微软雅黑">
    <w:altName w:val="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f9"/>
      </w:rPr>
      <w:id w:val="848761096"/>
      <w:docPartObj>
        <w:docPartGallery w:val="Page Numbers (Bottom of Page)"/>
        <w:docPartUnique/>
      </w:docPartObj>
    </w:sdtPr>
    <w:sdtContent>
      <w:p w14:paraId="14F5B4A1" w14:textId="144E6071" w:rsidR="00CC1407" w:rsidRDefault="00CC1407">
        <w:pPr>
          <w:pStyle w:val="a7"/>
          <w:framePr w:wrap="none" w:vAnchor="text" w:hAnchor="margin" w:xAlign="right" w:y="1"/>
          <w:rPr>
            <w:rStyle w:val="aff9"/>
          </w:rPr>
        </w:pPr>
        <w:r>
          <w:rPr>
            <w:rStyle w:val="aff9"/>
          </w:rPr>
          <w:fldChar w:fldCharType="begin"/>
        </w:r>
        <w:r>
          <w:rPr>
            <w:rStyle w:val="aff9"/>
          </w:rPr>
          <w:instrText xml:space="preserve"> PAGE </w:instrText>
        </w:r>
        <w:r>
          <w:rPr>
            <w:rStyle w:val="aff9"/>
          </w:rPr>
          <w:fldChar w:fldCharType="separate"/>
        </w:r>
        <w:r>
          <w:rPr>
            <w:rStyle w:val="aff9"/>
          </w:rPr>
          <w:fldChar w:fldCharType="end"/>
        </w:r>
      </w:p>
    </w:sdtContent>
  </w:sdt>
  <w:p w14:paraId="73C2D86D" w14:textId="77777777" w:rsidR="00CC1407" w:rsidRDefault="00CC1407" w:rsidP="00CC1407">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aff9"/>
      </w:rPr>
      <w:id w:val="-1195997886"/>
      <w:docPartObj>
        <w:docPartGallery w:val="Page Numbers (Bottom of Page)"/>
        <w:docPartUnique/>
      </w:docPartObj>
    </w:sdtPr>
    <w:sdtContent>
      <w:p w14:paraId="00865A84" w14:textId="47C6F842" w:rsidR="00CC1407" w:rsidRDefault="00CC1407">
        <w:pPr>
          <w:pStyle w:val="a7"/>
          <w:framePr w:wrap="none" w:vAnchor="text" w:hAnchor="margin" w:xAlign="right" w:y="1"/>
          <w:rPr>
            <w:rStyle w:val="aff9"/>
          </w:rPr>
        </w:pPr>
        <w:r>
          <w:rPr>
            <w:rStyle w:val="aff9"/>
          </w:rPr>
          <w:fldChar w:fldCharType="begin"/>
        </w:r>
        <w:r>
          <w:rPr>
            <w:rStyle w:val="aff9"/>
          </w:rPr>
          <w:instrText xml:space="preserve"> PAGE </w:instrText>
        </w:r>
        <w:r>
          <w:rPr>
            <w:rStyle w:val="aff9"/>
          </w:rPr>
          <w:fldChar w:fldCharType="separate"/>
        </w:r>
        <w:r>
          <w:rPr>
            <w:rStyle w:val="aff9"/>
            <w:noProof/>
          </w:rPr>
          <w:t>18</w:t>
        </w:r>
        <w:r>
          <w:rPr>
            <w:rStyle w:val="aff9"/>
          </w:rPr>
          <w:fldChar w:fldCharType="end"/>
        </w:r>
      </w:p>
    </w:sdtContent>
  </w:sdt>
  <w:p w14:paraId="4E85DD44" w14:textId="77777777" w:rsidR="00CC1407" w:rsidRDefault="00CC1407" w:rsidP="00CC1407">
    <w:pPr>
      <w:pStyle w:val="a7"/>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6C43FAB" w14:textId="77777777" w:rsidR="00495D27" w:rsidRDefault="00495D27" w:rsidP="00CC1407">
      <w:pPr>
        <w:spacing w:after="0" w:line="240" w:lineRule="auto"/>
      </w:pPr>
      <w:r>
        <w:separator/>
      </w:r>
    </w:p>
  </w:footnote>
  <w:footnote w:type="continuationSeparator" w:id="0">
    <w:p w14:paraId="42DC6DFA" w14:textId="77777777" w:rsidR="00495D27" w:rsidRDefault="00495D27" w:rsidP="00CC1407">
      <w:pPr>
        <w:spacing w:after="0" w:line="240" w:lineRule="auto"/>
      </w:pPr>
      <w:r>
        <w:continuationSeparator/>
      </w:r>
    </w:p>
  </w:footnote>
  <w:footnote w:type="continuationNotice" w:id="1">
    <w:p w14:paraId="03A3E0E3" w14:textId="77777777" w:rsidR="00495D27" w:rsidRDefault="00495D2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4197920"/>
    <w:multiLevelType w:val="hybridMultilevel"/>
    <w:tmpl w:val="1BFCE732"/>
    <w:lvl w:ilvl="0" w:tplc="EC66C054">
      <w:start w:val="1"/>
      <w:numFmt w:val="bullet"/>
      <w:lvlText w:val="•"/>
      <w:lvlJc w:val="left"/>
      <w:pPr>
        <w:tabs>
          <w:tab w:val="num" w:pos="720"/>
        </w:tabs>
        <w:ind w:left="720" w:hanging="360"/>
      </w:pPr>
      <w:rPr>
        <w:rFonts w:ascii="Arial" w:hAnsi="Arial" w:hint="default"/>
      </w:rPr>
    </w:lvl>
    <w:lvl w:ilvl="1" w:tplc="D8A021FC" w:tentative="1">
      <w:start w:val="1"/>
      <w:numFmt w:val="bullet"/>
      <w:lvlText w:val="•"/>
      <w:lvlJc w:val="left"/>
      <w:pPr>
        <w:tabs>
          <w:tab w:val="num" w:pos="1440"/>
        </w:tabs>
        <w:ind w:left="1440" w:hanging="360"/>
      </w:pPr>
      <w:rPr>
        <w:rFonts w:ascii="Arial" w:hAnsi="Arial" w:hint="default"/>
      </w:rPr>
    </w:lvl>
    <w:lvl w:ilvl="2" w:tplc="03566EF0" w:tentative="1">
      <w:start w:val="1"/>
      <w:numFmt w:val="bullet"/>
      <w:lvlText w:val="•"/>
      <w:lvlJc w:val="left"/>
      <w:pPr>
        <w:tabs>
          <w:tab w:val="num" w:pos="2160"/>
        </w:tabs>
        <w:ind w:left="2160" w:hanging="360"/>
      </w:pPr>
      <w:rPr>
        <w:rFonts w:ascii="Arial" w:hAnsi="Arial" w:hint="default"/>
      </w:rPr>
    </w:lvl>
    <w:lvl w:ilvl="3" w:tplc="7E748590" w:tentative="1">
      <w:start w:val="1"/>
      <w:numFmt w:val="bullet"/>
      <w:lvlText w:val="•"/>
      <w:lvlJc w:val="left"/>
      <w:pPr>
        <w:tabs>
          <w:tab w:val="num" w:pos="2880"/>
        </w:tabs>
        <w:ind w:left="2880" w:hanging="360"/>
      </w:pPr>
      <w:rPr>
        <w:rFonts w:ascii="Arial" w:hAnsi="Arial" w:hint="default"/>
      </w:rPr>
    </w:lvl>
    <w:lvl w:ilvl="4" w:tplc="62AA9C5E" w:tentative="1">
      <w:start w:val="1"/>
      <w:numFmt w:val="bullet"/>
      <w:lvlText w:val="•"/>
      <w:lvlJc w:val="left"/>
      <w:pPr>
        <w:tabs>
          <w:tab w:val="num" w:pos="3600"/>
        </w:tabs>
        <w:ind w:left="3600" w:hanging="360"/>
      </w:pPr>
      <w:rPr>
        <w:rFonts w:ascii="Arial" w:hAnsi="Arial" w:hint="default"/>
      </w:rPr>
    </w:lvl>
    <w:lvl w:ilvl="5" w:tplc="5C522F08" w:tentative="1">
      <w:start w:val="1"/>
      <w:numFmt w:val="bullet"/>
      <w:lvlText w:val="•"/>
      <w:lvlJc w:val="left"/>
      <w:pPr>
        <w:tabs>
          <w:tab w:val="num" w:pos="4320"/>
        </w:tabs>
        <w:ind w:left="4320" w:hanging="360"/>
      </w:pPr>
      <w:rPr>
        <w:rFonts w:ascii="Arial" w:hAnsi="Arial" w:hint="default"/>
      </w:rPr>
    </w:lvl>
    <w:lvl w:ilvl="6" w:tplc="8B9E8D4C" w:tentative="1">
      <w:start w:val="1"/>
      <w:numFmt w:val="bullet"/>
      <w:lvlText w:val="•"/>
      <w:lvlJc w:val="left"/>
      <w:pPr>
        <w:tabs>
          <w:tab w:val="num" w:pos="5040"/>
        </w:tabs>
        <w:ind w:left="5040" w:hanging="360"/>
      </w:pPr>
      <w:rPr>
        <w:rFonts w:ascii="Arial" w:hAnsi="Arial" w:hint="default"/>
      </w:rPr>
    </w:lvl>
    <w:lvl w:ilvl="7" w:tplc="3190CF2A" w:tentative="1">
      <w:start w:val="1"/>
      <w:numFmt w:val="bullet"/>
      <w:lvlText w:val="•"/>
      <w:lvlJc w:val="left"/>
      <w:pPr>
        <w:tabs>
          <w:tab w:val="num" w:pos="5760"/>
        </w:tabs>
        <w:ind w:left="5760" w:hanging="360"/>
      </w:pPr>
      <w:rPr>
        <w:rFonts w:ascii="Arial" w:hAnsi="Arial" w:hint="default"/>
      </w:rPr>
    </w:lvl>
    <w:lvl w:ilvl="8" w:tplc="FB48941E"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27E06B15"/>
    <w:multiLevelType w:val="hybridMultilevel"/>
    <w:tmpl w:val="8C92697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D166A03"/>
    <w:multiLevelType w:val="hybridMultilevel"/>
    <w:tmpl w:val="921848BC"/>
    <w:lvl w:ilvl="0" w:tplc="D102DA92">
      <w:start w:val="1"/>
      <w:numFmt w:val="bullet"/>
      <w:lvlText w:val="•"/>
      <w:lvlJc w:val="left"/>
      <w:pPr>
        <w:tabs>
          <w:tab w:val="num" w:pos="720"/>
        </w:tabs>
        <w:ind w:left="720" w:hanging="360"/>
      </w:pPr>
      <w:rPr>
        <w:rFonts w:ascii="Arial" w:hAnsi="Arial" w:hint="default"/>
      </w:rPr>
    </w:lvl>
    <w:lvl w:ilvl="1" w:tplc="BF5849EE" w:tentative="1">
      <w:start w:val="1"/>
      <w:numFmt w:val="bullet"/>
      <w:lvlText w:val="•"/>
      <w:lvlJc w:val="left"/>
      <w:pPr>
        <w:tabs>
          <w:tab w:val="num" w:pos="1440"/>
        </w:tabs>
        <w:ind w:left="1440" w:hanging="360"/>
      </w:pPr>
      <w:rPr>
        <w:rFonts w:ascii="Arial" w:hAnsi="Arial" w:hint="default"/>
      </w:rPr>
    </w:lvl>
    <w:lvl w:ilvl="2" w:tplc="B49E8264" w:tentative="1">
      <w:start w:val="1"/>
      <w:numFmt w:val="bullet"/>
      <w:lvlText w:val="•"/>
      <w:lvlJc w:val="left"/>
      <w:pPr>
        <w:tabs>
          <w:tab w:val="num" w:pos="2160"/>
        </w:tabs>
        <w:ind w:left="2160" w:hanging="360"/>
      </w:pPr>
      <w:rPr>
        <w:rFonts w:ascii="Arial" w:hAnsi="Arial" w:hint="default"/>
      </w:rPr>
    </w:lvl>
    <w:lvl w:ilvl="3" w:tplc="BE3CAAA8" w:tentative="1">
      <w:start w:val="1"/>
      <w:numFmt w:val="bullet"/>
      <w:lvlText w:val="•"/>
      <w:lvlJc w:val="left"/>
      <w:pPr>
        <w:tabs>
          <w:tab w:val="num" w:pos="2880"/>
        </w:tabs>
        <w:ind w:left="2880" w:hanging="360"/>
      </w:pPr>
      <w:rPr>
        <w:rFonts w:ascii="Arial" w:hAnsi="Arial" w:hint="default"/>
      </w:rPr>
    </w:lvl>
    <w:lvl w:ilvl="4" w:tplc="7604D422" w:tentative="1">
      <w:start w:val="1"/>
      <w:numFmt w:val="bullet"/>
      <w:lvlText w:val="•"/>
      <w:lvlJc w:val="left"/>
      <w:pPr>
        <w:tabs>
          <w:tab w:val="num" w:pos="3600"/>
        </w:tabs>
        <w:ind w:left="3600" w:hanging="360"/>
      </w:pPr>
      <w:rPr>
        <w:rFonts w:ascii="Arial" w:hAnsi="Arial" w:hint="default"/>
      </w:rPr>
    </w:lvl>
    <w:lvl w:ilvl="5" w:tplc="A9F0FFFA" w:tentative="1">
      <w:start w:val="1"/>
      <w:numFmt w:val="bullet"/>
      <w:lvlText w:val="•"/>
      <w:lvlJc w:val="left"/>
      <w:pPr>
        <w:tabs>
          <w:tab w:val="num" w:pos="4320"/>
        </w:tabs>
        <w:ind w:left="4320" w:hanging="360"/>
      </w:pPr>
      <w:rPr>
        <w:rFonts w:ascii="Arial" w:hAnsi="Arial" w:hint="default"/>
      </w:rPr>
    </w:lvl>
    <w:lvl w:ilvl="6" w:tplc="DBE8D54A" w:tentative="1">
      <w:start w:val="1"/>
      <w:numFmt w:val="bullet"/>
      <w:lvlText w:val="•"/>
      <w:lvlJc w:val="left"/>
      <w:pPr>
        <w:tabs>
          <w:tab w:val="num" w:pos="5040"/>
        </w:tabs>
        <w:ind w:left="5040" w:hanging="360"/>
      </w:pPr>
      <w:rPr>
        <w:rFonts w:ascii="Arial" w:hAnsi="Arial" w:hint="default"/>
      </w:rPr>
    </w:lvl>
    <w:lvl w:ilvl="7" w:tplc="2C507BF0" w:tentative="1">
      <w:start w:val="1"/>
      <w:numFmt w:val="bullet"/>
      <w:lvlText w:val="•"/>
      <w:lvlJc w:val="left"/>
      <w:pPr>
        <w:tabs>
          <w:tab w:val="num" w:pos="5760"/>
        </w:tabs>
        <w:ind w:left="5760" w:hanging="360"/>
      </w:pPr>
      <w:rPr>
        <w:rFonts w:ascii="Arial" w:hAnsi="Arial" w:hint="default"/>
      </w:rPr>
    </w:lvl>
    <w:lvl w:ilvl="8" w:tplc="2C30906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32994CFD"/>
    <w:multiLevelType w:val="hybridMultilevel"/>
    <w:tmpl w:val="7FAC7A5C"/>
    <w:lvl w:ilvl="0" w:tplc="ABF444CA">
      <w:start w:val="1"/>
      <w:numFmt w:val="bullet"/>
      <w:lvlText w:val="•"/>
      <w:lvlJc w:val="left"/>
      <w:pPr>
        <w:tabs>
          <w:tab w:val="num" w:pos="720"/>
        </w:tabs>
        <w:ind w:left="720" w:hanging="360"/>
      </w:pPr>
      <w:rPr>
        <w:rFonts w:ascii="Arial" w:hAnsi="Arial" w:hint="default"/>
      </w:rPr>
    </w:lvl>
    <w:lvl w:ilvl="1" w:tplc="657CB102" w:tentative="1">
      <w:start w:val="1"/>
      <w:numFmt w:val="bullet"/>
      <w:lvlText w:val="•"/>
      <w:lvlJc w:val="left"/>
      <w:pPr>
        <w:tabs>
          <w:tab w:val="num" w:pos="1440"/>
        </w:tabs>
        <w:ind w:left="1440" w:hanging="360"/>
      </w:pPr>
      <w:rPr>
        <w:rFonts w:ascii="Arial" w:hAnsi="Arial" w:hint="default"/>
      </w:rPr>
    </w:lvl>
    <w:lvl w:ilvl="2" w:tplc="06FEB0CA" w:tentative="1">
      <w:start w:val="1"/>
      <w:numFmt w:val="bullet"/>
      <w:lvlText w:val="•"/>
      <w:lvlJc w:val="left"/>
      <w:pPr>
        <w:tabs>
          <w:tab w:val="num" w:pos="2160"/>
        </w:tabs>
        <w:ind w:left="2160" w:hanging="360"/>
      </w:pPr>
      <w:rPr>
        <w:rFonts w:ascii="Arial" w:hAnsi="Arial" w:hint="default"/>
      </w:rPr>
    </w:lvl>
    <w:lvl w:ilvl="3" w:tplc="C1DA3B86" w:tentative="1">
      <w:start w:val="1"/>
      <w:numFmt w:val="bullet"/>
      <w:lvlText w:val="•"/>
      <w:lvlJc w:val="left"/>
      <w:pPr>
        <w:tabs>
          <w:tab w:val="num" w:pos="2880"/>
        </w:tabs>
        <w:ind w:left="2880" w:hanging="360"/>
      </w:pPr>
      <w:rPr>
        <w:rFonts w:ascii="Arial" w:hAnsi="Arial" w:hint="default"/>
      </w:rPr>
    </w:lvl>
    <w:lvl w:ilvl="4" w:tplc="18502D38" w:tentative="1">
      <w:start w:val="1"/>
      <w:numFmt w:val="bullet"/>
      <w:lvlText w:val="•"/>
      <w:lvlJc w:val="left"/>
      <w:pPr>
        <w:tabs>
          <w:tab w:val="num" w:pos="3600"/>
        </w:tabs>
        <w:ind w:left="3600" w:hanging="360"/>
      </w:pPr>
      <w:rPr>
        <w:rFonts w:ascii="Arial" w:hAnsi="Arial" w:hint="default"/>
      </w:rPr>
    </w:lvl>
    <w:lvl w:ilvl="5" w:tplc="0372992C" w:tentative="1">
      <w:start w:val="1"/>
      <w:numFmt w:val="bullet"/>
      <w:lvlText w:val="•"/>
      <w:lvlJc w:val="left"/>
      <w:pPr>
        <w:tabs>
          <w:tab w:val="num" w:pos="4320"/>
        </w:tabs>
        <w:ind w:left="4320" w:hanging="360"/>
      </w:pPr>
      <w:rPr>
        <w:rFonts w:ascii="Arial" w:hAnsi="Arial" w:hint="default"/>
      </w:rPr>
    </w:lvl>
    <w:lvl w:ilvl="6" w:tplc="A9A6EB94" w:tentative="1">
      <w:start w:val="1"/>
      <w:numFmt w:val="bullet"/>
      <w:lvlText w:val="•"/>
      <w:lvlJc w:val="left"/>
      <w:pPr>
        <w:tabs>
          <w:tab w:val="num" w:pos="5040"/>
        </w:tabs>
        <w:ind w:left="5040" w:hanging="360"/>
      </w:pPr>
      <w:rPr>
        <w:rFonts w:ascii="Arial" w:hAnsi="Arial" w:hint="default"/>
      </w:rPr>
    </w:lvl>
    <w:lvl w:ilvl="7" w:tplc="1860887A" w:tentative="1">
      <w:start w:val="1"/>
      <w:numFmt w:val="bullet"/>
      <w:lvlText w:val="•"/>
      <w:lvlJc w:val="left"/>
      <w:pPr>
        <w:tabs>
          <w:tab w:val="num" w:pos="5760"/>
        </w:tabs>
        <w:ind w:left="5760" w:hanging="360"/>
      </w:pPr>
      <w:rPr>
        <w:rFonts w:ascii="Arial" w:hAnsi="Arial" w:hint="default"/>
      </w:rPr>
    </w:lvl>
    <w:lvl w:ilvl="8" w:tplc="4DAC0E18"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28D2C32"/>
    <w:multiLevelType w:val="hybridMultilevel"/>
    <w:tmpl w:val="76CA8DD8"/>
    <w:lvl w:ilvl="0" w:tplc="150CE74C">
      <w:start w:val="1"/>
      <w:numFmt w:val="bullet"/>
      <w:lvlText w:val="•"/>
      <w:lvlJc w:val="left"/>
      <w:pPr>
        <w:tabs>
          <w:tab w:val="num" w:pos="720"/>
        </w:tabs>
        <w:ind w:left="720" w:hanging="360"/>
      </w:pPr>
      <w:rPr>
        <w:rFonts w:ascii="Arial" w:hAnsi="Arial" w:hint="default"/>
      </w:rPr>
    </w:lvl>
    <w:lvl w:ilvl="1" w:tplc="D79C0C58" w:tentative="1">
      <w:start w:val="1"/>
      <w:numFmt w:val="bullet"/>
      <w:lvlText w:val="•"/>
      <w:lvlJc w:val="left"/>
      <w:pPr>
        <w:tabs>
          <w:tab w:val="num" w:pos="1440"/>
        </w:tabs>
        <w:ind w:left="1440" w:hanging="360"/>
      </w:pPr>
      <w:rPr>
        <w:rFonts w:ascii="Arial" w:hAnsi="Arial" w:hint="default"/>
      </w:rPr>
    </w:lvl>
    <w:lvl w:ilvl="2" w:tplc="0832C822" w:tentative="1">
      <w:start w:val="1"/>
      <w:numFmt w:val="bullet"/>
      <w:lvlText w:val="•"/>
      <w:lvlJc w:val="left"/>
      <w:pPr>
        <w:tabs>
          <w:tab w:val="num" w:pos="2160"/>
        </w:tabs>
        <w:ind w:left="2160" w:hanging="360"/>
      </w:pPr>
      <w:rPr>
        <w:rFonts w:ascii="Arial" w:hAnsi="Arial" w:hint="default"/>
      </w:rPr>
    </w:lvl>
    <w:lvl w:ilvl="3" w:tplc="709688FE" w:tentative="1">
      <w:start w:val="1"/>
      <w:numFmt w:val="bullet"/>
      <w:lvlText w:val="•"/>
      <w:lvlJc w:val="left"/>
      <w:pPr>
        <w:tabs>
          <w:tab w:val="num" w:pos="2880"/>
        </w:tabs>
        <w:ind w:left="2880" w:hanging="360"/>
      </w:pPr>
      <w:rPr>
        <w:rFonts w:ascii="Arial" w:hAnsi="Arial" w:hint="default"/>
      </w:rPr>
    </w:lvl>
    <w:lvl w:ilvl="4" w:tplc="1F1604D0" w:tentative="1">
      <w:start w:val="1"/>
      <w:numFmt w:val="bullet"/>
      <w:lvlText w:val="•"/>
      <w:lvlJc w:val="left"/>
      <w:pPr>
        <w:tabs>
          <w:tab w:val="num" w:pos="3600"/>
        </w:tabs>
        <w:ind w:left="3600" w:hanging="360"/>
      </w:pPr>
      <w:rPr>
        <w:rFonts w:ascii="Arial" w:hAnsi="Arial" w:hint="default"/>
      </w:rPr>
    </w:lvl>
    <w:lvl w:ilvl="5" w:tplc="E8745AC8" w:tentative="1">
      <w:start w:val="1"/>
      <w:numFmt w:val="bullet"/>
      <w:lvlText w:val="•"/>
      <w:lvlJc w:val="left"/>
      <w:pPr>
        <w:tabs>
          <w:tab w:val="num" w:pos="4320"/>
        </w:tabs>
        <w:ind w:left="4320" w:hanging="360"/>
      </w:pPr>
      <w:rPr>
        <w:rFonts w:ascii="Arial" w:hAnsi="Arial" w:hint="default"/>
      </w:rPr>
    </w:lvl>
    <w:lvl w:ilvl="6" w:tplc="0DD4F398" w:tentative="1">
      <w:start w:val="1"/>
      <w:numFmt w:val="bullet"/>
      <w:lvlText w:val="•"/>
      <w:lvlJc w:val="left"/>
      <w:pPr>
        <w:tabs>
          <w:tab w:val="num" w:pos="5040"/>
        </w:tabs>
        <w:ind w:left="5040" w:hanging="360"/>
      </w:pPr>
      <w:rPr>
        <w:rFonts w:ascii="Arial" w:hAnsi="Arial" w:hint="default"/>
      </w:rPr>
    </w:lvl>
    <w:lvl w:ilvl="7" w:tplc="D772C3D0" w:tentative="1">
      <w:start w:val="1"/>
      <w:numFmt w:val="bullet"/>
      <w:lvlText w:val="•"/>
      <w:lvlJc w:val="left"/>
      <w:pPr>
        <w:tabs>
          <w:tab w:val="num" w:pos="5760"/>
        </w:tabs>
        <w:ind w:left="5760" w:hanging="360"/>
      </w:pPr>
      <w:rPr>
        <w:rFonts w:ascii="Arial" w:hAnsi="Arial" w:hint="default"/>
      </w:rPr>
    </w:lvl>
    <w:lvl w:ilvl="8" w:tplc="9DF8A29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9084519"/>
    <w:multiLevelType w:val="hybridMultilevel"/>
    <w:tmpl w:val="1E0C1C2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652516E9"/>
    <w:multiLevelType w:val="hybridMultilevel"/>
    <w:tmpl w:val="50482B3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731422F8"/>
    <w:multiLevelType w:val="hybridMultilevel"/>
    <w:tmpl w:val="9214B64A"/>
    <w:lvl w:ilvl="0" w:tplc="C2446132">
      <w:start w:val="1"/>
      <w:numFmt w:val="bullet"/>
      <w:lvlText w:val="•"/>
      <w:lvlJc w:val="left"/>
      <w:pPr>
        <w:tabs>
          <w:tab w:val="num" w:pos="720"/>
        </w:tabs>
        <w:ind w:left="720" w:hanging="360"/>
      </w:pPr>
      <w:rPr>
        <w:rFonts w:ascii="Arial" w:hAnsi="Arial" w:hint="default"/>
      </w:rPr>
    </w:lvl>
    <w:lvl w:ilvl="1" w:tplc="49DE252A" w:tentative="1">
      <w:start w:val="1"/>
      <w:numFmt w:val="bullet"/>
      <w:lvlText w:val="•"/>
      <w:lvlJc w:val="left"/>
      <w:pPr>
        <w:tabs>
          <w:tab w:val="num" w:pos="1440"/>
        </w:tabs>
        <w:ind w:left="1440" w:hanging="360"/>
      </w:pPr>
      <w:rPr>
        <w:rFonts w:ascii="Arial" w:hAnsi="Arial" w:hint="default"/>
      </w:rPr>
    </w:lvl>
    <w:lvl w:ilvl="2" w:tplc="062C48D8" w:tentative="1">
      <w:start w:val="1"/>
      <w:numFmt w:val="bullet"/>
      <w:lvlText w:val="•"/>
      <w:lvlJc w:val="left"/>
      <w:pPr>
        <w:tabs>
          <w:tab w:val="num" w:pos="2160"/>
        </w:tabs>
        <w:ind w:left="2160" w:hanging="360"/>
      </w:pPr>
      <w:rPr>
        <w:rFonts w:ascii="Arial" w:hAnsi="Arial" w:hint="default"/>
      </w:rPr>
    </w:lvl>
    <w:lvl w:ilvl="3" w:tplc="E3D867A8" w:tentative="1">
      <w:start w:val="1"/>
      <w:numFmt w:val="bullet"/>
      <w:lvlText w:val="•"/>
      <w:lvlJc w:val="left"/>
      <w:pPr>
        <w:tabs>
          <w:tab w:val="num" w:pos="2880"/>
        </w:tabs>
        <w:ind w:left="2880" w:hanging="360"/>
      </w:pPr>
      <w:rPr>
        <w:rFonts w:ascii="Arial" w:hAnsi="Arial" w:hint="default"/>
      </w:rPr>
    </w:lvl>
    <w:lvl w:ilvl="4" w:tplc="F8880416" w:tentative="1">
      <w:start w:val="1"/>
      <w:numFmt w:val="bullet"/>
      <w:lvlText w:val="•"/>
      <w:lvlJc w:val="left"/>
      <w:pPr>
        <w:tabs>
          <w:tab w:val="num" w:pos="3600"/>
        </w:tabs>
        <w:ind w:left="3600" w:hanging="360"/>
      </w:pPr>
      <w:rPr>
        <w:rFonts w:ascii="Arial" w:hAnsi="Arial" w:hint="default"/>
      </w:rPr>
    </w:lvl>
    <w:lvl w:ilvl="5" w:tplc="418C2758" w:tentative="1">
      <w:start w:val="1"/>
      <w:numFmt w:val="bullet"/>
      <w:lvlText w:val="•"/>
      <w:lvlJc w:val="left"/>
      <w:pPr>
        <w:tabs>
          <w:tab w:val="num" w:pos="4320"/>
        </w:tabs>
        <w:ind w:left="4320" w:hanging="360"/>
      </w:pPr>
      <w:rPr>
        <w:rFonts w:ascii="Arial" w:hAnsi="Arial" w:hint="default"/>
      </w:rPr>
    </w:lvl>
    <w:lvl w:ilvl="6" w:tplc="D920510A" w:tentative="1">
      <w:start w:val="1"/>
      <w:numFmt w:val="bullet"/>
      <w:lvlText w:val="•"/>
      <w:lvlJc w:val="left"/>
      <w:pPr>
        <w:tabs>
          <w:tab w:val="num" w:pos="5040"/>
        </w:tabs>
        <w:ind w:left="5040" w:hanging="360"/>
      </w:pPr>
      <w:rPr>
        <w:rFonts w:ascii="Arial" w:hAnsi="Arial" w:hint="default"/>
      </w:rPr>
    </w:lvl>
    <w:lvl w:ilvl="7" w:tplc="4002D7AE" w:tentative="1">
      <w:start w:val="1"/>
      <w:numFmt w:val="bullet"/>
      <w:lvlText w:val="•"/>
      <w:lvlJc w:val="left"/>
      <w:pPr>
        <w:tabs>
          <w:tab w:val="num" w:pos="5760"/>
        </w:tabs>
        <w:ind w:left="5760" w:hanging="360"/>
      </w:pPr>
      <w:rPr>
        <w:rFonts w:ascii="Arial" w:hAnsi="Arial" w:hint="default"/>
      </w:rPr>
    </w:lvl>
    <w:lvl w:ilvl="8" w:tplc="F168C2EC" w:tentative="1">
      <w:start w:val="1"/>
      <w:numFmt w:val="bullet"/>
      <w:lvlText w:val="•"/>
      <w:lvlJc w:val="left"/>
      <w:pPr>
        <w:tabs>
          <w:tab w:val="num" w:pos="6480"/>
        </w:tabs>
        <w:ind w:left="6480" w:hanging="360"/>
      </w:pPr>
      <w:rPr>
        <w:rFonts w:ascii="Arial" w:hAnsi="Arial" w:hint="default"/>
      </w:rPr>
    </w:lvl>
  </w:abstractNum>
  <w:num w:numId="1" w16cid:durableId="1986621923">
    <w:abstractNumId w:val="8"/>
  </w:num>
  <w:num w:numId="2" w16cid:durableId="730154943">
    <w:abstractNumId w:val="6"/>
  </w:num>
  <w:num w:numId="3" w16cid:durableId="125009141">
    <w:abstractNumId w:val="5"/>
  </w:num>
  <w:num w:numId="4" w16cid:durableId="1943605351">
    <w:abstractNumId w:val="4"/>
  </w:num>
  <w:num w:numId="5" w16cid:durableId="1613977952">
    <w:abstractNumId w:val="7"/>
  </w:num>
  <w:num w:numId="6" w16cid:durableId="2127699233">
    <w:abstractNumId w:val="3"/>
  </w:num>
  <w:num w:numId="7" w16cid:durableId="995114291">
    <w:abstractNumId w:val="2"/>
  </w:num>
  <w:num w:numId="8" w16cid:durableId="89206207">
    <w:abstractNumId w:val="1"/>
  </w:num>
  <w:num w:numId="9" w16cid:durableId="1851289269">
    <w:abstractNumId w:val="0"/>
  </w:num>
  <w:num w:numId="10" w16cid:durableId="1252275452">
    <w:abstractNumId w:val="14"/>
  </w:num>
  <w:num w:numId="11" w16cid:durableId="239559242">
    <w:abstractNumId w:val="15"/>
  </w:num>
  <w:num w:numId="12" w16cid:durableId="340395258">
    <w:abstractNumId w:val="11"/>
  </w:num>
  <w:num w:numId="13" w16cid:durableId="374551151">
    <w:abstractNumId w:val="12"/>
  </w:num>
  <w:num w:numId="14" w16cid:durableId="1786121405">
    <w:abstractNumId w:val="9"/>
  </w:num>
  <w:num w:numId="15" w16cid:durableId="1521358034">
    <w:abstractNumId w:val="13"/>
  </w:num>
  <w:num w:numId="16" w16cid:durableId="1965772144">
    <w:abstractNumId w:val="16"/>
  </w:num>
  <w:num w:numId="17" w16cid:durableId="13336098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22"/>
    <w:rsid w:val="00001F37"/>
    <w:rsid w:val="00002C00"/>
    <w:rsid w:val="00006950"/>
    <w:rsid w:val="00011987"/>
    <w:rsid w:val="00013278"/>
    <w:rsid w:val="00014E33"/>
    <w:rsid w:val="00015015"/>
    <w:rsid w:val="00016BB4"/>
    <w:rsid w:val="00017244"/>
    <w:rsid w:val="00023738"/>
    <w:rsid w:val="00030F06"/>
    <w:rsid w:val="00033D6C"/>
    <w:rsid w:val="00034616"/>
    <w:rsid w:val="00036934"/>
    <w:rsid w:val="000444FC"/>
    <w:rsid w:val="00052189"/>
    <w:rsid w:val="000543BC"/>
    <w:rsid w:val="000571EC"/>
    <w:rsid w:val="0006063C"/>
    <w:rsid w:val="00067A00"/>
    <w:rsid w:val="00067DD3"/>
    <w:rsid w:val="000724A7"/>
    <w:rsid w:val="0007334A"/>
    <w:rsid w:val="000737AA"/>
    <w:rsid w:val="00075B4F"/>
    <w:rsid w:val="0007600F"/>
    <w:rsid w:val="00077DBA"/>
    <w:rsid w:val="000820FD"/>
    <w:rsid w:val="00082809"/>
    <w:rsid w:val="000836BE"/>
    <w:rsid w:val="00090DDA"/>
    <w:rsid w:val="0009367C"/>
    <w:rsid w:val="00095903"/>
    <w:rsid w:val="000A094B"/>
    <w:rsid w:val="000A13E4"/>
    <w:rsid w:val="000B04A4"/>
    <w:rsid w:val="000B0874"/>
    <w:rsid w:val="000B0955"/>
    <w:rsid w:val="000B4666"/>
    <w:rsid w:val="000B7398"/>
    <w:rsid w:val="000C00B8"/>
    <w:rsid w:val="000C1A1D"/>
    <w:rsid w:val="000C4597"/>
    <w:rsid w:val="000C60EA"/>
    <w:rsid w:val="000D0E74"/>
    <w:rsid w:val="000D31E6"/>
    <w:rsid w:val="000D3B73"/>
    <w:rsid w:val="000D3CDD"/>
    <w:rsid w:val="000D445B"/>
    <w:rsid w:val="000D44A3"/>
    <w:rsid w:val="000D4B2D"/>
    <w:rsid w:val="000E42D0"/>
    <w:rsid w:val="000E56AA"/>
    <w:rsid w:val="001025A3"/>
    <w:rsid w:val="00105E21"/>
    <w:rsid w:val="001078C4"/>
    <w:rsid w:val="001127C3"/>
    <w:rsid w:val="00112E82"/>
    <w:rsid w:val="00116660"/>
    <w:rsid w:val="0012458C"/>
    <w:rsid w:val="001248E5"/>
    <w:rsid w:val="0013091D"/>
    <w:rsid w:val="00137E94"/>
    <w:rsid w:val="0014181A"/>
    <w:rsid w:val="00141B58"/>
    <w:rsid w:val="00145CCD"/>
    <w:rsid w:val="00147002"/>
    <w:rsid w:val="00147719"/>
    <w:rsid w:val="001477A1"/>
    <w:rsid w:val="001504AC"/>
    <w:rsid w:val="0015074B"/>
    <w:rsid w:val="00162180"/>
    <w:rsid w:val="00163FB7"/>
    <w:rsid w:val="00167265"/>
    <w:rsid w:val="00170B00"/>
    <w:rsid w:val="00170D2A"/>
    <w:rsid w:val="00173CCE"/>
    <w:rsid w:val="00175335"/>
    <w:rsid w:val="0017572B"/>
    <w:rsid w:val="00177CCB"/>
    <w:rsid w:val="00183050"/>
    <w:rsid w:val="00185834"/>
    <w:rsid w:val="00187184"/>
    <w:rsid w:val="00195962"/>
    <w:rsid w:val="00195BE9"/>
    <w:rsid w:val="001A15B1"/>
    <w:rsid w:val="001A2C6B"/>
    <w:rsid w:val="001A533A"/>
    <w:rsid w:val="001B3755"/>
    <w:rsid w:val="001B3AEA"/>
    <w:rsid w:val="001B72B8"/>
    <w:rsid w:val="001C643C"/>
    <w:rsid w:val="001D1B41"/>
    <w:rsid w:val="001D5935"/>
    <w:rsid w:val="001D5C91"/>
    <w:rsid w:val="001D6E33"/>
    <w:rsid w:val="001E0A11"/>
    <w:rsid w:val="001E1D78"/>
    <w:rsid w:val="001E25F4"/>
    <w:rsid w:val="001F3473"/>
    <w:rsid w:val="001F48DA"/>
    <w:rsid w:val="002038DC"/>
    <w:rsid w:val="00204383"/>
    <w:rsid w:val="00210740"/>
    <w:rsid w:val="00213556"/>
    <w:rsid w:val="00216AB1"/>
    <w:rsid w:val="0022327D"/>
    <w:rsid w:val="0022477A"/>
    <w:rsid w:val="00226CEC"/>
    <w:rsid w:val="00227080"/>
    <w:rsid w:val="0022759A"/>
    <w:rsid w:val="00235535"/>
    <w:rsid w:val="00236D55"/>
    <w:rsid w:val="002375A0"/>
    <w:rsid w:val="00241A56"/>
    <w:rsid w:val="00242C8D"/>
    <w:rsid w:val="002436D4"/>
    <w:rsid w:val="002439A5"/>
    <w:rsid w:val="00244708"/>
    <w:rsid w:val="00250271"/>
    <w:rsid w:val="0025198C"/>
    <w:rsid w:val="002557D1"/>
    <w:rsid w:val="002631A5"/>
    <w:rsid w:val="0026590C"/>
    <w:rsid w:val="00272AD7"/>
    <w:rsid w:val="0027419F"/>
    <w:rsid w:val="00274291"/>
    <w:rsid w:val="0027441F"/>
    <w:rsid w:val="0028025A"/>
    <w:rsid w:val="0028552D"/>
    <w:rsid w:val="00290901"/>
    <w:rsid w:val="00291A8D"/>
    <w:rsid w:val="00292EE1"/>
    <w:rsid w:val="00294BE9"/>
    <w:rsid w:val="0029639D"/>
    <w:rsid w:val="002A08BA"/>
    <w:rsid w:val="002A0F69"/>
    <w:rsid w:val="002A47E9"/>
    <w:rsid w:val="002A5F1E"/>
    <w:rsid w:val="002A68E7"/>
    <w:rsid w:val="002A72DE"/>
    <w:rsid w:val="002B05FB"/>
    <w:rsid w:val="002B1706"/>
    <w:rsid w:val="002B3A96"/>
    <w:rsid w:val="002B6277"/>
    <w:rsid w:val="002B6A57"/>
    <w:rsid w:val="002C0B64"/>
    <w:rsid w:val="002C0CBB"/>
    <w:rsid w:val="002C2DCF"/>
    <w:rsid w:val="002C3191"/>
    <w:rsid w:val="002C4E0F"/>
    <w:rsid w:val="002C59D6"/>
    <w:rsid w:val="002C62FF"/>
    <w:rsid w:val="002C7E88"/>
    <w:rsid w:val="002D177E"/>
    <w:rsid w:val="002E5A79"/>
    <w:rsid w:val="002E60E6"/>
    <w:rsid w:val="002F1133"/>
    <w:rsid w:val="002F2BFA"/>
    <w:rsid w:val="002F525C"/>
    <w:rsid w:val="002F6043"/>
    <w:rsid w:val="002F7F8E"/>
    <w:rsid w:val="00305E66"/>
    <w:rsid w:val="0030601B"/>
    <w:rsid w:val="00307418"/>
    <w:rsid w:val="003158AB"/>
    <w:rsid w:val="0031772B"/>
    <w:rsid w:val="0032054C"/>
    <w:rsid w:val="0032109F"/>
    <w:rsid w:val="003231FF"/>
    <w:rsid w:val="00326F90"/>
    <w:rsid w:val="00327203"/>
    <w:rsid w:val="00330DD2"/>
    <w:rsid w:val="00330F8B"/>
    <w:rsid w:val="00331BA0"/>
    <w:rsid w:val="00332185"/>
    <w:rsid w:val="0033242C"/>
    <w:rsid w:val="003347D4"/>
    <w:rsid w:val="00340D67"/>
    <w:rsid w:val="00343466"/>
    <w:rsid w:val="003513ED"/>
    <w:rsid w:val="0035202A"/>
    <w:rsid w:val="00356C97"/>
    <w:rsid w:val="00357627"/>
    <w:rsid w:val="00361F1C"/>
    <w:rsid w:val="00364503"/>
    <w:rsid w:val="0036645B"/>
    <w:rsid w:val="00367878"/>
    <w:rsid w:val="0037342F"/>
    <w:rsid w:val="00377DE5"/>
    <w:rsid w:val="00380019"/>
    <w:rsid w:val="00381D3E"/>
    <w:rsid w:val="00382380"/>
    <w:rsid w:val="00382CA9"/>
    <w:rsid w:val="0038393E"/>
    <w:rsid w:val="00385FAA"/>
    <w:rsid w:val="00386A6F"/>
    <w:rsid w:val="00391B9D"/>
    <w:rsid w:val="00393AEF"/>
    <w:rsid w:val="00395445"/>
    <w:rsid w:val="00396A3C"/>
    <w:rsid w:val="003A3ED6"/>
    <w:rsid w:val="003A71A4"/>
    <w:rsid w:val="003B1265"/>
    <w:rsid w:val="003B1FC8"/>
    <w:rsid w:val="003B45CF"/>
    <w:rsid w:val="003B5DDE"/>
    <w:rsid w:val="003C1B14"/>
    <w:rsid w:val="003C2783"/>
    <w:rsid w:val="003C3F8B"/>
    <w:rsid w:val="003D0BE6"/>
    <w:rsid w:val="003D1208"/>
    <w:rsid w:val="003D24FA"/>
    <w:rsid w:val="003D2E92"/>
    <w:rsid w:val="003D4E6E"/>
    <w:rsid w:val="003E6DF3"/>
    <w:rsid w:val="003E7F5A"/>
    <w:rsid w:val="003F347B"/>
    <w:rsid w:val="004017EF"/>
    <w:rsid w:val="00403F5E"/>
    <w:rsid w:val="0040620D"/>
    <w:rsid w:val="00416000"/>
    <w:rsid w:val="00420E36"/>
    <w:rsid w:val="00441F4A"/>
    <w:rsid w:val="00446B09"/>
    <w:rsid w:val="00452B68"/>
    <w:rsid w:val="00454507"/>
    <w:rsid w:val="00455C7C"/>
    <w:rsid w:val="00465908"/>
    <w:rsid w:val="004659F1"/>
    <w:rsid w:val="00466EB4"/>
    <w:rsid w:val="0046706A"/>
    <w:rsid w:val="004712BC"/>
    <w:rsid w:val="004717B2"/>
    <w:rsid w:val="00472823"/>
    <w:rsid w:val="0047514D"/>
    <w:rsid w:val="00480793"/>
    <w:rsid w:val="00483F91"/>
    <w:rsid w:val="004879A5"/>
    <w:rsid w:val="004923C7"/>
    <w:rsid w:val="0049362D"/>
    <w:rsid w:val="004946B6"/>
    <w:rsid w:val="00494D0F"/>
    <w:rsid w:val="0049510A"/>
    <w:rsid w:val="00495D27"/>
    <w:rsid w:val="004964D3"/>
    <w:rsid w:val="0049768E"/>
    <w:rsid w:val="004A012B"/>
    <w:rsid w:val="004A0EC5"/>
    <w:rsid w:val="004A1BAE"/>
    <w:rsid w:val="004A5CD8"/>
    <w:rsid w:val="004B1818"/>
    <w:rsid w:val="004B2721"/>
    <w:rsid w:val="004B27CC"/>
    <w:rsid w:val="004B3277"/>
    <w:rsid w:val="004B5999"/>
    <w:rsid w:val="004B6851"/>
    <w:rsid w:val="004B7914"/>
    <w:rsid w:val="004C180A"/>
    <w:rsid w:val="004C1E86"/>
    <w:rsid w:val="004C536B"/>
    <w:rsid w:val="004D0093"/>
    <w:rsid w:val="004D2CB8"/>
    <w:rsid w:val="004D3427"/>
    <w:rsid w:val="004E08EC"/>
    <w:rsid w:val="004E1531"/>
    <w:rsid w:val="004E212E"/>
    <w:rsid w:val="004F0D41"/>
    <w:rsid w:val="004F6238"/>
    <w:rsid w:val="005069DD"/>
    <w:rsid w:val="00512BC0"/>
    <w:rsid w:val="00513C9C"/>
    <w:rsid w:val="00517EF1"/>
    <w:rsid w:val="0052036F"/>
    <w:rsid w:val="00526B83"/>
    <w:rsid w:val="00530FFC"/>
    <w:rsid w:val="005314A8"/>
    <w:rsid w:val="005336A3"/>
    <w:rsid w:val="00533A85"/>
    <w:rsid w:val="00535066"/>
    <w:rsid w:val="00535805"/>
    <w:rsid w:val="00540EAC"/>
    <w:rsid w:val="00541B1B"/>
    <w:rsid w:val="00541E26"/>
    <w:rsid w:val="0054642E"/>
    <w:rsid w:val="0054736C"/>
    <w:rsid w:val="005521EE"/>
    <w:rsid w:val="005524C6"/>
    <w:rsid w:val="00552AEC"/>
    <w:rsid w:val="00554E6A"/>
    <w:rsid w:val="005625D8"/>
    <w:rsid w:val="00562F53"/>
    <w:rsid w:val="00566DFA"/>
    <w:rsid w:val="00574244"/>
    <w:rsid w:val="005744AB"/>
    <w:rsid w:val="005751C2"/>
    <w:rsid w:val="00577D17"/>
    <w:rsid w:val="00581BB3"/>
    <w:rsid w:val="00591AFC"/>
    <w:rsid w:val="00592788"/>
    <w:rsid w:val="00593DAF"/>
    <w:rsid w:val="00596A46"/>
    <w:rsid w:val="005A01F5"/>
    <w:rsid w:val="005A29BF"/>
    <w:rsid w:val="005A4336"/>
    <w:rsid w:val="005A461F"/>
    <w:rsid w:val="005A5790"/>
    <w:rsid w:val="005B0ACA"/>
    <w:rsid w:val="005B1395"/>
    <w:rsid w:val="005B2C6E"/>
    <w:rsid w:val="005B2D47"/>
    <w:rsid w:val="005B30B9"/>
    <w:rsid w:val="005C019E"/>
    <w:rsid w:val="005C5B21"/>
    <w:rsid w:val="005D1DAD"/>
    <w:rsid w:val="005D4447"/>
    <w:rsid w:val="005D7E52"/>
    <w:rsid w:val="005E3CB0"/>
    <w:rsid w:val="005E4487"/>
    <w:rsid w:val="005E795D"/>
    <w:rsid w:val="005F0417"/>
    <w:rsid w:val="005F3E37"/>
    <w:rsid w:val="005F5B00"/>
    <w:rsid w:val="0060698D"/>
    <w:rsid w:val="00620F51"/>
    <w:rsid w:val="006252E4"/>
    <w:rsid w:val="006252EE"/>
    <w:rsid w:val="006254D8"/>
    <w:rsid w:val="0062617F"/>
    <w:rsid w:val="0063267C"/>
    <w:rsid w:val="00640B09"/>
    <w:rsid w:val="00640D95"/>
    <w:rsid w:val="00641EF0"/>
    <w:rsid w:val="00642188"/>
    <w:rsid w:val="006464BD"/>
    <w:rsid w:val="006469EE"/>
    <w:rsid w:val="006471B7"/>
    <w:rsid w:val="00647535"/>
    <w:rsid w:val="00650E67"/>
    <w:rsid w:val="00662D8A"/>
    <w:rsid w:val="00671E77"/>
    <w:rsid w:val="00672CBB"/>
    <w:rsid w:val="006741B9"/>
    <w:rsid w:val="006805CA"/>
    <w:rsid w:val="00691F9B"/>
    <w:rsid w:val="00693F4B"/>
    <w:rsid w:val="00696286"/>
    <w:rsid w:val="00696C2F"/>
    <w:rsid w:val="006970F9"/>
    <w:rsid w:val="00697821"/>
    <w:rsid w:val="006A257E"/>
    <w:rsid w:val="006A3A3F"/>
    <w:rsid w:val="006B10E2"/>
    <w:rsid w:val="006B2AE9"/>
    <w:rsid w:val="006B2CF8"/>
    <w:rsid w:val="006B48A5"/>
    <w:rsid w:val="006B5D8E"/>
    <w:rsid w:val="006B5DC8"/>
    <w:rsid w:val="006B651C"/>
    <w:rsid w:val="006C327F"/>
    <w:rsid w:val="006C71ED"/>
    <w:rsid w:val="006C7E9B"/>
    <w:rsid w:val="006D1CE5"/>
    <w:rsid w:val="006D27F5"/>
    <w:rsid w:val="006D3405"/>
    <w:rsid w:val="006D6209"/>
    <w:rsid w:val="006D6512"/>
    <w:rsid w:val="006E4956"/>
    <w:rsid w:val="006E7766"/>
    <w:rsid w:val="006F4093"/>
    <w:rsid w:val="006F4808"/>
    <w:rsid w:val="00700807"/>
    <w:rsid w:val="00705696"/>
    <w:rsid w:val="00707268"/>
    <w:rsid w:val="007131A5"/>
    <w:rsid w:val="00713DB2"/>
    <w:rsid w:val="0071422C"/>
    <w:rsid w:val="00716CA2"/>
    <w:rsid w:val="00722254"/>
    <w:rsid w:val="00724963"/>
    <w:rsid w:val="00725066"/>
    <w:rsid w:val="00726ADD"/>
    <w:rsid w:val="00727D46"/>
    <w:rsid w:val="00735C34"/>
    <w:rsid w:val="00740B9A"/>
    <w:rsid w:val="00751682"/>
    <w:rsid w:val="00753077"/>
    <w:rsid w:val="00756BD9"/>
    <w:rsid w:val="00761E66"/>
    <w:rsid w:val="00770762"/>
    <w:rsid w:val="00774B5E"/>
    <w:rsid w:val="00776A78"/>
    <w:rsid w:val="007903CB"/>
    <w:rsid w:val="007945E3"/>
    <w:rsid w:val="00795272"/>
    <w:rsid w:val="007A3803"/>
    <w:rsid w:val="007A568B"/>
    <w:rsid w:val="007A7735"/>
    <w:rsid w:val="007C25BA"/>
    <w:rsid w:val="007C2FE1"/>
    <w:rsid w:val="007C4D52"/>
    <w:rsid w:val="007C75DA"/>
    <w:rsid w:val="007D1DD4"/>
    <w:rsid w:val="007D786A"/>
    <w:rsid w:val="007E0BA1"/>
    <w:rsid w:val="007E632B"/>
    <w:rsid w:val="007E77C2"/>
    <w:rsid w:val="007F40FC"/>
    <w:rsid w:val="00801570"/>
    <w:rsid w:val="00802BDD"/>
    <w:rsid w:val="008054D6"/>
    <w:rsid w:val="00805C58"/>
    <w:rsid w:val="00805F09"/>
    <w:rsid w:val="00806417"/>
    <w:rsid w:val="008068F7"/>
    <w:rsid w:val="008073B0"/>
    <w:rsid w:val="00812DF1"/>
    <w:rsid w:val="00813D41"/>
    <w:rsid w:val="00815F84"/>
    <w:rsid w:val="0081790C"/>
    <w:rsid w:val="008200FE"/>
    <w:rsid w:val="0082039E"/>
    <w:rsid w:val="008268D5"/>
    <w:rsid w:val="0084561F"/>
    <w:rsid w:val="00847F7E"/>
    <w:rsid w:val="008527AE"/>
    <w:rsid w:val="008574CF"/>
    <w:rsid w:val="008579F2"/>
    <w:rsid w:val="00871378"/>
    <w:rsid w:val="00881214"/>
    <w:rsid w:val="008817DC"/>
    <w:rsid w:val="008839DE"/>
    <w:rsid w:val="008906F4"/>
    <w:rsid w:val="00890A9F"/>
    <w:rsid w:val="0089491E"/>
    <w:rsid w:val="008962A7"/>
    <w:rsid w:val="008A1101"/>
    <w:rsid w:val="008A1325"/>
    <w:rsid w:val="008A2F89"/>
    <w:rsid w:val="008A32B0"/>
    <w:rsid w:val="008A4FD6"/>
    <w:rsid w:val="008B7C04"/>
    <w:rsid w:val="008C1476"/>
    <w:rsid w:val="008C15DC"/>
    <w:rsid w:val="008C3D86"/>
    <w:rsid w:val="008C5983"/>
    <w:rsid w:val="008D3721"/>
    <w:rsid w:val="008D74F8"/>
    <w:rsid w:val="008D7E14"/>
    <w:rsid w:val="008F0D93"/>
    <w:rsid w:val="008F4DF5"/>
    <w:rsid w:val="009015FA"/>
    <w:rsid w:val="00902259"/>
    <w:rsid w:val="00905D5D"/>
    <w:rsid w:val="00906DE2"/>
    <w:rsid w:val="00911BBA"/>
    <w:rsid w:val="0091285D"/>
    <w:rsid w:val="009137DD"/>
    <w:rsid w:val="009141B7"/>
    <w:rsid w:val="0091450B"/>
    <w:rsid w:val="00916620"/>
    <w:rsid w:val="0092029E"/>
    <w:rsid w:val="00921718"/>
    <w:rsid w:val="00922D25"/>
    <w:rsid w:val="0092377A"/>
    <w:rsid w:val="009356B2"/>
    <w:rsid w:val="00941029"/>
    <w:rsid w:val="009422BF"/>
    <w:rsid w:val="00943F7E"/>
    <w:rsid w:val="00945402"/>
    <w:rsid w:val="00946252"/>
    <w:rsid w:val="00946735"/>
    <w:rsid w:val="009467A2"/>
    <w:rsid w:val="00946FC1"/>
    <w:rsid w:val="00950995"/>
    <w:rsid w:val="00954292"/>
    <w:rsid w:val="00954B3D"/>
    <w:rsid w:val="00955B9C"/>
    <w:rsid w:val="0095673C"/>
    <w:rsid w:val="00961359"/>
    <w:rsid w:val="00965943"/>
    <w:rsid w:val="00970F6B"/>
    <w:rsid w:val="00973AB0"/>
    <w:rsid w:val="00974072"/>
    <w:rsid w:val="009747D7"/>
    <w:rsid w:val="00974FAB"/>
    <w:rsid w:val="00976582"/>
    <w:rsid w:val="00976730"/>
    <w:rsid w:val="00993A1E"/>
    <w:rsid w:val="009959EC"/>
    <w:rsid w:val="00996F6B"/>
    <w:rsid w:val="009A02A2"/>
    <w:rsid w:val="009A3AFF"/>
    <w:rsid w:val="009A4071"/>
    <w:rsid w:val="009A6490"/>
    <w:rsid w:val="009A770C"/>
    <w:rsid w:val="009B59B1"/>
    <w:rsid w:val="009C074F"/>
    <w:rsid w:val="009C1D90"/>
    <w:rsid w:val="009C2976"/>
    <w:rsid w:val="009C7E1C"/>
    <w:rsid w:val="009D5100"/>
    <w:rsid w:val="009D5918"/>
    <w:rsid w:val="009E0F2A"/>
    <w:rsid w:val="009E0FB5"/>
    <w:rsid w:val="009E6808"/>
    <w:rsid w:val="009E6828"/>
    <w:rsid w:val="009F4D2B"/>
    <w:rsid w:val="009F6F07"/>
    <w:rsid w:val="00A059EF"/>
    <w:rsid w:val="00A05A87"/>
    <w:rsid w:val="00A07434"/>
    <w:rsid w:val="00A1075D"/>
    <w:rsid w:val="00A13465"/>
    <w:rsid w:val="00A13844"/>
    <w:rsid w:val="00A146F8"/>
    <w:rsid w:val="00A15090"/>
    <w:rsid w:val="00A16AEB"/>
    <w:rsid w:val="00A17372"/>
    <w:rsid w:val="00A17910"/>
    <w:rsid w:val="00A20FF5"/>
    <w:rsid w:val="00A216B6"/>
    <w:rsid w:val="00A21E37"/>
    <w:rsid w:val="00A331C3"/>
    <w:rsid w:val="00A33E6D"/>
    <w:rsid w:val="00A3546B"/>
    <w:rsid w:val="00A3564D"/>
    <w:rsid w:val="00A3609C"/>
    <w:rsid w:val="00A42A2A"/>
    <w:rsid w:val="00A43909"/>
    <w:rsid w:val="00A4455E"/>
    <w:rsid w:val="00A456DA"/>
    <w:rsid w:val="00A5359A"/>
    <w:rsid w:val="00A53CFF"/>
    <w:rsid w:val="00A5662B"/>
    <w:rsid w:val="00A61474"/>
    <w:rsid w:val="00A61AE7"/>
    <w:rsid w:val="00A63DA7"/>
    <w:rsid w:val="00A646B5"/>
    <w:rsid w:val="00A65156"/>
    <w:rsid w:val="00A70A5D"/>
    <w:rsid w:val="00A72954"/>
    <w:rsid w:val="00A75838"/>
    <w:rsid w:val="00A76C62"/>
    <w:rsid w:val="00A77795"/>
    <w:rsid w:val="00A81E4D"/>
    <w:rsid w:val="00A83BD8"/>
    <w:rsid w:val="00A84E03"/>
    <w:rsid w:val="00A87DD6"/>
    <w:rsid w:val="00A933C0"/>
    <w:rsid w:val="00A9353F"/>
    <w:rsid w:val="00A94846"/>
    <w:rsid w:val="00A952B1"/>
    <w:rsid w:val="00A963B3"/>
    <w:rsid w:val="00AA1D8D"/>
    <w:rsid w:val="00AA3B15"/>
    <w:rsid w:val="00AA4D81"/>
    <w:rsid w:val="00AB16D5"/>
    <w:rsid w:val="00AB1844"/>
    <w:rsid w:val="00AB2277"/>
    <w:rsid w:val="00AB291A"/>
    <w:rsid w:val="00AB3090"/>
    <w:rsid w:val="00AC2836"/>
    <w:rsid w:val="00AC2CC3"/>
    <w:rsid w:val="00AC3F4C"/>
    <w:rsid w:val="00AC492A"/>
    <w:rsid w:val="00AC4E61"/>
    <w:rsid w:val="00AC7807"/>
    <w:rsid w:val="00AD3726"/>
    <w:rsid w:val="00AD39A9"/>
    <w:rsid w:val="00AD4B1A"/>
    <w:rsid w:val="00AD5D35"/>
    <w:rsid w:val="00AE2CEE"/>
    <w:rsid w:val="00AE2E3F"/>
    <w:rsid w:val="00AE3DF5"/>
    <w:rsid w:val="00AE5A08"/>
    <w:rsid w:val="00AF0C0D"/>
    <w:rsid w:val="00AF19A4"/>
    <w:rsid w:val="00B020C7"/>
    <w:rsid w:val="00B061E6"/>
    <w:rsid w:val="00B06E96"/>
    <w:rsid w:val="00B07A65"/>
    <w:rsid w:val="00B13BF0"/>
    <w:rsid w:val="00B15299"/>
    <w:rsid w:val="00B15869"/>
    <w:rsid w:val="00B232BE"/>
    <w:rsid w:val="00B25F57"/>
    <w:rsid w:val="00B27C89"/>
    <w:rsid w:val="00B301C1"/>
    <w:rsid w:val="00B308D0"/>
    <w:rsid w:val="00B3595D"/>
    <w:rsid w:val="00B43DD7"/>
    <w:rsid w:val="00B47730"/>
    <w:rsid w:val="00B477BD"/>
    <w:rsid w:val="00B53AED"/>
    <w:rsid w:val="00B56B3B"/>
    <w:rsid w:val="00B56D96"/>
    <w:rsid w:val="00B61027"/>
    <w:rsid w:val="00B620AC"/>
    <w:rsid w:val="00B7001B"/>
    <w:rsid w:val="00B717AD"/>
    <w:rsid w:val="00B71D2B"/>
    <w:rsid w:val="00B72EE2"/>
    <w:rsid w:val="00B72F52"/>
    <w:rsid w:val="00B75B9C"/>
    <w:rsid w:val="00B77444"/>
    <w:rsid w:val="00B825EE"/>
    <w:rsid w:val="00B83BAE"/>
    <w:rsid w:val="00B85A90"/>
    <w:rsid w:val="00B85BF5"/>
    <w:rsid w:val="00B862EE"/>
    <w:rsid w:val="00B90A20"/>
    <w:rsid w:val="00B91A32"/>
    <w:rsid w:val="00B97C6E"/>
    <w:rsid w:val="00BA02BC"/>
    <w:rsid w:val="00BA27C9"/>
    <w:rsid w:val="00BA2944"/>
    <w:rsid w:val="00BA3181"/>
    <w:rsid w:val="00BA5C8C"/>
    <w:rsid w:val="00BA64D7"/>
    <w:rsid w:val="00BB0269"/>
    <w:rsid w:val="00BB090D"/>
    <w:rsid w:val="00BB3103"/>
    <w:rsid w:val="00BB3547"/>
    <w:rsid w:val="00BB5C6D"/>
    <w:rsid w:val="00BB660D"/>
    <w:rsid w:val="00BC3E76"/>
    <w:rsid w:val="00BD54A3"/>
    <w:rsid w:val="00BE05B4"/>
    <w:rsid w:val="00BE1301"/>
    <w:rsid w:val="00BE1C53"/>
    <w:rsid w:val="00BE2008"/>
    <w:rsid w:val="00BE64C5"/>
    <w:rsid w:val="00BE6D70"/>
    <w:rsid w:val="00BF37A1"/>
    <w:rsid w:val="00C00901"/>
    <w:rsid w:val="00C00BCF"/>
    <w:rsid w:val="00C03720"/>
    <w:rsid w:val="00C04D71"/>
    <w:rsid w:val="00C05A12"/>
    <w:rsid w:val="00C13675"/>
    <w:rsid w:val="00C155C2"/>
    <w:rsid w:val="00C1751B"/>
    <w:rsid w:val="00C20E8E"/>
    <w:rsid w:val="00C20EA9"/>
    <w:rsid w:val="00C24096"/>
    <w:rsid w:val="00C261E6"/>
    <w:rsid w:val="00C26216"/>
    <w:rsid w:val="00C269F6"/>
    <w:rsid w:val="00C271B1"/>
    <w:rsid w:val="00C3037A"/>
    <w:rsid w:val="00C36FF2"/>
    <w:rsid w:val="00C3762A"/>
    <w:rsid w:val="00C37AF7"/>
    <w:rsid w:val="00C41706"/>
    <w:rsid w:val="00C4248D"/>
    <w:rsid w:val="00C42F92"/>
    <w:rsid w:val="00C513D7"/>
    <w:rsid w:val="00C5376A"/>
    <w:rsid w:val="00C56684"/>
    <w:rsid w:val="00C622D7"/>
    <w:rsid w:val="00C6378E"/>
    <w:rsid w:val="00C73CA7"/>
    <w:rsid w:val="00C75ACB"/>
    <w:rsid w:val="00C77C52"/>
    <w:rsid w:val="00C83AD9"/>
    <w:rsid w:val="00C8593A"/>
    <w:rsid w:val="00C860FC"/>
    <w:rsid w:val="00C86684"/>
    <w:rsid w:val="00C90180"/>
    <w:rsid w:val="00C908B9"/>
    <w:rsid w:val="00C931C4"/>
    <w:rsid w:val="00C93F0C"/>
    <w:rsid w:val="00C94486"/>
    <w:rsid w:val="00CA0743"/>
    <w:rsid w:val="00CA3E41"/>
    <w:rsid w:val="00CA7543"/>
    <w:rsid w:val="00CB0664"/>
    <w:rsid w:val="00CB10A1"/>
    <w:rsid w:val="00CB2695"/>
    <w:rsid w:val="00CB3052"/>
    <w:rsid w:val="00CB60B8"/>
    <w:rsid w:val="00CC1407"/>
    <w:rsid w:val="00CC7D0D"/>
    <w:rsid w:val="00CD2610"/>
    <w:rsid w:val="00CD40F0"/>
    <w:rsid w:val="00CD6655"/>
    <w:rsid w:val="00CD78EF"/>
    <w:rsid w:val="00CE24B1"/>
    <w:rsid w:val="00CE552E"/>
    <w:rsid w:val="00CF2B82"/>
    <w:rsid w:val="00CF6DE3"/>
    <w:rsid w:val="00D02B9F"/>
    <w:rsid w:val="00D066B2"/>
    <w:rsid w:val="00D06C24"/>
    <w:rsid w:val="00D06E69"/>
    <w:rsid w:val="00D12DCA"/>
    <w:rsid w:val="00D13F48"/>
    <w:rsid w:val="00D17FD1"/>
    <w:rsid w:val="00D2239D"/>
    <w:rsid w:val="00D25D26"/>
    <w:rsid w:val="00D26A5A"/>
    <w:rsid w:val="00D275B8"/>
    <w:rsid w:val="00D33E08"/>
    <w:rsid w:val="00D360DD"/>
    <w:rsid w:val="00D401CE"/>
    <w:rsid w:val="00D40487"/>
    <w:rsid w:val="00D52C20"/>
    <w:rsid w:val="00D53E84"/>
    <w:rsid w:val="00D57AC0"/>
    <w:rsid w:val="00D61D4D"/>
    <w:rsid w:val="00D73D9B"/>
    <w:rsid w:val="00D7490D"/>
    <w:rsid w:val="00D80EC6"/>
    <w:rsid w:val="00D822B3"/>
    <w:rsid w:val="00D85441"/>
    <w:rsid w:val="00D90F8B"/>
    <w:rsid w:val="00D91430"/>
    <w:rsid w:val="00D97454"/>
    <w:rsid w:val="00DA0033"/>
    <w:rsid w:val="00DA027C"/>
    <w:rsid w:val="00DA341C"/>
    <w:rsid w:val="00DA38ED"/>
    <w:rsid w:val="00DA7789"/>
    <w:rsid w:val="00DB0064"/>
    <w:rsid w:val="00DB02C0"/>
    <w:rsid w:val="00DB348C"/>
    <w:rsid w:val="00DB4238"/>
    <w:rsid w:val="00DB4860"/>
    <w:rsid w:val="00DB7ED2"/>
    <w:rsid w:val="00DC376B"/>
    <w:rsid w:val="00DC3A8D"/>
    <w:rsid w:val="00DD014E"/>
    <w:rsid w:val="00DD0468"/>
    <w:rsid w:val="00DD24F2"/>
    <w:rsid w:val="00DD4225"/>
    <w:rsid w:val="00DD58FE"/>
    <w:rsid w:val="00DE39EF"/>
    <w:rsid w:val="00DE525C"/>
    <w:rsid w:val="00DF1092"/>
    <w:rsid w:val="00DF126A"/>
    <w:rsid w:val="00DF3D5A"/>
    <w:rsid w:val="00DF63AF"/>
    <w:rsid w:val="00DF7F65"/>
    <w:rsid w:val="00E06B23"/>
    <w:rsid w:val="00E06E98"/>
    <w:rsid w:val="00E10C8E"/>
    <w:rsid w:val="00E10F3B"/>
    <w:rsid w:val="00E12EC4"/>
    <w:rsid w:val="00E13F28"/>
    <w:rsid w:val="00E23C93"/>
    <w:rsid w:val="00E2401B"/>
    <w:rsid w:val="00E3419D"/>
    <w:rsid w:val="00E34BC5"/>
    <w:rsid w:val="00E35CC1"/>
    <w:rsid w:val="00E44183"/>
    <w:rsid w:val="00E50AED"/>
    <w:rsid w:val="00E5239A"/>
    <w:rsid w:val="00E55980"/>
    <w:rsid w:val="00E55DF7"/>
    <w:rsid w:val="00E56424"/>
    <w:rsid w:val="00E62BC7"/>
    <w:rsid w:val="00E64AC7"/>
    <w:rsid w:val="00E64AF5"/>
    <w:rsid w:val="00E71E8A"/>
    <w:rsid w:val="00E74285"/>
    <w:rsid w:val="00E750B8"/>
    <w:rsid w:val="00E75C77"/>
    <w:rsid w:val="00E76F40"/>
    <w:rsid w:val="00E80CF6"/>
    <w:rsid w:val="00E83809"/>
    <w:rsid w:val="00E925EF"/>
    <w:rsid w:val="00E934AA"/>
    <w:rsid w:val="00E94864"/>
    <w:rsid w:val="00E94B2F"/>
    <w:rsid w:val="00E94DBA"/>
    <w:rsid w:val="00EA12E7"/>
    <w:rsid w:val="00EA2523"/>
    <w:rsid w:val="00EB2845"/>
    <w:rsid w:val="00EB2920"/>
    <w:rsid w:val="00EB34D3"/>
    <w:rsid w:val="00EC03AC"/>
    <w:rsid w:val="00EC7E26"/>
    <w:rsid w:val="00ED04E2"/>
    <w:rsid w:val="00ED604F"/>
    <w:rsid w:val="00ED6F9B"/>
    <w:rsid w:val="00ED7890"/>
    <w:rsid w:val="00EF0F0C"/>
    <w:rsid w:val="00EF222D"/>
    <w:rsid w:val="00EF5895"/>
    <w:rsid w:val="00F01DDB"/>
    <w:rsid w:val="00F05182"/>
    <w:rsid w:val="00F05567"/>
    <w:rsid w:val="00F21DD6"/>
    <w:rsid w:val="00F231F7"/>
    <w:rsid w:val="00F32493"/>
    <w:rsid w:val="00F32E01"/>
    <w:rsid w:val="00F36591"/>
    <w:rsid w:val="00F36FCD"/>
    <w:rsid w:val="00F40EAE"/>
    <w:rsid w:val="00F42FD1"/>
    <w:rsid w:val="00F4623C"/>
    <w:rsid w:val="00F46DB9"/>
    <w:rsid w:val="00F47141"/>
    <w:rsid w:val="00F56924"/>
    <w:rsid w:val="00F57101"/>
    <w:rsid w:val="00F60995"/>
    <w:rsid w:val="00F640D0"/>
    <w:rsid w:val="00F648C1"/>
    <w:rsid w:val="00F64E0D"/>
    <w:rsid w:val="00F64FC7"/>
    <w:rsid w:val="00F67A2F"/>
    <w:rsid w:val="00F7439F"/>
    <w:rsid w:val="00F753B1"/>
    <w:rsid w:val="00F828B8"/>
    <w:rsid w:val="00F83EF8"/>
    <w:rsid w:val="00F873E2"/>
    <w:rsid w:val="00F909A1"/>
    <w:rsid w:val="00F92722"/>
    <w:rsid w:val="00F94AF3"/>
    <w:rsid w:val="00FA3714"/>
    <w:rsid w:val="00FB3359"/>
    <w:rsid w:val="00FC0E5F"/>
    <w:rsid w:val="00FC3569"/>
    <w:rsid w:val="00FC68DE"/>
    <w:rsid w:val="00FC693F"/>
    <w:rsid w:val="00FD05B8"/>
    <w:rsid w:val="00FD1CF9"/>
    <w:rsid w:val="00FD3111"/>
    <w:rsid w:val="00FD32D1"/>
    <w:rsid w:val="00FE4964"/>
    <w:rsid w:val="00FE5A86"/>
    <w:rsid w:val="00FE5C24"/>
    <w:rsid w:val="00FF25BA"/>
    <w:rsid w:val="00FF3426"/>
    <w:rsid w:val="00FF5A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D78B185"/>
  <w14:defaultImageDpi w14:val="300"/>
  <w15:docId w15:val="{B81C8B5D-F8BB-3C40-92F5-0240BAD90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2CB8"/>
    <w:rPr>
      <w:rFonts w:ascii="Optima" w:hAnsi="Optima" w:cs="Times New Roman (正文 CS 字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page number"/>
    <w:basedOn w:val="a2"/>
    <w:uiPriority w:val="99"/>
    <w:semiHidden/>
    <w:unhideWhenUsed/>
    <w:rsid w:val="00CC1407"/>
  </w:style>
  <w:style w:type="paragraph" w:styleId="affa">
    <w:name w:val="Revision"/>
    <w:hidden/>
    <w:uiPriority w:val="99"/>
    <w:semiHidden/>
    <w:rsid w:val="009F4D2B"/>
    <w:pPr>
      <w:spacing w:after="0" w:line="240" w:lineRule="auto"/>
    </w:pPr>
  </w:style>
  <w:style w:type="character" w:styleId="affb">
    <w:name w:val="annotation reference"/>
    <w:basedOn w:val="a2"/>
    <w:uiPriority w:val="99"/>
    <w:unhideWhenUsed/>
    <w:qFormat/>
    <w:rsid w:val="00A3609C"/>
    <w:rPr>
      <w:sz w:val="16"/>
      <w:szCs w:val="16"/>
    </w:rPr>
  </w:style>
  <w:style w:type="paragraph" w:styleId="affc">
    <w:name w:val="annotation text"/>
    <w:basedOn w:val="a1"/>
    <w:link w:val="affd"/>
    <w:uiPriority w:val="99"/>
    <w:unhideWhenUsed/>
    <w:rsid w:val="00A3609C"/>
    <w:pPr>
      <w:spacing w:line="240" w:lineRule="auto"/>
    </w:pPr>
    <w:rPr>
      <w:sz w:val="20"/>
      <w:szCs w:val="20"/>
    </w:rPr>
  </w:style>
  <w:style w:type="character" w:customStyle="1" w:styleId="affd">
    <w:name w:val="批注文字 字符"/>
    <w:basedOn w:val="a2"/>
    <w:link w:val="affc"/>
    <w:uiPriority w:val="99"/>
    <w:rsid w:val="00A3609C"/>
    <w:rPr>
      <w:sz w:val="20"/>
      <w:szCs w:val="20"/>
    </w:rPr>
  </w:style>
  <w:style w:type="paragraph" w:styleId="affe">
    <w:name w:val="annotation subject"/>
    <w:basedOn w:val="affc"/>
    <w:next w:val="affc"/>
    <w:link w:val="afff"/>
    <w:uiPriority w:val="99"/>
    <w:semiHidden/>
    <w:unhideWhenUsed/>
    <w:rsid w:val="00A3609C"/>
    <w:rPr>
      <w:b/>
      <w:bCs/>
    </w:rPr>
  </w:style>
  <w:style w:type="character" w:customStyle="1" w:styleId="afff">
    <w:name w:val="批注主题 字符"/>
    <w:basedOn w:val="affd"/>
    <w:link w:val="affe"/>
    <w:uiPriority w:val="99"/>
    <w:semiHidden/>
    <w:rsid w:val="00A3609C"/>
    <w:rPr>
      <w:b/>
      <w:bCs/>
      <w:sz w:val="20"/>
      <w:szCs w:val="20"/>
    </w:rPr>
  </w:style>
  <w:style w:type="paragraph" w:customStyle="1" w:styleId="14">
    <w:name w:val="书目1"/>
    <w:basedOn w:val="a1"/>
    <w:link w:val="Bibliography"/>
    <w:rsid w:val="00173CCE"/>
    <w:pPr>
      <w:tabs>
        <w:tab w:val="left" w:pos="380"/>
      </w:tabs>
      <w:spacing w:after="0" w:line="480" w:lineRule="auto"/>
      <w:ind w:left="384" w:hanging="384"/>
    </w:pPr>
    <w:rPr>
      <w:b/>
      <w:bCs/>
      <w:u w:val="single"/>
      <w:lang w:eastAsia="zh-CN"/>
    </w:rPr>
  </w:style>
  <w:style w:type="character" w:customStyle="1" w:styleId="Bibliography">
    <w:name w:val="Bibliography 字符"/>
    <w:basedOn w:val="a2"/>
    <w:link w:val="14"/>
    <w:rsid w:val="00173CCE"/>
    <w:rPr>
      <w:rFonts w:ascii="Optima" w:hAnsi="Optima"/>
      <w:b/>
      <w:bCs/>
      <w:u w:val="single"/>
      <w:lang w:eastAsia="zh-CN"/>
    </w:rPr>
  </w:style>
  <w:style w:type="character" w:styleId="afff0">
    <w:name w:val="Hyperlink"/>
    <w:basedOn w:val="a2"/>
    <w:uiPriority w:val="99"/>
    <w:unhideWhenUsed/>
    <w:qFormat/>
    <w:rsid w:val="00016BB4"/>
    <w:rPr>
      <w:color w:val="0000FF" w:themeColor="hyperlink"/>
      <w:u w:val="single"/>
    </w:rPr>
  </w:style>
  <w:style w:type="character" w:styleId="afff1">
    <w:name w:val="Unresolved Mention"/>
    <w:basedOn w:val="a2"/>
    <w:uiPriority w:val="99"/>
    <w:semiHidden/>
    <w:unhideWhenUsed/>
    <w:rsid w:val="00016BB4"/>
    <w:rPr>
      <w:color w:val="605E5C"/>
      <w:shd w:val="clear" w:color="auto" w:fill="E1DFDD"/>
    </w:rPr>
  </w:style>
  <w:style w:type="paragraph" w:styleId="afff2">
    <w:name w:val="Bibliography"/>
    <w:basedOn w:val="a1"/>
    <w:next w:val="a1"/>
    <w:uiPriority w:val="37"/>
    <w:unhideWhenUsed/>
    <w:rsid w:val="00DB348C"/>
  </w:style>
  <w:style w:type="character" w:styleId="afff3">
    <w:name w:val="FollowedHyperlink"/>
    <w:basedOn w:val="a2"/>
    <w:uiPriority w:val="99"/>
    <w:semiHidden/>
    <w:unhideWhenUsed/>
    <w:rsid w:val="00D360DD"/>
    <w:rPr>
      <w:color w:val="800080" w:themeColor="followedHyperlink"/>
      <w:u w:val="single"/>
    </w:rPr>
  </w:style>
  <w:style w:type="character" w:styleId="afff4">
    <w:name w:val="line number"/>
    <w:basedOn w:val="a2"/>
    <w:uiPriority w:val="99"/>
    <w:semiHidden/>
    <w:unhideWhenUsed/>
    <w:rsid w:val="00147002"/>
  </w:style>
  <w:style w:type="paragraph" w:customStyle="1" w:styleId="SOMHead">
    <w:name w:val="SOMHead"/>
    <w:basedOn w:val="a1"/>
    <w:qFormat/>
    <w:rsid w:val="008A1325"/>
    <w:pPr>
      <w:keepNext/>
      <w:spacing w:before="240" w:after="100" w:afterAutospacing="1" w:line="240" w:lineRule="auto"/>
      <w:outlineLvl w:val="0"/>
    </w:pPr>
    <w:rPr>
      <w:rFonts w:ascii="Times New Roman" w:eastAsia="宋体" w:hAnsi="Times New Roman" w:cs="Times New Roman"/>
      <w:b/>
      <w:kern w:val="28"/>
      <w:sz w:val="24"/>
      <w:szCs w:val="24"/>
      <w:lang w:eastAsia="zh-CN"/>
    </w:rPr>
  </w:style>
  <w:style w:type="paragraph" w:customStyle="1" w:styleId="SOMContent">
    <w:name w:val="SOMContent"/>
    <w:basedOn w:val="a1"/>
    <w:qFormat/>
    <w:rsid w:val="008A1325"/>
    <w:pPr>
      <w:spacing w:before="120" w:after="100" w:afterAutospacing="1" w:line="240" w:lineRule="auto"/>
    </w:pPr>
    <w:rPr>
      <w:rFonts w:ascii="Times New Roman" w:eastAsia="宋体" w:hAnsi="Times New Roman" w:cs="Times New Roman"/>
      <w:sz w:val="24"/>
      <w:szCs w:val="24"/>
      <w:lang w:eastAsia="zh-CN"/>
    </w:rPr>
  </w:style>
  <w:style w:type="paragraph" w:styleId="afff5">
    <w:name w:val="Balloon Text"/>
    <w:basedOn w:val="a1"/>
    <w:link w:val="afff6"/>
    <w:uiPriority w:val="99"/>
    <w:semiHidden/>
    <w:unhideWhenUsed/>
    <w:rsid w:val="008A1325"/>
    <w:pPr>
      <w:spacing w:after="0" w:line="240" w:lineRule="auto"/>
    </w:pPr>
    <w:rPr>
      <w:rFonts w:asciiTheme="minorHAnsi" w:hAnsiTheme="minorHAnsi" w:cstheme="minorBidi"/>
      <w:sz w:val="18"/>
      <w:szCs w:val="18"/>
      <w:lang w:eastAsia="zh-CN"/>
    </w:rPr>
  </w:style>
  <w:style w:type="character" w:customStyle="1" w:styleId="afff6">
    <w:name w:val="批注框文本 字符"/>
    <w:basedOn w:val="a2"/>
    <w:link w:val="afff5"/>
    <w:uiPriority w:val="99"/>
    <w:semiHidden/>
    <w:rsid w:val="008A1325"/>
    <w:rPr>
      <w:sz w:val="18"/>
      <w:szCs w:val="18"/>
      <w:lang w:eastAsia="zh-CN"/>
    </w:rPr>
  </w:style>
  <w:style w:type="paragraph" w:customStyle="1" w:styleId="MyText1">
    <w:name w:val="My_Text1"/>
    <w:basedOn w:val="1"/>
    <w:link w:val="MyText1Char"/>
    <w:qFormat/>
    <w:rsid w:val="008A1325"/>
    <w:pPr>
      <w:keepNext w:val="0"/>
      <w:keepLines w:val="0"/>
      <w:spacing w:before="0" w:line="360" w:lineRule="auto"/>
    </w:pPr>
    <w:rPr>
      <w:rFonts w:ascii="Times New Roman" w:eastAsia="Times New Roman" w:hAnsi="Times New Roman" w:cs="Times New Roman"/>
      <w:bCs w:val="0"/>
      <w:kern w:val="36"/>
      <w:szCs w:val="48"/>
      <w:lang w:val="en-GB" w:eastAsia="en-GB"/>
    </w:rPr>
  </w:style>
  <w:style w:type="character" w:customStyle="1" w:styleId="MyText1Char">
    <w:name w:val="My_Text1 Char"/>
    <w:basedOn w:val="10"/>
    <w:link w:val="MyText1"/>
    <w:qFormat/>
    <w:rsid w:val="008A1325"/>
    <w:rPr>
      <w:rFonts w:ascii="Times New Roman" w:eastAsia="Times New Roman" w:hAnsi="Times New Roman" w:cs="Times New Roman"/>
      <w:b/>
      <w:bCs w:val="0"/>
      <w:color w:val="365F91" w:themeColor="accent1" w:themeShade="BF"/>
      <w:kern w:val="36"/>
      <w:sz w:val="28"/>
      <w:szCs w:val="48"/>
      <w:lang w:val="en-GB" w:eastAsia="en-GB"/>
    </w:rPr>
  </w:style>
  <w:style w:type="paragraph" w:customStyle="1" w:styleId="AbstractSummary">
    <w:name w:val="Abstract/Summary"/>
    <w:basedOn w:val="a1"/>
    <w:qFormat/>
    <w:rsid w:val="008A1325"/>
    <w:pPr>
      <w:spacing w:before="120" w:after="0" w:line="240" w:lineRule="auto"/>
    </w:pPr>
    <w:rPr>
      <w:rFonts w:ascii="Times New Roman" w:eastAsia="Times New Roman" w:hAnsi="Times New Roman" w:cs="Times New Roman"/>
      <w:sz w:val="24"/>
      <w:szCs w:val="24"/>
    </w:rPr>
  </w:style>
  <w:style w:type="paragraph" w:customStyle="1" w:styleId="chapter-para">
    <w:name w:val="chapter-para"/>
    <w:basedOn w:val="a1"/>
    <w:rsid w:val="008A1325"/>
    <w:pPr>
      <w:spacing w:before="100" w:beforeAutospacing="1" w:after="100" w:afterAutospacing="1" w:line="240" w:lineRule="auto"/>
    </w:pPr>
    <w:rPr>
      <w:rFonts w:ascii="宋体" w:eastAsia="宋体" w:hAnsi="宋体" w:cs="宋体"/>
      <w:sz w:val="24"/>
      <w:szCs w:val="24"/>
      <w:lang w:eastAsia="zh-CN"/>
    </w:rPr>
  </w:style>
  <w:style w:type="paragraph" w:customStyle="1" w:styleId="p1">
    <w:name w:val="p1"/>
    <w:basedOn w:val="a1"/>
    <w:rsid w:val="008A1325"/>
    <w:pPr>
      <w:spacing w:after="0" w:line="240" w:lineRule="auto"/>
    </w:pPr>
    <w:rPr>
      <w:rFonts w:ascii=".AppleSystemUIFont" w:eastAsia="宋体" w:hAnsi=".AppleSystemUIFont" w:cs="宋体"/>
      <w:color w:val="0E0E0E"/>
      <w:sz w:val="21"/>
      <w:szCs w:val="21"/>
      <w:lang w:eastAsia="zh-CN"/>
    </w:rPr>
  </w:style>
  <w:style w:type="character" w:customStyle="1" w:styleId="s1">
    <w:name w:val="s1"/>
    <w:basedOn w:val="a2"/>
    <w:rsid w:val="008A1325"/>
    <w:rPr>
      <w:rFonts w:ascii=".AppleSystemUIFontMonospaced" w:hAnsi=".AppleSystemUIFontMonospaced" w:hint="default"/>
      <w:sz w:val="21"/>
      <w:szCs w:val="21"/>
    </w:rPr>
  </w:style>
  <w:style w:type="paragraph" w:customStyle="1" w:styleId="p2">
    <w:name w:val="p2"/>
    <w:basedOn w:val="a1"/>
    <w:rsid w:val="008A1325"/>
    <w:pPr>
      <w:spacing w:after="0" w:line="240" w:lineRule="auto"/>
    </w:pPr>
    <w:rPr>
      <w:rFonts w:ascii=".AppleSystemUIFont" w:eastAsia="宋体" w:hAnsi=".AppleSystemUIFont" w:cs="宋体"/>
      <w:color w:val="0E0E0E"/>
      <w:sz w:val="21"/>
      <w:szCs w:val="21"/>
      <w:lang w:eastAsia="zh-CN"/>
    </w:rPr>
  </w:style>
  <w:style w:type="paragraph" w:styleId="afff7">
    <w:name w:val="Normal (Web)"/>
    <w:basedOn w:val="a1"/>
    <w:uiPriority w:val="99"/>
    <w:unhideWhenUsed/>
    <w:rsid w:val="008A1325"/>
    <w:pPr>
      <w:spacing w:before="100" w:beforeAutospacing="1" w:after="100" w:afterAutospacing="1" w:line="240" w:lineRule="auto"/>
    </w:pPr>
    <w:rPr>
      <w:rFonts w:ascii="宋体" w:eastAsia="宋体" w:hAnsi="宋体" w:cs="宋体"/>
      <w:sz w:val="24"/>
      <w:szCs w:val="24"/>
      <w:lang w:eastAsia="zh-CN"/>
    </w:rPr>
  </w:style>
  <w:style w:type="character" w:styleId="afff8">
    <w:name w:val="Placeholder Text"/>
    <w:basedOn w:val="a2"/>
    <w:uiPriority w:val="99"/>
    <w:semiHidden/>
    <w:rsid w:val="008A132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036683">
      <w:bodyDiv w:val="1"/>
      <w:marLeft w:val="0"/>
      <w:marRight w:val="0"/>
      <w:marTop w:val="0"/>
      <w:marBottom w:val="0"/>
      <w:divBdr>
        <w:top w:val="none" w:sz="0" w:space="0" w:color="auto"/>
        <w:left w:val="none" w:sz="0" w:space="0" w:color="auto"/>
        <w:bottom w:val="none" w:sz="0" w:space="0" w:color="auto"/>
        <w:right w:val="none" w:sz="0" w:space="0" w:color="auto"/>
      </w:divBdr>
      <w:divsChild>
        <w:div w:id="12579080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16415">
      <w:bodyDiv w:val="1"/>
      <w:marLeft w:val="0"/>
      <w:marRight w:val="0"/>
      <w:marTop w:val="0"/>
      <w:marBottom w:val="0"/>
      <w:divBdr>
        <w:top w:val="none" w:sz="0" w:space="0" w:color="auto"/>
        <w:left w:val="none" w:sz="0" w:space="0" w:color="auto"/>
        <w:bottom w:val="none" w:sz="0" w:space="0" w:color="auto"/>
        <w:right w:val="none" w:sz="0" w:space="0" w:color="auto"/>
      </w:divBdr>
      <w:divsChild>
        <w:div w:id="7745171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39926">
      <w:bodyDiv w:val="1"/>
      <w:marLeft w:val="0"/>
      <w:marRight w:val="0"/>
      <w:marTop w:val="0"/>
      <w:marBottom w:val="0"/>
      <w:divBdr>
        <w:top w:val="none" w:sz="0" w:space="0" w:color="auto"/>
        <w:left w:val="none" w:sz="0" w:space="0" w:color="auto"/>
        <w:bottom w:val="none" w:sz="0" w:space="0" w:color="auto"/>
        <w:right w:val="none" w:sz="0" w:space="0" w:color="auto"/>
      </w:divBdr>
      <w:divsChild>
        <w:div w:id="57089611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3488274">
      <w:bodyDiv w:val="1"/>
      <w:marLeft w:val="0"/>
      <w:marRight w:val="0"/>
      <w:marTop w:val="0"/>
      <w:marBottom w:val="0"/>
      <w:divBdr>
        <w:top w:val="none" w:sz="0" w:space="0" w:color="auto"/>
        <w:left w:val="none" w:sz="0" w:space="0" w:color="auto"/>
        <w:bottom w:val="none" w:sz="0" w:space="0" w:color="auto"/>
        <w:right w:val="none" w:sz="0" w:space="0" w:color="auto"/>
      </w:divBdr>
    </w:div>
    <w:div w:id="29649405">
      <w:bodyDiv w:val="1"/>
      <w:marLeft w:val="0"/>
      <w:marRight w:val="0"/>
      <w:marTop w:val="0"/>
      <w:marBottom w:val="0"/>
      <w:divBdr>
        <w:top w:val="none" w:sz="0" w:space="0" w:color="auto"/>
        <w:left w:val="none" w:sz="0" w:space="0" w:color="auto"/>
        <w:bottom w:val="none" w:sz="0" w:space="0" w:color="auto"/>
        <w:right w:val="none" w:sz="0" w:space="0" w:color="auto"/>
      </w:divBdr>
    </w:div>
    <w:div w:id="29842692">
      <w:bodyDiv w:val="1"/>
      <w:marLeft w:val="0"/>
      <w:marRight w:val="0"/>
      <w:marTop w:val="0"/>
      <w:marBottom w:val="0"/>
      <w:divBdr>
        <w:top w:val="none" w:sz="0" w:space="0" w:color="auto"/>
        <w:left w:val="none" w:sz="0" w:space="0" w:color="auto"/>
        <w:bottom w:val="none" w:sz="0" w:space="0" w:color="auto"/>
        <w:right w:val="none" w:sz="0" w:space="0" w:color="auto"/>
      </w:divBdr>
      <w:divsChild>
        <w:div w:id="14609297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2115864">
      <w:bodyDiv w:val="1"/>
      <w:marLeft w:val="0"/>
      <w:marRight w:val="0"/>
      <w:marTop w:val="0"/>
      <w:marBottom w:val="0"/>
      <w:divBdr>
        <w:top w:val="none" w:sz="0" w:space="0" w:color="auto"/>
        <w:left w:val="none" w:sz="0" w:space="0" w:color="auto"/>
        <w:bottom w:val="none" w:sz="0" w:space="0" w:color="auto"/>
        <w:right w:val="none" w:sz="0" w:space="0" w:color="auto"/>
      </w:divBdr>
    </w:div>
    <w:div w:id="33972254">
      <w:bodyDiv w:val="1"/>
      <w:marLeft w:val="0"/>
      <w:marRight w:val="0"/>
      <w:marTop w:val="0"/>
      <w:marBottom w:val="0"/>
      <w:divBdr>
        <w:top w:val="none" w:sz="0" w:space="0" w:color="auto"/>
        <w:left w:val="none" w:sz="0" w:space="0" w:color="auto"/>
        <w:bottom w:val="none" w:sz="0" w:space="0" w:color="auto"/>
        <w:right w:val="none" w:sz="0" w:space="0" w:color="auto"/>
      </w:divBdr>
    </w:div>
    <w:div w:id="35202123">
      <w:bodyDiv w:val="1"/>
      <w:marLeft w:val="0"/>
      <w:marRight w:val="0"/>
      <w:marTop w:val="0"/>
      <w:marBottom w:val="0"/>
      <w:divBdr>
        <w:top w:val="none" w:sz="0" w:space="0" w:color="auto"/>
        <w:left w:val="none" w:sz="0" w:space="0" w:color="auto"/>
        <w:bottom w:val="none" w:sz="0" w:space="0" w:color="auto"/>
        <w:right w:val="none" w:sz="0" w:space="0" w:color="auto"/>
      </w:divBdr>
    </w:div>
    <w:div w:id="37513725">
      <w:bodyDiv w:val="1"/>
      <w:marLeft w:val="0"/>
      <w:marRight w:val="0"/>
      <w:marTop w:val="0"/>
      <w:marBottom w:val="0"/>
      <w:divBdr>
        <w:top w:val="none" w:sz="0" w:space="0" w:color="auto"/>
        <w:left w:val="none" w:sz="0" w:space="0" w:color="auto"/>
        <w:bottom w:val="none" w:sz="0" w:space="0" w:color="auto"/>
        <w:right w:val="none" w:sz="0" w:space="0" w:color="auto"/>
      </w:divBdr>
    </w:div>
    <w:div w:id="38357261">
      <w:bodyDiv w:val="1"/>
      <w:marLeft w:val="0"/>
      <w:marRight w:val="0"/>
      <w:marTop w:val="0"/>
      <w:marBottom w:val="0"/>
      <w:divBdr>
        <w:top w:val="none" w:sz="0" w:space="0" w:color="auto"/>
        <w:left w:val="none" w:sz="0" w:space="0" w:color="auto"/>
        <w:bottom w:val="none" w:sz="0" w:space="0" w:color="auto"/>
        <w:right w:val="none" w:sz="0" w:space="0" w:color="auto"/>
      </w:divBdr>
      <w:divsChild>
        <w:div w:id="2552922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366343">
      <w:bodyDiv w:val="1"/>
      <w:marLeft w:val="0"/>
      <w:marRight w:val="0"/>
      <w:marTop w:val="0"/>
      <w:marBottom w:val="0"/>
      <w:divBdr>
        <w:top w:val="none" w:sz="0" w:space="0" w:color="auto"/>
        <w:left w:val="none" w:sz="0" w:space="0" w:color="auto"/>
        <w:bottom w:val="none" w:sz="0" w:space="0" w:color="auto"/>
        <w:right w:val="none" w:sz="0" w:space="0" w:color="auto"/>
      </w:divBdr>
    </w:div>
    <w:div w:id="51318423">
      <w:bodyDiv w:val="1"/>
      <w:marLeft w:val="0"/>
      <w:marRight w:val="0"/>
      <w:marTop w:val="0"/>
      <w:marBottom w:val="0"/>
      <w:divBdr>
        <w:top w:val="none" w:sz="0" w:space="0" w:color="auto"/>
        <w:left w:val="none" w:sz="0" w:space="0" w:color="auto"/>
        <w:bottom w:val="none" w:sz="0" w:space="0" w:color="auto"/>
        <w:right w:val="none" w:sz="0" w:space="0" w:color="auto"/>
      </w:divBdr>
    </w:div>
    <w:div w:id="58752514">
      <w:bodyDiv w:val="1"/>
      <w:marLeft w:val="0"/>
      <w:marRight w:val="0"/>
      <w:marTop w:val="0"/>
      <w:marBottom w:val="0"/>
      <w:divBdr>
        <w:top w:val="none" w:sz="0" w:space="0" w:color="auto"/>
        <w:left w:val="none" w:sz="0" w:space="0" w:color="auto"/>
        <w:bottom w:val="none" w:sz="0" w:space="0" w:color="auto"/>
        <w:right w:val="none" w:sz="0" w:space="0" w:color="auto"/>
      </w:divBdr>
    </w:div>
    <w:div w:id="58796421">
      <w:bodyDiv w:val="1"/>
      <w:marLeft w:val="0"/>
      <w:marRight w:val="0"/>
      <w:marTop w:val="0"/>
      <w:marBottom w:val="0"/>
      <w:divBdr>
        <w:top w:val="none" w:sz="0" w:space="0" w:color="auto"/>
        <w:left w:val="none" w:sz="0" w:space="0" w:color="auto"/>
        <w:bottom w:val="none" w:sz="0" w:space="0" w:color="auto"/>
        <w:right w:val="none" w:sz="0" w:space="0" w:color="auto"/>
      </w:divBdr>
    </w:div>
    <w:div w:id="62224567">
      <w:bodyDiv w:val="1"/>
      <w:marLeft w:val="0"/>
      <w:marRight w:val="0"/>
      <w:marTop w:val="0"/>
      <w:marBottom w:val="0"/>
      <w:divBdr>
        <w:top w:val="none" w:sz="0" w:space="0" w:color="auto"/>
        <w:left w:val="none" w:sz="0" w:space="0" w:color="auto"/>
        <w:bottom w:val="none" w:sz="0" w:space="0" w:color="auto"/>
        <w:right w:val="none" w:sz="0" w:space="0" w:color="auto"/>
      </w:divBdr>
    </w:div>
    <w:div w:id="65422454">
      <w:bodyDiv w:val="1"/>
      <w:marLeft w:val="0"/>
      <w:marRight w:val="0"/>
      <w:marTop w:val="0"/>
      <w:marBottom w:val="0"/>
      <w:divBdr>
        <w:top w:val="none" w:sz="0" w:space="0" w:color="auto"/>
        <w:left w:val="none" w:sz="0" w:space="0" w:color="auto"/>
        <w:bottom w:val="none" w:sz="0" w:space="0" w:color="auto"/>
        <w:right w:val="none" w:sz="0" w:space="0" w:color="auto"/>
      </w:divBdr>
      <w:divsChild>
        <w:div w:id="195532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7119748">
      <w:bodyDiv w:val="1"/>
      <w:marLeft w:val="0"/>
      <w:marRight w:val="0"/>
      <w:marTop w:val="0"/>
      <w:marBottom w:val="0"/>
      <w:divBdr>
        <w:top w:val="none" w:sz="0" w:space="0" w:color="auto"/>
        <w:left w:val="none" w:sz="0" w:space="0" w:color="auto"/>
        <w:bottom w:val="none" w:sz="0" w:space="0" w:color="auto"/>
        <w:right w:val="none" w:sz="0" w:space="0" w:color="auto"/>
      </w:divBdr>
    </w:div>
    <w:div w:id="68158340">
      <w:bodyDiv w:val="1"/>
      <w:marLeft w:val="0"/>
      <w:marRight w:val="0"/>
      <w:marTop w:val="0"/>
      <w:marBottom w:val="0"/>
      <w:divBdr>
        <w:top w:val="none" w:sz="0" w:space="0" w:color="auto"/>
        <w:left w:val="none" w:sz="0" w:space="0" w:color="auto"/>
        <w:bottom w:val="none" w:sz="0" w:space="0" w:color="auto"/>
        <w:right w:val="none" w:sz="0" w:space="0" w:color="auto"/>
      </w:divBdr>
    </w:div>
    <w:div w:id="68625917">
      <w:bodyDiv w:val="1"/>
      <w:marLeft w:val="0"/>
      <w:marRight w:val="0"/>
      <w:marTop w:val="0"/>
      <w:marBottom w:val="0"/>
      <w:divBdr>
        <w:top w:val="none" w:sz="0" w:space="0" w:color="auto"/>
        <w:left w:val="none" w:sz="0" w:space="0" w:color="auto"/>
        <w:bottom w:val="none" w:sz="0" w:space="0" w:color="auto"/>
        <w:right w:val="none" w:sz="0" w:space="0" w:color="auto"/>
      </w:divBdr>
    </w:div>
    <w:div w:id="74284127">
      <w:bodyDiv w:val="1"/>
      <w:marLeft w:val="0"/>
      <w:marRight w:val="0"/>
      <w:marTop w:val="0"/>
      <w:marBottom w:val="0"/>
      <w:divBdr>
        <w:top w:val="none" w:sz="0" w:space="0" w:color="auto"/>
        <w:left w:val="none" w:sz="0" w:space="0" w:color="auto"/>
        <w:bottom w:val="none" w:sz="0" w:space="0" w:color="auto"/>
        <w:right w:val="none" w:sz="0" w:space="0" w:color="auto"/>
      </w:divBdr>
    </w:div>
    <w:div w:id="74716445">
      <w:bodyDiv w:val="1"/>
      <w:marLeft w:val="0"/>
      <w:marRight w:val="0"/>
      <w:marTop w:val="0"/>
      <w:marBottom w:val="0"/>
      <w:divBdr>
        <w:top w:val="none" w:sz="0" w:space="0" w:color="auto"/>
        <w:left w:val="none" w:sz="0" w:space="0" w:color="auto"/>
        <w:bottom w:val="none" w:sz="0" w:space="0" w:color="auto"/>
        <w:right w:val="none" w:sz="0" w:space="0" w:color="auto"/>
      </w:divBdr>
    </w:div>
    <w:div w:id="80299180">
      <w:bodyDiv w:val="1"/>
      <w:marLeft w:val="0"/>
      <w:marRight w:val="0"/>
      <w:marTop w:val="0"/>
      <w:marBottom w:val="0"/>
      <w:divBdr>
        <w:top w:val="none" w:sz="0" w:space="0" w:color="auto"/>
        <w:left w:val="none" w:sz="0" w:space="0" w:color="auto"/>
        <w:bottom w:val="none" w:sz="0" w:space="0" w:color="auto"/>
        <w:right w:val="none" w:sz="0" w:space="0" w:color="auto"/>
      </w:divBdr>
    </w:div>
    <w:div w:id="88351842">
      <w:bodyDiv w:val="1"/>
      <w:marLeft w:val="0"/>
      <w:marRight w:val="0"/>
      <w:marTop w:val="0"/>
      <w:marBottom w:val="0"/>
      <w:divBdr>
        <w:top w:val="none" w:sz="0" w:space="0" w:color="auto"/>
        <w:left w:val="none" w:sz="0" w:space="0" w:color="auto"/>
        <w:bottom w:val="none" w:sz="0" w:space="0" w:color="auto"/>
        <w:right w:val="none" w:sz="0" w:space="0" w:color="auto"/>
      </w:divBdr>
    </w:div>
    <w:div w:id="95947799">
      <w:bodyDiv w:val="1"/>
      <w:marLeft w:val="0"/>
      <w:marRight w:val="0"/>
      <w:marTop w:val="0"/>
      <w:marBottom w:val="0"/>
      <w:divBdr>
        <w:top w:val="none" w:sz="0" w:space="0" w:color="auto"/>
        <w:left w:val="none" w:sz="0" w:space="0" w:color="auto"/>
        <w:bottom w:val="none" w:sz="0" w:space="0" w:color="auto"/>
        <w:right w:val="none" w:sz="0" w:space="0" w:color="auto"/>
      </w:divBdr>
    </w:div>
    <w:div w:id="97337534">
      <w:bodyDiv w:val="1"/>
      <w:marLeft w:val="0"/>
      <w:marRight w:val="0"/>
      <w:marTop w:val="0"/>
      <w:marBottom w:val="0"/>
      <w:divBdr>
        <w:top w:val="none" w:sz="0" w:space="0" w:color="auto"/>
        <w:left w:val="none" w:sz="0" w:space="0" w:color="auto"/>
        <w:bottom w:val="none" w:sz="0" w:space="0" w:color="auto"/>
        <w:right w:val="none" w:sz="0" w:space="0" w:color="auto"/>
      </w:divBdr>
    </w:div>
    <w:div w:id="102498898">
      <w:bodyDiv w:val="1"/>
      <w:marLeft w:val="0"/>
      <w:marRight w:val="0"/>
      <w:marTop w:val="0"/>
      <w:marBottom w:val="0"/>
      <w:divBdr>
        <w:top w:val="none" w:sz="0" w:space="0" w:color="auto"/>
        <w:left w:val="none" w:sz="0" w:space="0" w:color="auto"/>
        <w:bottom w:val="none" w:sz="0" w:space="0" w:color="auto"/>
        <w:right w:val="none" w:sz="0" w:space="0" w:color="auto"/>
      </w:divBdr>
    </w:div>
    <w:div w:id="107628173">
      <w:bodyDiv w:val="1"/>
      <w:marLeft w:val="0"/>
      <w:marRight w:val="0"/>
      <w:marTop w:val="0"/>
      <w:marBottom w:val="0"/>
      <w:divBdr>
        <w:top w:val="none" w:sz="0" w:space="0" w:color="auto"/>
        <w:left w:val="none" w:sz="0" w:space="0" w:color="auto"/>
        <w:bottom w:val="none" w:sz="0" w:space="0" w:color="auto"/>
        <w:right w:val="none" w:sz="0" w:space="0" w:color="auto"/>
      </w:divBdr>
      <w:divsChild>
        <w:div w:id="181891091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6071457">
      <w:bodyDiv w:val="1"/>
      <w:marLeft w:val="0"/>
      <w:marRight w:val="0"/>
      <w:marTop w:val="0"/>
      <w:marBottom w:val="0"/>
      <w:divBdr>
        <w:top w:val="none" w:sz="0" w:space="0" w:color="auto"/>
        <w:left w:val="none" w:sz="0" w:space="0" w:color="auto"/>
        <w:bottom w:val="none" w:sz="0" w:space="0" w:color="auto"/>
        <w:right w:val="none" w:sz="0" w:space="0" w:color="auto"/>
      </w:divBdr>
    </w:div>
    <w:div w:id="117576104">
      <w:bodyDiv w:val="1"/>
      <w:marLeft w:val="0"/>
      <w:marRight w:val="0"/>
      <w:marTop w:val="0"/>
      <w:marBottom w:val="0"/>
      <w:divBdr>
        <w:top w:val="none" w:sz="0" w:space="0" w:color="auto"/>
        <w:left w:val="none" w:sz="0" w:space="0" w:color="auto"/>
        <w:bottom w:val="none" w:sz="0" w:space="0" w:color="auto"/>
        <w:right w:val="none" w:sz="0" w:space="0" w:color="auto"/>
      </w:divBdr>
    </w:div>
    <w:div w:id="118840001">
      <w:bodyDiv w:val="1"/>
      <w:marLeft w:val="0"/>
      <w:marRight w:val="0"/>
      <w:marTop w:val="0"/>
      <w:marBottom w:val="0"/>
      <w:divBdr>
        <w:top w:val="none" w:sz="0" w:space="0" w:color="auto"/>
        <w:left w:val="none" w:sz="0" w:space="0" w:color="auto"/>
        <w:bottom w:val="none" w:sz="0" w:space="0" w:color="auto"/>
        <w:right w:val="none" w:sz="0" w:space="0" w:color="auto"/>
      </w:divBdr>
    </w:div>
    <w:div w:id="120732098">
      <w:bodyDiv w:val="1"/>
      <w:marLeft w:val="0"/>
      <w:marRight w:val="0"/>
      <w:marTop w:val="0"/>
      <w:marBottom w:val="0"/>
      <w:divBdr>
        <w:top w:val="none" w:sz="0" w:space="0" w:color="auto"/>
        <w:left w:val="none" w:sz="0" w:space="0" w:color="auto"/>
        <w:bottom w:val="none" w:sz="0" w:space="0" w:color="auto"/>
        <w:right w:val="none" w:sz="0" w:space="0" w:color="auto"/>
      </w:divBdr>
    </w:div>
    <w:div w:id="126242096">
      <w:bodyDiv w:val="1"/>
      <w:marLeft w:val="0"/>
      <w:marRight w:val="0"/>
      <w:marTop w:val="0"/>
      <w:marBottom w:val="0"/>
      <w:divBdr>
        <w:top w:val="none" w:sz="0" w:space="0" w:color="auto"/>
        <w:left w:val="none" w:sz="0" w:space="0" w:color="auto"/>
        <w:bottom w:val="none" w:sz="0" w:space="0" w:color="auto"/>
        <w:right w:val="none" w:sz="0" w:space="0" w:color="auto"/>
      </w:divBdr>
    </w:div>
    <w:div w:id="126822540">
      <w:bodyDiv w:val="1"/>
      <w:marLeft w:val="0"/>
      <w:marRight w:val="0"/>
      <w:marTop w:val="0"/>
      <w:marBottom w:val="0"/>
      <w:divBdr>
        <w:top w:val="none" w:sz="0" w:space="0" w:color="auto"/>
        <w:left w:val="none" w:sz="0" w:space="0" w:color="auto"/>
        <w:bottom w:val="none" w:sz="0" w:space="0" w:color="auto"/>
        <w:right w:val="none" w:sz="0" w:space="0" w:color="auto"/>
      </w:divBdr>
      <w:divsChild>
        <w:div w:id="7642252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8936901">
      <w:bodyDiv w:val="1"/>
      <w:marLeft w:val="0"/>
      <w:marRight w:val="0"/>
      <w:marTop w:val="0"/>
      <w:marBottom w:val="0"/>
      <w:divBdr>
        <w:top w:val="none" w:sz="0" w:space="0" w:color="auto"/>
        <w:left w:val="none" w:sz="0" w:space="0" w:color="auto"/>
        <w:bottom w:val="none" w:sz="0" w:space="0" w:color="auto"/>
        <w:right w:val="none" w:sz="0" w:space="0" w:color="auto"/>
      </w:divBdr>
    </w:div>
    <w:div w:id="130026481">
      <w:bodyDiv w:val="1"/>
      <w:marLeft w:val="0"/>
      <w:marRight w:val="0"/>
      <w:marTop w:val="0"/>
      <w:marBottom w:val="0"/>
      <w:divBdr>
        <w:top w:val="none" w:sz="0" w:space="0" w:color="auto"/>
        <w:left w:val="none" w:sz="0" w:space="0" w:color="auto"/>
        <w:bottom w:val="none" w:sz="0" w:space="0" w:color="auto"/>
        <w:right w:val="none" w:sz="0" w:space="0" w:color="auto"/>
      </w:divBdr>
      <w:divsChild>
        <w:div w:id="2052596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0368762">
      <w:bodyDiv w:val="1"/>
      <w:marLeft w:val="0"/>
      <w:marRight w:val="0"/>
      <w:marTop w:val="0"/>
      <w:marBottom w:val="0"/>
      <w:divBdr>
        <w:top w:val="none" w:sz="0" w:space="0" w:color="auto"/>
        <w:left w:val="none" w:sz="0" w:space="0" w:color="auto"/>
        <w:bottom w:val="none" w:sz="0" w:space="0" w:color="auto"/>
        <w:right w:val="none" w:sz="0" w:space="0" w:color="auto"/>
      </w:divBdr>
      <w:divsChild>
        <w:div w:id="12399038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070199">
      <w:bodyDiv w:val="1"/>
      <w:marLeft w:val="0"/>
      <w:marRight w:val="0"/>
      <w:marTop w:val="0"/>
      <w:marBottom w:val="0"/>
      <w:divBdr>
        <w:top w:val="none" w:sz="0" w:space="0" w:color="auto"/>
        <w:left w:val="none" w:sz="0" w:space="0" w:color="auto"/>
        <w:bottom w:val="none" w:sz="0" w:space="0" w:color="auto"/>
        <w:right w:val="none" w:sz="0" w:space="0" w:color="auto"/>
      </w:divBdr>
    </w:div>
    <w:div w:id="137460770">
      <w:bodyDiv w:val="1"/>
      <w:marLeft w:val="0"/>
      <w:marRight w:val="0"/>
      <w:marTop w:val="0"/>
      <w:marBottom w:val="0"/>
      <w:divBdr>
        <w:top w:val="none" w:sz="0" w:space="0" w:color="auto"/>
        <w:left w:val="none" w:sz="0" w:space="0" w:color="auto"/>
        <w:bottom w:val="none" w:sz="0" w:space="0" w:color="auto"/>
        <w:right w:val="none" w:sz="0" w:space="0" w:color="auto"/>
      </w:divBdr>
      <w:divsChild>
        <w:div w:id="991444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4784744">
      <w:bodyDiv w:val="1"/>
      <w:marLeft w:val="0"/>
      <w:marRight w:val="0"/>
      <w:marTop w:val="0"/>
      <w:marBottom w:val="0"/>
      <w:divBdr>
        <w:top w:val="none" w:sz="0" w:space="0" w:color="auto"/>
        <w:left w:val="none" w:sz="0" w:space="0" w:color="auto"/>
        <w:bottom w:val="none" w:sz="0" w:space="0" w:color="auto"/>
        <w:right w:val="none" w:sz="0" w:space="0" w:color="auto"/>
      </w:divBdr>
      <w:divsChild>
        <w:div w:id="18129403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525146">
      <w:bodyDiv w:val="1"/>
      <w:marLeft w:val="0"/>
      <w:marRight w:val="0"/>
      <w:marTop w:val="0"/>
      <w:marBottom w:val="0"/>
      <w:divBdr>
        <w:top w:val="none" w:sz="0" w:space="0" w:color="auto"/>
        <w:left w:val="none" w:sz="0" w:space="0" w:color="auto"/>
        <w:bottom w:val="none" w:sz="0" w:space="0" w:color="auto"/>
        <w:right w:val="none" w:sz="0" w:space="0" w:color="auto"/>
      </w:divBdr>
    </w:div>
    <w:div w:id="152141017">
      <w:bodyDiv w:val="1"/>
      <w:marLeft w:val="0"/>
      <w:marRight w:val="0"/>
      <w:marTop w:val="0"/>
      <w:marBottom w:val="0"/>
      <w:divBdr>
        <w:top w:val="none" w:sz="0" w:space="0" w:color="auto"/>
        <w:left w:val="none" w:sz="0" w:space="0" w:color="auto"/>
        <w:bottom w:val="none" w:sz="0" w:space="0" w:color="auto"/>
        <w:right w:val="none" w:sz="0" w:space="0" w:color="auto"/>
      </w:divBdr>
    </w:div>
    <w:div w:id="164441350">
      <w:bodyDiv w:val="1"/>
      <w:marLeft w:val="0"/>
      <w:marRight w:val="0"/>
      <w:marTop w:val="0"/>
      <w:marBottom w:val="0"/>
      <w:divBdr>
        <w:top w:val="none" w:sz="0" w:space="0" w:color="auto"/>
        <w:left w:val="none" w:sz="0" w:space="0" w:color="auto"/>
        <w:bottom w:val="none" w:sz="0" w:space="0" w:color="auto"/>
        <w:right w:val="none" w:sz="0" w:space="0" w:color="auto"/>
      </w:divBdr>
    </w:div>
    <w:div w:id="166412076">
      <w:bodyDiv w:val="1"/>
      <w:marLeft w:val="0"/>
      <w:marRight w:val="0"/>
      <w:marTop w:val="0"/>
      <w:marBottom w:val="0"/>
      <w:divBdr>
        <w:top w:val="none" w:sz="0" w:space="0" w:color="auto"/>
        <w:left w:val="none" w:sz="0" w:space="0" w:color="auto"/>
        <w:bottom w:val="none" w:sz="0" w:space="0" w:color="auto"/>
        <w:right w:val="none" w:sz="0" w:space="0" w:color="auto"/>
      </w:divBdr>
    </w:div>
    <w:div w:id="169758621">
      <w:bodyDiv w:val="1"/>
      <w:marLeft w:val="0"/>
      <w:marRight w:val="0"/>
      <w:marTop w:val="0"/>
      <w:marBottom w:val="0"/>
      <w:divBdr>
        <w:top w:val="none" w:sz="0" w:space="0" w:color="auto"/>
        <w:left w:val="none" w:sz="0" w:space="0" w:color="auto"/>
        <w:bottom w:val="none" w:sz="0" w:space="0" w:color="auto"/>
        <w:right w:val="none" w:sz="0" w:space="0" w:color="auto"/>
      </w:divBdr>
    </w:div>
    <w:div w:id="170029903">
      <w:bodyDiv w:val="1"/>
      <w:marLeft w:val="0"/>
      <w:marRight w:val="0"/>
      <w:marTop w:val="0"/>
      <w:marBottom w:val="0"/>
      <w:divBdr>
        <w:top w:val="none" w:sz="0" w:space="0" w:color="auto"/>
        <w:left w:val="none" w:sz="0" w:space="0" w:color="auto"/>
        <w:bottom w:val="none" w:sz="0" w:space="0" w:color="auto"/>
        <w:right w:val="none" w:sz="0" w:space="0" w:color="auto"/>
      </w:divBdr>
    </w:div>
    <w:div w:id="180246337">
      <w:bodyDiv w:val="1"/>
      <w:marLeft w:val="0"/>
      <w:marRight w:val="0"/>
      <w:marTop w:val="0"/>
      <w:marBottom w:val="0"/>
      <w:divBdr>
        <w:top w:val="none" w:sz="0" w:space="0" w:color="auto"/>
        <w:left w:val="none" w:sz="0" w:space="0" w:color="auto"/>
        <w:bottom w:val="none" w:sz="0" w:space="0" w:color="auto"/>
        <w:right w:val="none" w:sz="0" w:space="0" w:color="auto"/>
      </w:divBdr>
    </w:div>
    <w:div w:id="183639495">
      <w:bodyDiv w:val="1"/>
      <w:marLeft w:val="0"/>
      <w:marRight w:val="0"/>
      <w:marTop w:val="0"/>
      <w:marBottom w:val="0"/>
      <w:divBdr>
        <w:top w:val="none" w:sz="0" w:space="0" w:color="auto"/>
        <w:left w:val="none" w:sz="0" w:space="0" w:color="auto"/>
        <w:bottom w:val="none" w:sz="0" w:space="0" w:color="auto"/>
        <w:right w:val="none" w:sz="0" w:space="0" w:color="auto"/>
      </w:divBdr>
    </w:div>
    <w:div w:id="185101936">
      <w:bodyDiv w:val="1"/>
      <w:marLeft w:val="0"/>
      <w:marRight w:val="0"/>
      <w:marTop w:val="0"/>
      <w:marBottom w:val="0"/>
      <w:divBdr>
        <w:top w:val="none" w:sz="0" w:space="0" w:color="auto"/>
        <w:left w:val="none" w:sz="0" w:space="0" w:color="auto"/>
        <w:bottom w:val="none" w:sz="0" w:space="0" w:color="auto"/>
        <w:right w:val="none" w:sz="0" w:space="0" w:color="auto"/>
      </w:divBdr>
    </w:div>
    <w:div w:id="186868282">
      <w:bodyDiv w:val="1"/>
      <w:marLeft w:val="0"/>
      <w:marRight w:val="0"/>
      <w:marTop w:val="0"/>
      <w:marBottom w:val="0"/>
      <w:divBdr>
        <w:top w:val="none" w:sz="0" w:space="0" w:color="auto"/>
        <w:left w:val="none" w:sz="0" w:space="0" w:color="auto"/>
        <w:bottom w:val="none" w:sz="0" w:space="0" w:color="auto"/>
        <w:right w:val="none" w:sz="0" w:space="0" w:color="auto"/>
      </w:divBdr>
    </w:div>
    <w:div w:id="192033982">
      <w:bodyDiv w:val="1"/>
      <w:marLeft w:val="0"/>
      <w:marRight w:val="0"/>
      <w:marTop w:val="0"/>
      <w:marBottom w:val="0"/>
      <w:divBdr>
        <w:top w:val="none" w:sz="0" w:space="0" w:color="auto"/>
        <w:left w:val="none" w:sz="0" w:space="0" w:color="auto"/>
        <w:bottom w:val="none" w:sz="0" w:space="0" w:color="auto"/>
        <w:right w:val="none" w:sz="0" w:space="0" w:color="auto"/>
      </w:divBdr>
    </w:div>
    <w:div w:id="197400559">
      <w:bodyDiv w:val="1"/>
      <w:marLeft w:val="0"/>
      <w:marRight w:val="0"/>
      <w:marTop w:val="0"/>
      <w:marBottom w:val="0"/>
      <w:divBdr>
        <w:top w:val="none" w:sz="0" w:space="0" w:color="auto"/>
        <w:left w:val="none" w:sz="0" w:space="0" w:color="auto"/>
        <w:bottom w:val="none" w:sz="0" w:space="0" w:color="auto"/>
        <w:right w:val="none" w:sz="0" w:space="0" w:color="auto"/>
      </w:divBdr>
    </w:div>
    <w:div w:id="208109105">
      <w:bodyDiv w:val="1"/>
      <w:marLeft w:val="0"/>
      <w:marRight w:val="0"/>
      <w:marTop w:val="0"/>
      <w:marBottom w:val="0"/>
      <w:divBdr>
        <w:top w:val="none" w:sz="0" w:space="0" w:color="auto"/>
        <w:left w:val="none" w:sz="0" w:space="0" w:color="auto"/>
        <w:bottom w:val="none" w:sz="0" w:space="0" w:color="auto"/>
        <w:right w:val="none" w:sz="0" w:space="0" w:color="auto"/>
      </w:divBdr>
    </w:div>
    <w:div w:id="212814377">
      <w:bodyDiv w:val="1"/>
      <w:marLeft w:val="0"/>
      <w:marRight w:val="0"/>
      <w:marTop w:val="0"/>
      <w:marBottom w:val="0"/>
      <w:divBdr>
        <w:top w:val="none" w:sz="0" w:space="0" w:color="auto"/>
        <w:left w:val="none" w:sz="0" w:space="0" w:color="auto"/>
        <w:bottom w:val="none" w:sz="0" w:space="0" w:color="auto"/>
        <w:right w:val="none" w:sz="0" w:space="0" w:color="auto"/>
      </w:divBdr>
    </w:div>
    <w:div w:id="214588221">
      <w:bodyDiv w:val="1"/>
      <w:marLeft w:val="0"/>
      <w:marRight w:val="0"/>
      <w:marTop w:val="0"/>
      <w:marBottom w:val="0"/>
      <w:divBdr>
        <w:top w:val="none" w:sz="0" w:space="0" w:color="auto"/>
        <w:left w:val="none" w:sz="0" w:space="0" w:color="auto"/>
        <w:bottom w:val="none" w:sz="0" w:space="0" w:color="auto"/>
        <w:right w:val="none" w:sz="0" w:space="0" w:color="auto"/>
      </w:divBdr>
    </w:div>
    <w:div w:id="216742565">
      <w:bodyDiv w:val="1"/>
      <w:marLeft w:val="0"/>
      <w:marRight w:val="0"/>
      <w:marTop w:val="0"/>
      <w:marBottom w:val="0"/>
      <w:divBdr>
        <w:top w:val="none" w:sz="0" w:space="0" w:color="auto"/>
        <w:left w:val="none" w:sz="0" w:space="0" w:color="auto"/>
        <w:bottom w:val="none" w:sz="0" w:space="0" w:color="auto"/>
        <w:right w:val="none" w:sz="0" w:space="0" w:color="auto"/>
      </w:divBdr>
    </w:div>
    <w:div w:id="232203992">
      <w:bodyDiv w:val="1"/>
      <w:marLeft w:val="0"/>
      <w:marRight w:val="0"/>
      <w:marTop w:val="0"/>
      <w:marBottom w:val="0"/>
      <w:divBdr>
        <w:top w:val="none" w:sz="0" w:space="0" w:color="auto"/>
        <w:left w:val="none" w:sz="0" w:space="0" w:color="auto"/>
        <w:bottom w:val="none" w:sz="0" w:space="0" w:color="auto"/>
        <w:right w:val="none" w:sz="0" w:space="0" w:color="auto"/>
      </w:divBdr>
    </w:div>
    <w:div w:id="258684952">
      <w:bodyDiv w:val="1"/>
      <w:marLeft w:val="0"/>
      <w:marRight w:val="0"/>
      <w:marTop w:val="0"/>
      <w:marBottom w:val="0"/>
      <w:divBdr>
        <w:top w:val="none" w:sz="0" w:space="0" w:color="auto"/>
        <w:left w:val="none" w:sz="0" w:space="0" w:color="auto"/>
        <w:bottom w:val="none" w:sz="0" w:space="0" w:color="auto"/>
        <w:right w:val="none" w:sz="0" w:space="0" w:color="auto"/>
      </w:divBdr>
      <w:divsChild>
        <w:div w:id="4421949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1034261">
      <w:bodyDiv w:val="1"/>
      <w:marLeft w:val="0"/>
      <w:marRight w:val="0"/>
      <w:marTop w:val="0"/>
      <w:marBottom w:val="0"/>
      <w:divBdr>
        <w:top w:val="none" w:sz="0" w:space="0" w:color="auto"/>
        <w:left w:val="none" w:sz="0" w:space="0" w:color="auto"/>
        <w:bottom w:val="none" w:sz="0" w:space="0" w:color="auto"/>
        <w:right w:val="none" w:sz="0" w:space="0" w:color="auto"/>
      </w:divBdr>
      <w:divsChild>
        <w:div w:id="238684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4306899">
      <w:bodyDiv w:val="1"/>
      <w:marLeft w:val="0"/>
      <w:marRight w:val="0"/>
      <w:marTop w:val="0"/>
      <w:marBottom w:val="0"/>
      <w:divBdr>
        <w:top w:val="none" w:sz="0" w:space="0" w:color="auto"/>
        <w:left w:val="none" w:sz="0" w:space="0" w:color="auto"/>
        <w:bottom w:val="none" w:sz="0" w:space="0" w:color="auto"/>
        <w:right w:val="none" w:sz="0" w:space="0" w:color="auto"/>
      </w:divBdr>
      <w:divsChild>
        <w:div w:id="2193665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69119444">
      <w:bodyDiv w:val="1"/>
      <w:marLeft w:val="0"/>
      <w:marRight w:val="0"/>
      <w:marTop w:val="0"/>
      <w:marBottom w:val="0"/>
      <w:divBdr>
        <w:top w:val="none" w:sz="0" w:space="0" w:color="auto"/>
        <w:left w:val="none" w:sz="0" w:space="0" w:color="auto"/>
        <w:bottom w:val="none" w:sz="0" w:space="0" w:color="auto"/>
        <w:right w:val="none" w:sz="0" w:space="0" w:color="auto"/>
      </w:divBdr>
    </w:div>
    <w:div w:id="271135206">
      <w:bodyDiv w:val="1"/>
      <w:marLeft w:val="0"/>
      <w:marRight w:val="0"/>
      <w:marTop w:val="0"/>
      <w:marBottom w:val="0"/>
      <w:divBdr>
        <w:top w:val="none" w:sz="0" w:space="0" w:color="auto"/>
        <w:left w:val="none" w:sz="0" w:space="0" w:color="auto"/>
        <w:bottom w:val="none" w:sz="0" w:space="0" w:color="auto"/>
        <w:right w:val="none" w:sz="0" w:space="0" w:color="auto"/>
      </w:divBdr>
    </w:div>
    <w:div w:id="271787124">
      <w:bodyDiv w:val="1"/>
      <w:marLeft w:val="0"/>
      <w:marRight w:val="0"/>
      <w:marTop w:val="0"/>
      <w:marBottom w:val="0"/>
      <w:divBdr>
        <w:top w:val="none" w:sz="0" w:space="0" w:color="auto"/>
        <w:left w:val="none" w:sz="0" w:space="0" w:color="auto"/>
        <w:bottom w:val="none" w:sz="0" w:space="0" w:color="auto"/>
        <w:right w:val="none" w:sz="0" w:space="0" w:color="auto"/>
      </w:divBdr>
    </w:div>
    <w:div w:id="276105513">
      <w:bodyDiv w:val="1"/>
      <w:marLeft w:val="0"/>
      <w:marRight w:val="0"/>
      <w:marTop w:val="0"/>
      <w:marBottom w:val="0"/>
      <w:divBdr>
        <w:top w:val="none" w:sz="0" w:space="0" w:color="auto"/>
        <w:left w:val="none" w:sz="0" w:space="0" w:color="auto"/>
        <w:bottom w:val="none" w:sz="0" w:space="0" w:color="auto"/>
        <w:right w:val="none" w:sz="0" w:space="0" w:color="auto"/>
      </w:divBdr>
    </w:div>
    <w:div w:id="283850445">
      <w:bodyDiv w:val="1"/>
      <w:marLeft w:val="0"/>
      <w:marRight w:val="0"/>
      <w:marTop w:val="0"/>
      <w:marBottom w:val="0"/>
      <w:divBdr>
        <w:top w:val="none" w:sz="0" w:space="0" w:color="auto"/>
        <w:left w:val="none" w:sz="0" w:space="0" w:color="auto"/>
        <w:bottom w:val="none" w:sz="0" w:space="0" w:color="auto"/>
        <w:right w:val="none" w:sz="0" w:space="0" w:color="auto"/>
      </w:divBdr>
      <w:divsChild>
        <w:div w:id="62314836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86159335">
      <w:bodyDiv w:val="1"/>
      <w:marLeft w:val="0"/>
      <w:marRight w:val="0"/>
      <w:marTop w:val="0"/>
      <w:marBottom w:val="0"/>
      <w:divBdr>
        <w:top w:val="none" w:sz="0" w:space="0" w:color="auto"/>
        <w:left w:val="none" w:sz="0" w:space="0" w:color="auto"/>
        <w:bottom w:val="none" w:sz="0" w:space="0" w:color="auto"/>
        <w:right w:val="none" w:sz="0" w:space="0" w:color="auto"/>
      </w:divBdr>
    </w:div>
    <w:div w:id="286662338">
      <w:bodyDiv w:val="1"/>
      <w:marLeft w:val="0"/>
      <w:marRight w:val="0"/>
      <w:marTop w:val="0"/>
      <w:marBottom w:val="0"/>
      <w:divBdr>
        <w:top w:val="none" w:sz="0" w:space="0" w:color="auto"/>
        <w:left w:val="none" w:sz="0" w:space="0" w:color="auto"/>
        <w:bottom w:val="none" w:sz="0" w:space="0" w:color="auto"/>
        <w:right w:val="none" w:sz="0" w:space="0" w:color="auto"/>
      </w:divBdr>
    </w:div>
    <w:div w:id="302009341">
      <w:bodyDiv w:val="1"/>
      <w:marLeft w:val="0"/>
      <w:marRight w:val="0"/>
      <w:marTop w:val="0"/>
      <w:marBottom w:val="0"/>
      <w:divBdr>
        <w:top w:val="none" w:sz="0" w:space="0" w:color="auto"/>
        <w:left w:val="none" w:sz="0" w:space="0" w:color="auto"/>
        <w:bottom w:val="none" w:sz="0" w:space="0" w:color="auto"/>
        <w:right w:val="none" w:sz="0" w:space="0" w:color="auto"/>
      </w:divBdr>
    </w:div>
    <w:div w:id="302589281">
      <w:bodyDiv w:val="1"/>
      <w:marLeft w:val="0"/>
      <w:marRight w:val="0"/>
      <w:marTop w:val="0"/>
      <w:marBottom w:val="0"/>
      <w:divBdr>
        <w:top w:val="none" w:sz="0" w:space="0" w:color="auto"/>
        <w:left w:val="none" w:sz="0" w:space="0" w:color="auto"/>
        <w:bottom w:val="none" w:sz="0" w:space="0" w:color="auto"/>
        <w:right w:val="none" w:sz="0" w:space="0" w:color="auto"/>
      </w:divBdr>
    </w:div>
    <w:div w:id="308101115">
      <w:bodyDiv w:val="1"/>
      <w:marLeft w:val="0"/>
      <w:marRight w:val="0"/>
      <w:marTop w:val="0"/>
      <w:marBottom w:val="0"/>
      <w:divBdr>
        <w:top w:val="none" w:sz="0" w:space="0" w:color="auto"/>
        <w:left w:val="none" w:sz="0" w:space="0" w:color="auto"/>
        <w:bottom w:val="none" w:sz="0" w:space="0" w:color="auto"/>
        <w:right w:val="none" w:sz="0" w:space="0" w:color="auto"/>
      </w:divBdr>
      <w:divsChild>
        <w:div w:id="74233703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08218900">
      <w:bodyDiv w:val="1"/>
      <w:marLeft w:val="0"/>
      <w:marRight w:val="0"/>
      <w:marTop w:val="0"/>
      <w:marBottom w:val="0"/>
      <w:divBdr>
        <w:top w:val="none" w:sz="0" w:space="0" w:color="auto"/>
        <w:left w:val="none" w:sz="0" w:space="0" w:color="auto"/>
        <w:bottom w:val="none" w:sz="0" w:space="0" w:color="auto"/>
        <w:right w:val="none" w:sz="0" w:space="0" w:color="auto"/>
      </w:divBdr>
    </w:div>
    <w:div w:id="310135090">
      <w:bodyDiv w:val="1"/>
      <w:marLeft w:val="0"/>
      <w:marRight w:val="0"/>
      <w:marTop w:val="0"/>
      <w:marBottom w:val="0"/>
      <w:divBdr>
        <w:top w:val="none" w:sz="0" w:space="0" w:color="auto"/>
        <w:left w:val="none" w:sz="0" w:space="0" w:color="auto"/>
        <w:bottom w:val="none" w:sz="0" w:space="0" w:color="auto"/>
        <w:right w:val="none" w:sz="0" w:space="0" w:color="auto"/>
      </w:divBdr>
    </w:div>
    <w:div w:id="312220273">
      <w:bodyDiv w:val="1"/>
      <w:marLeft w:val="0"/>
      <w:marRight w:val="0"/>
      <w:marTop w:val="0"/>
      <w:marBottom w:val="0"/>
      <w:divBdr>
        <w:top w:val="none" w:sz="0" w:space="0" w:color="auto"/>
        <w:left w:val="none" w:sz="0" w:space="0" w:color="auto"/>
        <w:bottom w:val="none" w:sz="0" w:space="0" w:color="auto"/>
        <w:right w:val="none" w:sz="0" w:space="0" w:color="auto"/>
      </w:divBdr>
      <w:divsChild>
        <w:div w:id="13351866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3030522">
      <w:bodyDiv w:val="1"/>
      <w:marLeft w:val="0"/>
      <w:marRight w:val="0"/>
      <w:marTop w:val="0"/>
      <w:marBottom w:val="0"/>
      <w:divBdr>
        <w:top w:val="none" w:sz="0" w:space="0" w:color="auto"/>
        <w:left w:val="none" w:sz="0" w:space="0" w:color="auto"/>
        <w:bottom w:val="none" w:sz="0" w:space="0" w:color="auto"/>
        <w:right w:val="none" w:sz="0" w:space="0" w:color="auto"/>
      </w:divBdr>
    </w:div>
    <w:div w:id="313687227">
      <w:bodyDiv w:val="1"/>
      <w:marLeft w:val="0"/>
      <w:marRight w:val="0"/>
      <w:marTop w:val="0"/>
      <w:marBottom w:val="0"/>
      <w:divBdr>
        <w:top w:val="none" w:sz="0" w:space="0" w:color="auto"/>
        <w:left w:val="none" w:sz="0" w:space="0" w:color="auto"/>
        <w:bottom w:val="none" w:sz="0" w:space="0" w:color="auto"/>
        <w:right w:val="none" w:sz="0" w:space="0" w:color="auto"/>
      </w:divBdr>
      <w:divsChild>
        <w:div w:id="80323250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4336440">
      <w:bodyDiv w:val="1"/>
      <w:marLeft w:val="0"/>
      <w:marRight w:val="0"/>
      <w:marTop w:val="0"/>
      <w:marBottom w:val="0"/>
      <w:divBdr>
        <w:top w:val="none" w:sz="0" w:space="0" w:color="auto"/>
        <w:left w:val="none" w:sz="0" w:space="0" w:color="auto"/>
        <w:bottom w:val="none" w:sz="0" w:space="0" w:color="auto"/>
        <w:right w:val="none" w:sz="0" w:space="0" w:color="auto"/>
      </w:divBdr>
      <w:divsChild>
        <w:div w:id="6542451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6492088">
      <w:bodyDiv w:val="1"/>
      <w:marLeft w:val="0"/>
      <w:marRight w:val="0"/>
      <w:marTop w:val="0"/>
      <w:marBottom w:val="0"/>
      <w:divBdr>
        <w:top w:val="none" w:sz="0" w:space="0" w:color="auto"/>
        <w:left w:val="none" w:sz="0" w:space="0" w:color="auto"/>
        <w:bottom w:val="none" w:sz="0" w:space="0" w:color="auto"/>
        <w:right w:val="none" w:sz="0" w:space="0" w:color="auto"/>
      </w:divBdr>
      <w:divsChild>
        <w:div w:id="8403143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17614693">
      <w:bodyDiv w:val="1"/>
      <w:marLeft w:val="0"/>
      <w:marRight w:val="0"/>
      <w:marTop w:val="0"/>
      <w:marBottom w:val="0"/>
      <w:divBdr>
        <w:top w:val="none" w:sz="0" w:space="0" w:color="auto"/>
        <w:left w:val="none" w:sz="0" w:space="0" w:color="auto"/>
        <w:bottom w:val="none" w:sz="0" w:space="0" w:color="auto"/>
        <w:right w:val="none" w:sz="0" w:space="0" w:color="auto"/>
      </w:divBdr>
    </w:div>
    <w:div w:id="328409128">
      <w:bodyDiv w:val="1"/>
      <w:marLeft w:val="0"/>
      <w:marRight w:val="0"/>
      <w:marTop w:val="0"/>
      <w:marBottom w:val="0"/>
      <w:divBdr>
        <w:top w:val="none" w:sz="0" w:space="0" w:color="auto"/>
        <w:left w:val="none" w:sz="0" w:space="0" w:color="auto"/>
        <w:bottom w:val="none" w:sz="0" w:space="0" w:color="auto"/>
        <w:right w:val="none" w:sz="0" w:space="0" w:color="auto"/>
      </w:divBdr>
    </w:div>
    <w:div w:id="333999170">
      <w:bodyDiv w:val="1"/>
      <w:marLeft w:val="0"/>
      <w:marRight w:val="0"/>
      <w:marTop w:val="0"/>
      <w:marBottom w:val="0"/>
      <w:divBdr>
        <w:top w:val="none" w:sz="0" w:space="0" w:color="auto"/>
        <w:left w:val="none" w:sz="0" w:space="0" w:color="auto"/>
        <w:bottom w:val="none" w:sz="0" w:space="0" w:color="auto"/>
        <w:right w:val="none" w:sz="0" w:space="0" w:color="auto"/>
      </w:divBdr>
    </w:div>
    <w:div w:id="339283254">
      <w:bodyDiv w:val="1"/>
      <w:marLeft w:val="0"/>
      <w:marRight w:val="0"/>
      <w:marTop w:val="0"/>
      <w:marBottom w:val="0"/>
      <w:divBdr>
        <w:top w:val="none" w:sz="0" w:space="0" w:color="auto"/>
        <w:left w:val="none" w:sz="0" w:space="0" w:color="auto"/>
        <w:bottom w:val="none" w:sz="0" w:space="0" w:color="auto"/>
        <w:right w:val="none" w:sz="0" w:space="0" w:color="auto"/>
      </w:divBdr>
    </w:div>
    <w:div w:id="340091263">
      <w:bodyDiv w:val="1"/>
      <w:marLeft w:val="0"/>
      <w:marRight w:val="0"/>
      <w:marTop w:val="0"/>
      <w:marBottom w:val="0"/>
      <w:divBdr>
        <w:top w:val="none" w:sz="0" w:space="0" w:color="auto"/>
        <w:left w:val="none" w:sz="0" w:space="0" w:color="auto"/>
        <w:bottom w:val="none" w:sz="0" w:space="0" w:color="auto"/>
        <w:right w:val="none" w:sz="0" w:space="0" w:color="auto"/>
      </w:divBdr>
    </w:div>
    <w:div w:id="340737199">
      <w:bodyDiv w:val="1"/>
      <w:marLeft w:val="0"/>
      <w:marRight w:val="0"/>
      <w:marTop w:val="0"/>
      <w:marBottom w:val="0"/>
      <w:divBdr>
        <w:top w:val="none" w:sz="0" w:space="0" w:color="auto"/>
        <w:left w:val="none" w:sz="0" w:space="0" w:color="auto"/>
        <w:bottom w:val="none" w:sz="0" w:space="0" w:color="auto"/>
        <w:right w:val="none" w:sz="0" w:space="0" w:color="auto"/>
      </w:divBdr>
    </w:div>
    <w:div w:id="342443372">
      <w:bodyDiv w:val="1"/>
      <w:marLeft w:val="0"/>
      <w:marRight w:val="0"/>
      <w:marTop w:val="0"/>
      <w:marBottom w:val="0"/>
      <w:divBdr>
        <w:top w:val="none" w:sz="0" w:space="0" w:color="auto"/>
        <w:left w:val="none" w:sz="0" w:space="0" w:color="auto"/>
        <w:bottom w:val="none" w:sz="0" w:space="0" w:color="auto"/>
        <w:right w:val="none" w:sz="0" w:space="0" w:color="auto"/>
      </w:divBdr>
    </w:div>
    <w:div w:id="344599804">
      <w:bodyDiv w:val="1"/>
      <w:marLeft w:val="0"/>
      <w:marRight w:val="0"/>
      <w:marTop w:val="0"/>
      <w:marBottom w:val="0"/>
      <w:divBdr>
        <w:top w:val="none" w:sz="0" w:space="0" w:color="auto"/>
        <w:left w:val="none" w:sz="0" w:space="0" w:color="auto"/>
        <w:bottom w:val="none" w:sz="0" w:space="0" w:color="auto"/>
        <w:right w:val="none" w:sz="0" w:space="0" w:color="auto"/>
      </w:divBdr>
    </w:div>
    <w:div w:id="355736795">
      <w:bodyDiv w:val="1"/>
      <w:marLeft w:val="0"/>
      <w:marRight w:val="0"/>
      <w:marTop w:val="0"/>
      <w:marBottom w:val="0"/>
      <w:divBdr>
        <w:top w:val="none" w:sz="0" w:space="0" w:color="auto"/>
        <w:left w:val="none" w:sz="0" w:space="0" w:color="auto"/>
        <w:bottom w:val="none" w:sz="0" w:space="0" w:color="auto"/>
        <w:right w:val="none" w:sz="0" w:space="0" w:color="auto"/>
      </w:divBdr>
      <w:divsChild>
        <w:div w:id="6499484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63794947">
      <w:bodyDiv w:val="1"/>
      <w:marLeft w:val="0"/>
      <w:marRight w:val="0"/>
      <w:marTop w:val="0"/>
      <w:marBottom w:val="0"/>
      <w:divBdr>
        <w:top w:val="none" w:sz="0" w:space="0" w:color="auto"/>
        <w:left w:val="none" w:sz="0" w:space="0" w:color="auto"/>
        <w:bottom w:val="none" w:sz="0" w:space="0" w:color="auto"/>
        <w:right w:val="none" w:sz="0" w:space="0" w:color="auto"/>
      </w:divBdr>
    </w:div>
    <w:div w:id="364134230">
      <w:bodyDiv w:val="1"/>
      <w:marLeft w:val="0"/>
      <w:marRight w:val="0"/>
      <w:marTop w:val="0"/>
      <w:marBottom w:val="0"/>
      <w:divBdr>
        <w:top w:val="none" w:sz="0" w:space="0" w:color="auto"/>
        <w:left w:val="none" w:sz="0" w:space="0" w:color="auto"/>
        <w:bottom w:val="none" w:sz="0" w:space="0" w:color="auto"/>
        <w:right w:val="none" w:sz="0" w:space="0" w:color="auto"/>
      </w:divBdr>
    </w:div>
    <w:div w:id="366609157">
      <w:bodyDiv w:val="1"/>
      <w:marLeft w:val="0"/>
      <w:marRight w:val="0"/>
      <w:marTop w:val="0"/>
      <w:marBottom w:val="0"/>
      <w:divBdr>
        <w:top w:val="none" w:sz="0" w:space="0" w:color="auto"/>
        <w:left w:val="none" w:sz="0" w:space="0" w:color="auto"/>
        <w:bottom w:val="none" w:sz="0" w:space="0" w:color="auto"/>
        <w:right w:val="none" w:sz="0" w:space="0" w:color="auto"/>
      </w:divBdr>
    </w:div>
    <w:div w:id="372461985">
      <w:bodyDiv w:val="1"/>
      <w:marLeft w:val="0"/>
      <w:marRight w:val="0"/>
      <w:marTop w:val="0"/>
      <w:marBottom w:val="0"/>
      <w:divBdr>
        <w:top w:val="none" w:sz="0" w:space="0" w:color="auto"/>
        <w:left w:val="none" w:sz="0" w:space="0" w:color="auto"/>
        <w:bottom w:val="none" w:sz="0" w:space="0" w:color="auto"/>
        <w:right w:val="none" w:sz="0" w:space="0" w:color="auto"/>
      </w:divBdr>
    </w:div>
    <w:div w:id="376393518">
      <w:bodyDiv w:val="1"/>
      <w:marLeft w:val="0"/>
      <w:marRight w:val="0"/>
      <w:marTop w:val="0"/>
      <w:marBottom w:val="0"/>
      <w:divBdr>
        <w:top w:val="none" w:sz="0" w:space="0" w:color="auto"/>
        <w:left w:val="none" w:sz="0" w:space="0" w:color="auto"/>
        <w:bottom w:val="none" w:sz="0" w:space="0" w:color="auto"/>
        <w:right w:val="none" w:sz="0" w:space="0" w:color="auto"/>
      </w:divBdr>
    </w:div>
    <w:div w:id="380448074">
      <w:bodyDiv w:val="1"/>
      <w:marLeft w:val="0"/>
      <w:marRight w:val="0"/>
      <w:marTop w:val="0"/>
      <w:marBottom w:val="0"/>
      <w:divBdr>
        <w:top w:val="none" w:sz="0" w:space="0" w:color="auto"/>
        <w:left w:val="none" w:sz="0" w:space="0" w:color="auto"/>
        <w:bottom w:val="none" w:sz="0" w:space="0" w:color="auto"/>
        <w:right w:val="none" w:sz="0" w:space="0" w:color="auto"/>
      </w:divBdr>
    </w:div>
    <w:div w:id="385951765">
      <w:bodyDiv w:val="1"/>
      <w:marLeft w:val="0"/>
      <w:marRight w:val="0"/>
      <w:marTop w:val="0"/>
      <w:marBottom w:val="0"/>
      <w:divBdr>
        <w:top w:val="none" w:sz="0" w:space="0" w:color="auto"/>
        <w:left w:val="none" w:sz="0" w:space="0" w:color="auto"/>
        <w:bottom w:val="none" w:sz="0" w:space="0" w:color="auto"/>
        <w:right w:val="none" w:sz="0" w:space="0" w:color="auto"/>
      </w:divBdr>
      <w:divsChild>
        <w:div w:id="18183050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386804640">
      <w:bodyDiv w:val="1"/>
      <w:marLeft w:val="0"/>
      <w:marRight w:val="0"/>
      <w:marTop w:val="0"/>
      <w:marBottom w:val="0"/>
      <w:divBdr>
        <w:top w:val="none" w:sz="0" w:space="0" w:color="auto"/>
        <w:left w:val="none" w:sz="0" w:space="0" w:color="auto"/>
        <w:bottom w:val="none" w:sz="0" w:space="0" w:color="auto"/>
        <w:right w:val="none" w:sz="0" w:space="0" w:color="auto"/>
      </w:divBdr>
    </w:div>
    <w:div w:id="389770824">
      <w:bodyDiv w:val="1"/>
      <w:marLeft w:val="0"/>
      <w:marRight w:val="0"/>
      <w:marTop w:val="0"/>
      <w:marBottom w:val="0"/>
      <w:divBdr>
        <w:top w:val="none" w:sz="0" w:space="0" w:color="auto"/>
        <w:left w:val="none" w:sz="0" w:space="0" w:color="auto"/>
        <w:bottom w:val="none" w:sz="0" w:space="0" w:color="auto"/>
        <w:right w:val="none" w:sz="0" w:space="0" w:color="auto"/>
      </w:divBdr>
    </w:div>
    <w:div w:id="390156057">
      <w:bodyDiv w:val="1"/>
      <w:marLeft w:val="0"/>
      <w:marRight w:val="0"/>
      <w:marTop w:val="0"/>
      <w:marBottom w:val="0"/>
      <w:divBdr>
        <w:top w:val="none" w:sz="0" w:space="0" w:color="auto"/>
        <w:left w:val="none" w:sz="0" w:space="0" w:color="auto"/>
        <w:bottom w:val="none" w:sz="0" w:space="0" w:color="auto"/>
        <w:right w:val="none" w:sz="0" w:space="0" w:color="auto"/>
      </w:divBdr>
    </w:div>
    <w:div w:id="393895988">
      <w:bodyDiv w:val="1"/>
      <w:marLeft w:val="0"/>
      <w:marRight w:val="0"/>
      <w:marTop w:val="0"/>
      <w:marBottom w:val="0"/>
      <w:divBdr>
        <w:top w:val="none" w:sz="0" w:space="0" w:color="auto"/>
        <w:left w:val="none" w:sz="0" w:space="0" w:color="auto"/>
        <w:bottom w:val="none" w:sz="0" w:space="0" w:color="auto"/>
        <w:right w:val="none" w:sz="0" w:space="0" w:color="auto"/>
      </w:divBdr>
    </w:div>
    <w:div w:id="406617129">
      <w:bodyDiv w:val="1"/>
      <w:marLeft w:val="0"/>
      <w:marRight w:val="0"/>
      <w:marTop w:val="0"/>
      <w:marBottom w:val="0"/>
      <w:divBdr>
        <w:top w:val="none" w:sz="0" w:space="0" w:color="auto"/>
        <w:left w:val="none" w:sz="0" w:space="0" w:color="auto"/>
        <w:bottom w:val="none" w:sz="0" w:space="0" w:color="auto"/>
        <w:right w:val="none" w:sz="0" w:space="0" w:color="auto"/>
      </w:divBdr>
    </w:div>
    <w:div w:id="407069982">
      <w:bodyDiv w:val="1"/>
      <w:marLeft w:val="0"/>
      <w:marRight w:val="0"/>
      <w:marTop w:val="0"/>
      <w:marBottom w:val="0"/>
      <w:divBdr>
        <w:top w:val="none" w:sz="0" w:space="0" w:color="auto"/>
        <w:left w:val="none" w:sz="0" w:space="0" w:color="auto"/>
        <w:bottom w:val="none" w:sz="0" w:space="0" w:color="auto"/>
        <w:right w:val="none" w:sz="0" w:space="0" w:color="auto"/>
      </w:divBdr>
    </w:div>
    <w:div w:id="408234692">
      <w:bodyDiv w:val="1"/>
      <w:marLeft w:val="0"/>
      <w:marRight w:val="0"/>
      <w:marTop w:val="0"/>
      <w:marBottom w:val="0"/>
      <w:divBdr>
        <w:top w:val="none" w:sz="0" w:space="0" w:color="auto"/>
        <w:left w:val="none" w:sz="0" w:space="0" w:color="auto"/>
        <w:bottom w:val="none" w:sz="0" w:space="0" w:color="auto"/>
        <w:right w:val="none" w:sz="0" w:space="0" w:color="auto"/>
      </w:divBdr>
      <w:divsChild>
        <w:div w:id="12014336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08770694">
      <w:bodyDiv w:val="1"/>
      <w:marLeft w:val="0"/>
      <w:marRight w:val="0"/>
      <w:marTop w:val="0"/>
      <w:marBottom w:val="0"/>
      <w:divBdr>
        <w:top w:val="none" w:sz="0" w:space="0" w:color="auto"/>
        <w:left w:val="none" w:sz="0" w:space="0" w:color="auto"/>
        <w:bottom w:val="none" w:sz="0" w:space="0" w:color="auto"/>
        <w:right w:val="none" w:sz="0" w:space="0" w:color="auto"/>
      </w:divBdr>
    </w:div>
    <w:div w:id="409814111">
      <w:bodyDiv w:val="1"/>
      <w:marLeft w:val="0"/>
      <w:marRight w:val="0"/>
      <w:marTop w:val="0"/>
      <w:marBottom w:val="0"/>
      <w:divBdr>
        <w:top w:val="none" w:sz="0" w:space="0" w:color="auto"/>
        <w:left w:val="none" w:sz="0" w:space="0" w:color="auto"/>
        <w:bottom w:val="none" w:sz="0" w:space="0" w:color="auto"/>
        <w:right w:val="none" w:sz="0" w:space="0" w:color="auto"/>
      </w:divBdr>
    </w:div>
    <w:div w:id="410002927">
      <w:bodyDiv w:val="1"/>
      <w:marLeft w:val="0"/>
      <w:marRight w:val="0"/>
      <w:marTop w:val="0"/>
      <w:marBottom w:val="0"/>
      <w:divBdr>
        <w:top w:val="none" w:sz="0" w:space="0" w:color="auto"/>
        <w:left w:val="none" w:sz="0" w:space="0" w:color="auto"/>
        <w:bottom w:val="none" w:sz="0" w:space="0" w:color="auto"/>
        <w:right w:val="none" w:sz="0" w:space="0" w:color="auto"/>
      </w:divBdr>
    </w:div>
    <w:div w:id="412511573">
      <w:bodyDiv w:val="1"/>
      <w:marLeft w:val="0"/>
      <w:marRight w:val="0"/>
      <w:marTop w:val="0"/>
      <w:marBottom w:val="0"/>
      <w:divBdr>
        <w:top w:val="none" w:sz="0" w:space="0" w:color="auto"/>
        <w:left w:val="none" w:sz="0" w:space="0" w:color="auto"/>
        <w:bottom w:val="none" w:sz="0" w:space="0" w:color="auto"/>
        <w:right w:val="none" w:sz="0" w:space="0" w:color="auto"/>
      </w:divBdr>
    </w:div>
    <w:div w:id="420101148">
      <w:bodyDiv w:val="1"/>
      <w:marLeft w:val="0"/>
      <w:marRight w:val="0"/>
      <w:marTop w:val="0"/>
      <w:marBottom w:val="0"/>
      <w:divBdr>
        <w:top w:val="none" w:sz="0" w:space="0" w:color="auto"/>
        <w:left w:val="none" w:sz="0" w:space="0" w:color="auto"/>
        <w:bottom w:val="none" w:sz="0" w:space="0" w:color="auto"/>
        <w:right w:val="none" w:sz="0" w:space="0" w:color="auto"/>
      </w:divBdr>
    </w:div>
    <w:div w:id="420371675">
      <w:bodyDiv w:val="1"/>
      <w:marLeft w:val="0"/>
      <w:marRight w:val="0"/>
      <w:marTop w:val="0"/>
      <w:marBottom w:val="0"/>
      <w:divBdr>
        <w:top w:val="none" w:sz="0" w:space="0" w:color="auto"/>
        <w:left w:val="none" w:sz="0" w:space="0" w:color="auto"/>
        <w:bottom w:val="none" w:sz="0" w:space="0" w:color="auto"/>
        <w:right w:val="none" w:sz="0" w:space="0" w:color="auto"/>
      </w:divBdr>
    </w:div>
    <w:div w:id="420957543">
      <w:bodyDiv w:val="1"/>
      <w:marLeft w:val="0"/>
      <w:marRight w:val="0"/>
      <w:marTop w:val="0"/>
      <w:marBottom w:val="0"/>
      <w:divBdr>
        <w:top w:val="none" w:sz="0" w:space="0" w:color="auto"/>
        <w:left w:val="none" w:sz="0" w:space="0" w:color="auto"/>
        <w:bottom w:val="none" w:sz="0" w:space="0" w:color="auto"/>
        <w:right w:val="none" w:sz="0" w:space="0" w:color="auto"/>
      </w:divBdr>
    </w:div>
    <w:div w:id="421224803">
      <w:bodyDiv w:val="1"/>
      <w:marLeft w:val="0"/>
      <w:marRight w:val="0"/>
      <w:marTop w:val="0"/>
      <w:marBottom w:val="0"/>
      <w:divBdr>
        <w:top w:val="none" w:sz="0" w:space="0" w:color="auto"/>
        <w:left w:val="none" w:sz="0" w:space="0" w:color="auto"/>
        <w:bottom w:val="none" w:sz="0" w:space="0" w:color="auto"/>
        <w:right w:val="none" w:sz="0" w:space="0" w:color="auto"/>
      </w:divBdr>
    </w:div>
    <w:div w:id="424810318">
      <w:bodyDiv w:val="1"/>
      <w:marLeft w:val="0"/>
      <w:marRight w:val="0"/>
      <w:marTop w:val="0"/>
      <w:marBottom w:val="0"/>
      <w:divBdr>
        <w:top w:val="none" w:sz="0" w:space="0" w:color="auto"/>
        <w:left w:val="none" w:sz="0" w:space="0" w:color="auto"/>
        <w:bottom w:val="none" w:sz="0" w:space="0" w:color="auto"/>
        <w:right w:val="none" w:sz="0" w:space="0" w:color="auto"/>
      </w:divBdr>
    </w:div>
    <w:div w:id="425079545">
      <w:bodyDiv w:val="1"/>
      <w:marLeft w:val="0"/>
      <w:marRight w:val="0"/>
      <w:marTop w:val="0"/>
      <w:marBottom w:val="0"/>
      <w:divBdr>
        <w:top w:val="none" w:sz="0" w:space="0" w:color="auto"/>
        <w:left w:val="none" w:sz="0" w:space="0" w:color="auto"/>
        <w:bottom w:val="none" w:sz="0" w:space="0" w:color="auto"/>
        <w:right w:val="none" w:sz="0" w:space="0" w:color="auto"/>
      </w:divBdr>
    </w:div>
    <w:div w:id="427432021">
      <w:bodyDiv w:val="1"/>
      <w:marLeft w:val="0"/>
      <w:marRight w:val="0"/>
      <w:marTop w:val="0"/>
      <w:marBottom w:val="0"/>
      <w:divBdr>
        <w:top w:val="none" w:sz="0" w:space="0" w:color="auto"/>
        <w:left w:val="none" w:sz="0" w:space="0" w:color="auto"/>
        <w:bottom w:val="none" w:sz="0" w:space="0" w:color="auto"/>
        <w:right w:val="none" w:sz="0" w:space="0" w:color="auto"/>
      </w:divBdr>
      <w:divsChild>
        <w:div w:id="19436044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0056014">
      <w:bodyDiv w:val="1"/>
      <w:marLeft w:val="0"/>
      <w:marRight w:val="0"/>
      <w:marTop w:val="0"/>
      <w:marBottom w:val="0"/>
      <w:divBdr>
        <w:top w:val="none" w:sz="0" w:space="0" w:color="auto"/>
        <w:left w:val="none" w:sz="0" w:space="0" w:color="auto"/>
        <w:bottom w:val="none" w:sz="0" w:space="0" w:color="auto"/>
        <w:right w:val="none" w:sz="0" w:space="0" w:color="auto"/>
      </w:divBdr>
    </w:div>
    <w:div w:id="432437405">
      <w:bodyDiv w:val="1"/>
      <w:marLeft w:val="0"/>
      <w:marRight w:val="0"/>
      <w:marTop w:val="0"/>
      <w:marBottom w:val="0"/>
      <w:divBdr>
        <w:top w:val="none" w:sz="0" w:space="0" w:color="auto"/>
        <w:left w:val="none" w:sz="0" w:space="0" w:color="auto"/>
        <w:bottom w:val="none" w:sz="0" w:space="0" w:color="auto"/>
        <w:right w:val="none" w:sz="0" w:space="0" w:color="auto"/>
      </w:divBdr>
    </w:div>
    <w:div w:id="433285900">
      <w:bodyDiv w:val="1"/>
      <w:marLeft w:val="0"/>
      <w:marRight w:val="0"/>
      <w:marTop w:val="0"/>
      <w:marBottom w:val="0"/>
      <w:divBdr>
        <w:top w:val="none" w:sz="0" w:space="0" w:color="auto"/>
        <w:left w:val="none" w:sz="0" w:space="0" w:color="auto"/>
        <w:bottom w:val="none" w:sz="0" w:space="0" w:color="auto"/>
        <w:right w:val="none" w:sz="0" w:space="0" w:color="auto"/>
      </w:divBdr>
      <w:divsChild>
        <w:div w:id="6420050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6414539">
      <w:bodyDiv w:val="1"/>
      <w:marLeft w:val="0"/>
      <w:marRight w:val="0"/>
      <w:marTop w:val="0"/>
      <w:marBottom w:val="0"/>
      <w:divBdr>
        <w:top w:val="none" w:sz="0" w:space="0" w:color="auto"/>
        <w:left w:val="none" w:sz="0" w:space="0" w:color="auto"/>
        <w:bottom w:val="none" w:sz="0" w:space="0" w:color="auto"/>
        <w:right w:val="none" w:sz="0" w:space="0" w:color="auto"/>
      </w:divBdr>
      <w:divsChild>
        <w:div w:id="20778923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36483312">
      <w:bodyDiv w:val="1"/>
      <w:marLeft w:val="0"/>
      <w:marRight w:val="0"/>
      <w:marTop w:val="0"/>
      <w:marBottom w:val="0"/>
      <w:divBdr>
        <w:top w:val="none" w:sz="0" w:space="0" w:color="auto"/>
        <w:left w:val="none" w:sz="0" w:space="0" w:color="auto"/>
        <w:bottom w:val="none" w:sz="0" w:space="0" w:color="auto"/>
        <w:right w:val="none" w:sz="0" w:space="0" w:color="auto"/>
      </w:divBdr>
    </w:div>
    <w:div w:id="439492572">
      <w:bodyDiv w:val="1"/>
      <w:marLeft w:val="0"/>
      <w:marRight w:val="0"/>
      <w:marTop w:val="0"/>
      <w:marBottom w:val="0"/>
      <w:divBdr>
        <w:top w:val="none" w:sz="0" w:space="0" w:color="auto"/>
        <w:left w:val="none" w:sz="0" w:space="0" w:color="auto"/>
        <w:bottom w:val="none" w:sz="0" w:space="0" w:color="auto"/>
        <w:right w:val="none" w:sz="0" w:space="0" w:color="auto"/>
      </w:divBdr>
    </w:div>
    <w:div w:id="444269824">
      <w:bodyDiv w:val="1"/>
      <w:marLeft w:val="0"/>
      <w:marRight w:val="0"/>
      <w:marTop w:val="0"/>
      <w:marBottom w:val="0"/>
      <w:divBdr>
        <w:top w:val="none" w:sz="0" w:space="0" w:color="auto"/>
        <w:left w:val="none" w:sz="0" w:space="0" w:color="auto"/>
        <w:bottom w:val="none" w:sz="0" w:space="0" w:color="auto"/>
        <w:right w:val="none" w:sz="0" w:space="0" w:color="auto"/>
      </w:divBdr>
    </w:div>
    <w:div w:id="446967218">
      <w:bodyDiv w:val="1"/>
      <w:marLeft w:val="0"/>
      <w:marRight w:val="0"/>
      <w:marTop w:val="0"/>
      <w:marBottom w:val="0"/>
      <w:divBdr>
        <w:top w:val="none" w:sz="0" w:space="0" w:color="auto"/>
        <w:left w:val="none" w:sz="0" w:space="0" w:color="auto"/>
        <w:bottom w:val="none" w:sz="0" w:space="0" w:color="auto"/>
        <w:right w:val="none" w:sz="0" w:space="0" w:color="auto"/>
      </w:divBdr>
    </w:div>
    <w:div w:id="447090473">
      <w:bodyDiv w:val="1"/>
      <w:marLeft w:val="0"/>
      <w:marRight w:val="0"/>
      <w:marTop w:val="0"/>
      <w:marBottom w:val="0"/>
      <w:divBdr>
        <w:top w:val="none" w:sz="0" w:space="0" w:color="auto"/>
        <w:left w:val="none" w:sz="0" w:space="0" w:color="auto"/>
        <w:bottom w:val="none" w:sz="0" w:space="0" w:color="auto"/>
        <w:right w:val="none" w:sz="0" w:space="0" w:color="auto"/>
      </w:divBdr>
    </w:div>
    <w:div w:id="454300251">
      <w:bodyDiv w:val="1"/>
      <w:marLeft w:val="0"/>
      <w:marRight w:val="0"/>
      <w:marTop w:val="0"/>
      <w:marBottom w:val="0"/>
      <w:divBdr>
        <w:top w:val="none" w:sz="0" w:space="0" w:color="auto"/>
        <w:left w:val="none" w:sz="0" w:space="0" w:color="auto"/>
        <w:bottom w:val="none" w:sz="0" w:space="0" w:color="auto"/>
        <w:right w:val="none" w:sz="0" w:space="0" w:color="auto"/>
      </w:divBdr>
    </w:div>
    <w:div w:id="459151594">
      <w:bodyDiv w:val="1"/>
      <w:marLeft w:val="0"/>
      <w:marRight w:val="0"/>
      <w:marTop w:val="0"/>
      <w:marBottom w:val="0"/>
      <w:divBdr>
        <w:top w:val="none" w:sz="0" w:space="0" w:color="auto"/>
        <w:left w:val="none" w:sz="0" w:space="0" w:color="auto"/>
        <w:bottom w:val="none" w:sz="0" w:space="0" w:color="auto"/>
        <w:right w:val="none" w:sz="0" w:space="0" w:color="auto"/>
      </w:divBdr>
    </w:div>
    <w:div w:id="468983019">
      <w:bodyDiv w:val="1"/>
      <w:marLeft w:val="0"/>
      <w:marRight w:val="0"/>
      <w:marTop w:val="0"/>
      <w:marBottom w:val="0"/>
      <w:divBdr>
        <w:top w:val="none" w:sz="0" w:space="0" w:color="auto"/>
        <w:left w:val="none" w:sz="0" w:space="0" w:color="auto"/>
        <w:bottom w:val="none" w:sz="0" w:space="0" w:color="auto"/>
        <w:right w:val="none" w:sz="0" w:space="0" w:color="auto"/>
      </w:divBdr>
    </w:div>
    <w:div w:id="469245277">
      <w:bodyDiv w:val="1"/>
      <w:marLeft w:val="0"/>
      <w:marRight w:val="0"/>
      <w:marTop w:val="0"/>
      <w:marBottom w:val="0"/>
      <w:divBdr>
        <w:top w:val="none" w:sz="0" w:space="0" w:color="auto"/>
        <w:left w:val="none" w:sz="0" w:space="0" w:color="auto"/>
        <w:bottom w:val="none" w:sz="0" w:space="0" w:color="auto"/>
        <w:right w:val="none" w:sz="0" w:space="0" w:color="auto"/>
      </w:divBdr>
    </w:div>
    <w:div w:id="471362316">
      <w:bodyDiv w:val="1"/>
      <w:marLeft w:val="0"/>
      <w:marRight w:val="0"/>
      <w:marTop w:val="0"/>
      <w:marBottom w:val="0"/>
      <w:divBdr>
        <w:top w:val="none" w:sz="0" w:space="0" w:color="auto"/>
        <w:left w:val="none" w:sz="0" w:space="0" w:color="auto"/>
        <w:bottom w:val="none" w:sz="0" w:space="0" w:color="auto"/>
        <w:right w:val="none" w:sz="0" w:space="0" w:color="auto"/>
      </w:divBdr>
    </w:div>
    <w:div w:id="472791661">
      <w:bodyDiv w:val="1"/>
      <w:marLeft w:val="0"/>
      <w:marRight w:val="0"/>
      <w:marTop w:val="0"/>
      <w:marBottom w:val="0"/>
      <w:divBdr>
        <w:top w:val="none" w:sz="0" w:space="0" w:color="auto"/>
        <w:left w:val="none" w:sz="0" w:space="0" w:color="auto"/>
        <w:bottom w:val="none" w:sz="0" w:space="0" w:color="auto"/>
        <w:right w:val="none" w:sz="0" w:space="0" w:color="auto"/>
      </w:divBdr>
    </w:div>
    <w:div w:id="473987292">
      <w:bodyDiv w:val="1"/>
      <w:marLeft w:val="0"/>
      <w:marRight w:val="0"/>
      <w:marTop w:val="0"/>
      <w:marBottom w:val="0"/>
      <w:divBdr>
        <w:top w:val="none" w:sz="0" w:space="0" w:color="auto"/>
        <w:left w:val="none" w:sz="0" w:space="0" w:color="auto"/>
        <w:bottom w:val="none" w:sz="0" w:space="0" w:color="auto"/>
        <w:right w:val="none" w:sz="0" w:space="0" w:color="auto"/>
      </w:divBdr>
    </w:div>
    <w:div w:id="477457555">
      <w:bodyDiv w:val="1"/>
      <w:marLeft w:val="0"/>
      <w:marRight w:val="0"/>
      <w:marTop w:val="0"/>
      <w:marBottom w:val="0"/>
      <w:divBdr>
        <w:top w:val="none" w:sz="0" w:space="0" w:color="auto"/>
        <w:left w:val="none" w:sz="0" w:space="0" w:color="auto"/>
        <w:bottom w:val="none" w:sz="0" w:space="0" w:color="auto"/>
        <w:right w:val="none" w:sz="0" w:space="0" w:color="auto"/>
      </w:divBdr>
    </w:div>
    <w:div w:id="478115240">
      <w:bodyDiv w:val="1"/>
      <w:marLeft w:val="0"/>
      <w:marRight w:val="0"/>
      <w:marTop w:val="0"/>
      <w:marBottom w:val="0"/>
      <w:divBdr>
        <w:top w:val="none" w:sz="0" w:space="0" w:color="auto"/>
        <w:left w:val="none" w:sz="0" w:space="0" w:color="auto"/>
        <w:bottom w:val="none" w:sz="0" w:space="0" w:color="auto"/>
        <w:right w:val="none" w:sz="0" w:space="0" w:color="auto"/>
      </w:divBdr>
    </w:div>
    <w:div w:id="479930425">
      <w:bodyDiv w:val="1"/>
      <w:marLeft w:val="0"/>
      <w:marRight w:val="0"/>
      <w:marTop w:val="0"/>
      <w:marBottom w:val="0"/>
      <w:divBdr>
        <w:top w:val="none" w:sz="0" w:space="0" w:color="auto"/>
        <w:left w:val="none" w:sz="0" w:space="0" w:color="auto"/>
        <w:bottom w:val="none" w:sz="0" w:space="0" w:color="auto"/>
        <w:right w:val="none" w:sz="0" w:space="0" w:color="auto"/>
      </w:divBdr>
    </w:div>
    <w:div w:id="488863191">
      <w:bodyDiv w:val="1"/>
      <w:marLeft w:val="0"/>
      <w:marRight w:val="0"/>
      <w:marTop w:val="0"/>
      <w:marBottom w:val="0"/>
      <w:divBdr>
        <w:top w:val="none" w:sz="0" w:space="0" w:color="auto"/>
        <w:left w:val="none" w:sz="0" w:space="0" w:color="auto"/>
        <w:bottom w:val="none" w:sz="0" w:space="0" w:color="auto"/>
        <w:right w:val="none" w:sz="0" w:space="0" w:color="auto"/>
      </w:divBdr>
    </w:div>
    <w:div w:id="490101750">
      <w:bodyDiv w:val="1"/>
      <w:marLeft w:val="0"/>
      <w:marRight w:val="0"/>
      <w:marTop w:val="0"/>
      <w:marBottom w:val="0"/>
      <w:divBdr>
        <w:top w:val="none" w:sz="0" w:space="0" w:color="auto"/>
        <w:left w:val="none" w:sz="0" w:space="0" w:color="auto"/>
        <w:bottom w:val="none" w:sz="0" w:space="0" w:color="auto"/>
        <w:right w:val="none" w:sz="0" w:space="0" w:color="auto"/>
      </w:divBdr>
    </w:div>
    <w:div w:id="493112876">
      <w:bodyDiv w:val="1"/>
      <w:marLeft w:val="0"/>
      <w:marRight w:val="0"/>
      <w:marTop w:val="0"/>
      <w:marBottom w:val="0"/>
      <w:divBdr>
        <w:top w:val="none" w:sz="0" w:space="0" w:color="auto"/>
        <w:left w:val="none" w:sz="0" w:space="0" w:color="auto"/>
        <w:bottom w:val="none" w:sz="0" w:space="0" w:color="auto"/>
        <w:right w:val="none" w:sz="0" w:space="0" w:color="auto"/>
      </w:divBdr>
    </w:div>
    <w:div w:id="495460499">
      <w:bodyDiv w:val="1"/>
      <w:marLeft w:val="0"/>
      <w:marRight w:val="0"/>
      <w:marTop w:val="0"/>
      <w:marBottom w:val="0"/>
      <w:divBdr>
        <w:top w:val="none" w:sz="0" w:space="0" w:color="auto"/>
        <w:left w:val="none" w:sz="0" w:space="0" w:color="auto"/>
        <w:bottom w:val="none" w:sz="0" w:space="0" w:color="auto"/>
        <w:right w:val="none" w:sz="0" w:space="0" w:color="auto"/>
      </w:divBdr>
    </w:div>
    <w:div w:id="500315685">
      <w:bodyDiv w:val="1"/>
      <w:marLeft w:val="0"/>
      <w:marRight w:val="0"/>
      <w:marTop w:val="0"/>
      <w:marBottom w:val="0"/>
      <w:divBdr>
        <w:top w:val="none" w:sz="0" w:space="0" w:color="auto"/>
        <w:left w:val="none" w:sz="0" w:space="0" w:color="auto"/>
        <w:bottom w:val="none" w:sz="0" w:space="0" w:color="auto"/>
        <w:right w:val="none" w:sz="0" w:space="0" w:color="auto"/>
      </w:divBdr>
    </w:div>
    <w:div w:id="516163426">
      <w:bodyDiv w:val="1"/>
      <w:marLeft w:val="0"/>
      <w:marRight w:val="0"/>
      <w:marTop w:val="0"/>
      <w:marBottom w:val="0"/>
      <w:divBdr>
        <w:top w:val="none" w:sz="0" w:space="0" w:color="auto"/>
        <w:left w:val="none" w:sz="0" w:space="0" w:color="auto"/>
        <w:bottom w:val="none" w:sz="0" w:space="0" w:color="auto"/>
        <w:right w:val="none" w:sz="0" w:space="0" w:color="auto"/>
      </w:divBdr>
    </w:div>
    <w:div w:id="520045619">
      <w:bodyDiv w:val="1"/>
      <w:marLeft w:val="0"/>
      <w:marRight w:val="0"/>
      <w:marTop w:val="0"/>
      <w:marBottom w:val="0"/>
      <w:divBdr>
        <w:top w:val="none" w:sz="0" w:space="0" w:color="auto"/>
        <w:left w:val="none" w:sz="0" w:space="0" w:color="auto"/>
        <w:bottom w:val="none" w:sz="0" w:space="0" w:color="auto"/>
        <w:right w:val="none" w:sz="0" w:space="0" w:color="auto"/>
      </w:divBdr>
    </w:div>
    <w:div w:id="521866915">
      <w:bodyDiv w:val="1"/>
      <w:marLeft w:val="0"/>
      <w:marRight w:val="0"/>
      <w:marTop w:val="0"/>
      <w:marBottom w:val="0"/>
      <w:divBdr>
        <w:top w:val="none" w:sz="0" w:space="0" w:color="auto"/>
        <w:left w:val="none" w:sz="0" w:space="0" w:color="auto"/>
        <w:bottom w:val="none" w:sz="0" w:space="0" w:color="auto"/>
        <w:right w:val="none" w:sz="0" w:space="0" w:color="auto"/>
      </w:divBdr>
    </w:div>
    <w:div w:id="539901848">
      <w:bodyDiv w:val="1"/>
      <w:marLeft w:val="0"/>
      <w:marRight w:val="0"/>
      <w:marTop w:val="0"/>
      <w:marBottom w:val="0"/>
      <w:divBdr>
        <w:top w:val="none" w:sz="0" w:space="0" w:color="auto"/>
        <w:left w:val="none" w:sz="0" w:space="0" w:color="auto"/>
        <w:bottom w:val="none" w:sz="0" w:space="0" w:color="auto"/>
        <w:right w:val="none" w:sz="0" w:space="0" w:color="auto"/>
      </w:divBdr>
      <w:divsChild>
        <w:div w:id="97683843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47836247">
      <w:bodyDiv w:val="1"/>
      <w:marLeft w:val="0"/>
      <w:marRight w:val="0"/>
      <w:marTop w:val="0"/>
      <w:marBottom w:val="0"/>
      <w:divBdr>
        <w:top w:val="none" w:sz="0" w:space="0" w:color="auto"/>
        <w:left w:val="none" w:sz="0" w:space="0" w:color="auto"/>
        <w:bottom w:val="none" w:sz="0" w:space="0" w:color="auto"/>
        <w:right w:val="none" w:sz="0" w:space="0" w:color="auto"/>
      </w:divBdr>
    </w:div>
    <w:div w:id="551818609">
      <w:bodyDiv w:val="1"/>
      <w:marLeft w:val="0"/>
      <w:marRight w:val="0"/>
      <w:marTop w:val="0"/>
      <w:marBottom w:val="0"/>
      <w:divBdr>
        <w:top w:val="none" w:sz="0" w:space="0" w:color="auto"/>
        <w:left w:val="none" w:sz="0" w:space="0" w:color="auto"/>
        <w:bottom w:val="none" w:sz="0" w:space="0" w:color="auto"/>
        <w:right w:val="none" w:sz="0" w:space="0" w:color="auto"/>
      </w:divBdr>
    </w:div>
    <w:div w:id="553322436">
      <w:bodyDiv w:val="1"/>
      <w:marLeft w:val="0"/>
      <w:marRight w:val="0"/>
      <w:marTop w:val="0"/>
      <w:marBottom w:val="0"/>
      <w:divBdr>
        <w:top w:val="none" w:sz="0" w:space="0" w:color="auto"/>
        <w:left w:val="none" w:sz="0" w:space="0" w:color="auto"/>
        <w:bottom w:val="none" w:sz="0" w:space="0" w:color="auto"/>
        <w:right w:val="none" w:sz="0" w:space="0" w:color="auto"/>
      </w:divBdr>
      <w:divsChild>
        <w:div w:id="139516108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57209481">
      <w:bodyDiv w:val="1"/>
      <w:marLeft w:val="0"/>
      <w:marRight w:val="0"/>
      <w:marTop w:val="0"/>
      <w:marBottom w:val="0"/>
      <w:divBdr>
        <w:top w:val="none" w:sz="0" w:space="0" w:color="auto"/>
        <w:left w:val="none" w:sz="0" w:space="0" w:color="auto"/>
        <w:bottom w:val="none" w:sz="0" w:space="0" w:color="auto"/>
        <w:right w:val="none" w:sz="0" w:space="0" w:color="auto"/>
      </w:divBdr>
      <w:divsChild>
        <w:div w:id="181529493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59634589">
      <w:bodyDiv w:val="1"/>
      <w:marLeft w:val="0"/>
      <w:marRight w:val="0"/>
      <w:marTop w:val="0"/>
      <w:marBottom w:val="0"/>
      <w:divBdr>
        <w:top w:val="none" w:sz="0" w:space="0" w:color="auto"/>
        <w:left w:val="none" w:sz="0" w:space="0" w:color="auto"/>
        <w:bottom w:val="none" w:sz="0" w:space="0" w:color="auto"/>
        <w:right w:val="none" w:sz="0" w:space="0" w:color="auto"/>
      </w:divBdr>
    </w:div>
    <w:div w:id="563563780">
      <w:bodyDiv w:val="1"/>
      <w:marLeft w:val="0"/>
      <w:marRight w:val="0"/>
      <w:marTop w:val="0"/>
      <w:marBottom w:val="0"/>
      <w:divBdr>
        <w:top w:val="none" w:sz="0" w:space="0" w:color="auto"/>
        <w:left w:val="none" w:sz="0" w:space="0" w:color="auto"/>
        <w:bottom w:val="none" w:sz="0" w:space="0" w:color="auto"/>
        <w:right w:val="none" w:sz="0" w:space="0" w:color="auto"/>
      </w:divBdr>
    </w:div>
    <w:div w:id="564678553">
      <w:bodyDiv w:val="1"/>
      <w:marLeft w:val="0"/>
      <w:marRight w:val="0"/>
      <w:marTop w:val="0"/>
      <w:marBottom w:val="0"/>
      <w:divBdr>
        <w:top w:val="none" w:sz="0" w:space="0" w:color="auto"/>
        <w:left w:val="none" w:sz="0" w:space="0" w:color="auto"/>
        <w:bottom w:val="none" w:sz="0" w:space="0" w:color="auto"/>
        <w:right w:val="none" w:sz="0" w:space="0" w:color="auto"/>
      </w:divBdr>
    </w:div>
    <w:div w:id="564679878">
      <w:bodyDiv w:val="1"/>
      <w:marLeft w:val="0"/>
      <w:marRight w:val="0"/>
      <w:marTop w:val="0"/>
      <w:marBottom w:val="0"/>
      <w:divBdr>
        <w:top w:val="none" w:sz="0" w:space="0" w:color="auto"/>
        <w:left w:val="none" w:sz="0" w:space="0" w:color="auto"/>
        <w:bottom w:val="none" w:sz="0" w:space="0" w:color="auto"/>
        <w:right w:val="none" w:sz="0" w:space="0" w:color="auto"/>
      </w:divBdr>
    </w:div>
    <w:div w:id="566842051">
      <w:bodyDiv w:val="1"/>
      <w:marLeft w:val="0"/>
      <w:marRight w:val="0"/>
      <w:marTop w:val="0"/>
      <w:marBottom w:val="0"/>
      <w:divBdr>
        <w:top w:val="none" w:sz="0" w:space="0" w:color="auto"/>
        <w:left w:val="none" w:sz="0" w:space="0" w:color="auto"/>
        <w:bottom w:val="none" w:sz="0" w:space="0" w:color="auto"/>
        <w:right w:val="none" w:sz="0" w:space="0" w:color="auto"/>
      </w:divBdr>
    </w:div>
    <w:div w:id="568072902">
      <w:bodyDiv w:val="1"/>
      <w:marLeft w:val="0"/>
      <w:marRight w:val="0"/>
      <w:marTop w:val="0"/>
      <w:marBottom w:val="0"/>
      <w:divBdr>
        <w:top w:val="none" w:sz="0" w:space="0" w:color="auto"/>
        <w:left w:val="none" w:sz="0" w:space="0" w:color="auto"/>
        <w:bottom w:val="none" w:sz="0" w:space="0" w:color="auto"/>
        <w:right w:val="none" w:sz="0" w:space="0" w:color="auto"/>
      </w:divBdr>
    </w:div>
    <w:div w:id="571425138">
      <w:bodyDiv w:val="1"/>
      <w:marLeft w:val="0"/>
      <w:marRight w:val="0"/>
      <w:marTop w:val="0"/>
      <w:marBottom w:val="0"/>
      <w:divBdr>
        <w:top w:val="none" w:sz="0" w:space="0" w:color="auto"/>
        <w:left w:val="none" w:sz="0" w:space="0" w:color="auto"/>
        <w:bottom w:val="none" w:sz="0" w:space="0" w:color="auto"/>
        <w:right w:val="none" w:sz="0" w:space="0" w:color="auto"/>
      </w:divBdr>
    </w:div>
    <w:div w:id="572391820">
      <w:bodyDiv w:val="1"/>
      <w:marLeft w:val="0"/>
      <w:marRight w:val="0"/>
      <w:marTop w:val="0"/>
      <w:marBottom w:val="0"/>
      <w:divBdr>
        <w:top w:val="none" w:sz="0" w:space="0" w:color="auto"/>
        <w:left w:val="none" w:sz="0" w:space="0" w:color="auto"/>
        <w:bottom w:val="none" w:sz="0" w:space="0" w:color="auto"/>
        <w:right w:val="none" w:sz="0" w:space="0" w:color="auto"/>
      </w:divBdr>
    </w:div>
    <w:div w:id="572740360">
      <w:bodyDiv w:val="1"/>
      <w:marLeft w:val="0"/>
      <w:marRight w:val="0"/>
      <w:marTop w:val="0"/>
      <w:marBottom w:val="0"/>
      <w:divBdr>
        <w:top w:val="none" w:sz="0" w:space="0" w:color="auto"/>
        <w:left w:val="none" w:sz="0" w:space="0" w:color="auto"/>
        <w:bottom w:val="none" w:sz="0" w:space="0" w:color="auto"/>
        <w:right w:val="none" w:sz="0" w:space="0" w:color="auto"/>
      </w:divBdr>
    </w:div>
    <w:div w:id="582616022">
      <w:bodyDiv w:val="1"/>
      <w:marLeft w:val="0"/>
      <w:marRight w:val="0"/>
      <w:marTop w:val="0"/>
      <w:marBottom w:val="0"/>
      <w:divBdr>
        <w:top w:val="none" w:sz="0" w:space="0" w:color="auto"/>
        <w:left w:val="none" w:sz="0" w:space="0" w:color="auto"/>
        <w:bottom w:val="none" w:sz="0" w:space="0" w:color="auto"/>
        <w:right w:val="none" w:sz="0" w:space="0" w:color="auto"/>
      </w:divBdr>
    </w:div>
    <w:div w:id="586381640">
      <w:bodyDiv w:val="1"/>
      <w:marLeft w:val="0"/>
      <w:marRight w:val="0"/>
      <w:marTop w:val="0"/>
      <w:marBottom w:val="0"/>
      <w:divBdr>
        <w:top w:val="none" w:sz="0" w:space="0" w:color="auto"/>
        <w:left w:val="none" w:sz="0" w:space="0" w:color="auto"/>
        <w:bottom w:val="none" w:sz="0" w:space="0" w:color="auto"/>
        <w:right w:val="none" w:sz="0" w:space="0" w:color="auto"/>
      </w:divBdr>
      <w:divsChild>
        <w:div w:id="10837949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87157306">
      <w:bodyDiv w:val="1"/>
      <w:marLeft w:val="0"/>
      <w:marRight w:val="0"/>
      <w:marTop w:val="0"/>
      <w:marBottom w:val="0"/>
      <w:divBdr>
        <w:top w:val="none" w:sz="0" w:space="0" w:color="auto"/>
        <w:left w:val="none" w:sz="0" w:space="0" w:color="auto"/>
        <w:bottom w:val="none" w:sz="0" w:space="0" w:color="auto"/>
        <w:right w:val="none" w:sz="0" w:space="0" w:color="auto"/>
      </w:divBdr>
    </w:div>
    <w:div w:id="594099040">
      <w:bodyDiv w:val="1"/>
      <w:marLeft w:val="0"/>
      <w:marRight w:val="0"/>
      <w:marTop w:val="0"/>
      <w:marBottom w:val="0"/>
      <w:divBdr>
        <w:top w:val="none" w:sz="0" w:space="0" w:color="auto"/>
        <w:left w:val="none" w:sz="0" w:space="0" w:color="auto"/>
        <w:bottom w:val="none" w:sz="0" w:space="0" w:color="auto"/>
        <w:right w:val="none" w:sz="0" w:space="0" w:color="auto"/>
      </w:divBdr>
    </w:div>
    <w:div w:id="594216354">
      <w:bodyDiv w:val="1"/>
      <w:marLeft w:val="0"/>
      <w:marRight w:val="0"/>
      <w:marTop w:val="0"/>
      <w:marBottom w:val="0"/>
      <w:divBdr>
        <w:top w:val="none" w:sz="0" w:space="0" w:color="auto"/>
        <w:left w:val="none" w:sz="0" w:space="0" w:color="auto"/>
        <w:bottom w:val="none" w:sz="0" w:space="0" w:color="auto"/>
        <w:right w:val="none" w:sz="0" w:space="0" w:color="auto"/>
      </w:divBdr>
    </w:div>
    <w:div w:id="594902741">
      <w:bodyDiv w:val="1"/>
      <w:marLeft w:val="0"/>
      <w:marRight w:val="0"/>
      <w:marTop w:val="0"/>
      <w:marBottom w:val="0"/>
      <w:divBdr>
        <w:top w:val="none" w:sz="0" w:space="0" w:color="auto"/>
        <w:left w:val="none" w:sz="0" w:space="0" w:color="auto"/>
        <w:bottom w:val="none" w:sz="0" w:space="0" w:color="auto"/>
        <w:right w:val="none" w:sz="0" w:space="0" w:color="auto"/>
      </w:divBdr>
      <w:divsChild>
        <w:div w:id="4222683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96406422">
      <w:bodyDiv w:val="1"/>
      <w:marLeft w:val="0"/>
      <w:marRight w:val="0"/>
      <w:marTop w:val="0"/>
      <w:marBottom w:val="0"/>
      <w:divBdr>
        <w:top w:val="none" w:sz="0" w:space="0" w:color="auto"/>
        <w:left w:val="none" w:sz="0" w:space="0" w:color="auto"/>
        <w:bottom w:val="none" w:sz="0" w:space="0" w:color="auto"/>
        <w:right w:val="none" w:sz="0" w:space="0" w:color="auto"/>
      </w:divBdr>
    </w:div>
    <w:div w:id="600530315">
      <w:bodyDiv w:val="1"/>
      <w:marLeft w:val="0"/>
      <w:marRight w:val="0"/>
      <w:marTop w:val="0"/>
      <w:marBottom w:val="0"/>
      <w:divBdr>
        <w:top w:val="none" w:sz="0" w:space="0" w:color="auto"/>
        <w:left w:val="none" w:sz="0" w:space="0" w:color="auto"/>
        <w:bottom w:val="none" w:sz="0" w:space="0" w:color="auto"/>
        <w:right w:val="none" w:sz="0" w:space="0" w:color="auto"/>
      </w:divBdr>
    </w:div>
    <w:div w:id="600793989">
      <w:bodyDiv w:val="1"/>
      <w:marLeft w:val="0"/>
      <w:marRight w:val="0"/>
      <w:marTop w:val="0"/>
      <w:marBottom w:val="0"/>
      <w:divBdr>
        <w:top w:val="none" w:sz="0" w:space="0" w:color="auto"/>
        <w:left w:val="none" w:sz="0" w:space="0" w:color="auto"/>
        <w:bottom w:val="none" w:sz="0" w:space="0" w:color="auto"/>
        <w:right w:val="none" w:sz="0" w:space="0" w:color="auto"/>
      </w:divBdr>
    </w:div>
    <w:div w:id="602542817">
      <w:bodyDiv w:val="1"/>
      <w:marLeft w:val="0"/>
      <w:marRight w:val="0"/>
      <w:marTop w:val="0"/>
      <w:marBottom w:val="0"/>
      <w:divBdr>
        <w:top w:val="none" w:sz="0" w:space="0" w:color="auto"/>
        <w:left w:val="none" w:sz="0" w:space="0" w:color="auto"/>
        <w:bottom w:val="none" w:sz="0" w:space="0" w:color="auto"/>
        <w:right w:val="none" w:sz="0" w:space="0" w:color="auto"/>
      </w:divBdr>
      <w:divsChild>
        <w:div w:id="18822850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2615016">
      <w:bodyDiv w:val="1"/>
      <w:marLeft w:val="0"/>
      <w:marRight w:val="0"/>
      <w:marTop w:val="0"/>
      <w:marBottom w:val="0"/>
      <w:divBdr>
        <w:top w:val="none" w:sz="0" w:space="0" w:color="auto"/>
        <w:left w:val="none" w:sz="0" w:space="0" w:color="auto"/>
        <w:bottom w:val="none" w:sz="0" w:space="0" w:color="auto"/>
        <w:right w:val="none" w:sz="0" w:space="0" w:color="auto"/>
      </w:divBdr>
      <w:divsChild>
        <w:div w:id="11791258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3919715">
      <w:bodyDiv w:val="1"/>
      <w:marLeft w:val="0"/>
      <w:marRight w:val="0"/>
      <w:marTop w:val="0"/>
      <w:marBottom w:val="0"/>
      <w:divBdr>
        <w:top w:val="none" w:sz="0" w:space="0" w:color="auto"/>
        <w:left w:val="none" w:sz="0" w:space="0" w:color="auto"/>
        <w:bottom w:val="none" w:sz="0" w:space="0" w:color="auto"/>
        <w:right w:val="none" w:sz="0" w:space="0" w:color="auto"/>
      </w:divBdr>
    </w:div>
    <w:div w:id="606275777">
      <w:bodyDiv w:val="1"/>
      <w:marLeft w:val="0"/>
      <w:marRight w:val="0"/>
      <w:marTop w:val="0"/>
      <w:marBottom w:val="0"/>
      <w:divBdr>
        <w:top w:val="none" w:sz="0" w:space="0" w:color="auto"/>
        <w:left w:val="none" w:sz="0" w:space="0" w:color="auto"/>
        <w:bottom w:val="none" w:sz="0" w:space="0" w:color="auto"/>
        <w:right w:val="none" w:sz="0" w:space="0" w:color="auto"/>
      </w:divBdr>
    </w:div>
    <w:div w:id="607929844">
      <w:bodyDiv w:val="1"/>
      <w:marLeft w:val="0"/>
      <w:marRight w:val="0"/>
      <w:marTop w:val="0"/>
      <w:marBottom w:val="0"/>
      <w:divBdr>
        <w:top w:val="none" w:sz="0" w:space="0" w:color="auto"/>
        <w:left w:val="none" w:sz="0" w:space="0" w:color="auto"/>
        <w:bottom w:val="none" w:sz="0" w:space="0" w:color="auto"/>
        <w:right w:val="none" w:sz="0" w:space="0" w:color="auto"/>
      </w:divBdr>
    </w:div>
    <w:div w:id="612247642">
      <w:bodyDiv w:val="1"/>
      <w:marLeft w:val="0"/>
      <w:marRight w:val="0"/>
      <w:marTop w:val="0"/>
      <w:marBottom w:val="0"/>
      <w:divBdr>
        <w:top w:val="none" w:sz="0" w:space="0" w:color="auto"/>
        <w:left w:val="none" w:sz="0" w:space="0" w:color="auto"/>
        <w:bottom w:val="none" w:sz="0" w:space="0" w:color="auto"/>
        <w:right w:val="none" w:sz="0" w:space="0" w:color="auto"/>
      </w:divBdr>
    </w:div>
    <w:div w:id="614944828">
      <w:bodyDiv w:val="1"/>
      <w:marLeft w:val="0"/>
      <w:marRight w:val="0"/>
      <w:marTop w:val="0"/>
      <w:marBottom w:val="0"/>
      <w:divBdr>
        <w:top w:val="none" w:sz="0" w:space="0" w:color="auto"/>
        <w:left w:val="none" w:sz="0" w:space="0" w:color="auto"/>
        <w:bottom w:val="none" w:sz="0" w:space="0" w:color="auto"/>
        <w:right w:val="none" w:sz="0" w:space="0" w:color="auto"/>
      </w:divBdr>
    </w:div>
    <w:div w:id="624896560">
      <w:bodyDiv w:val="1"/>
      <w:marLeft w:val="0"/>
      <w:marRight w:val="0"/>
      <w:marTop w:val="0"/>
      <w:marBottom w:val="0"/>
      <w:divBdr>
        <w:top w:val="none" w:sz="0" w:space="0" w:color="auto"/>
        <w:left w:val="none" w:sz="0" w:space="0" w:color="auto"/>
        <w:bottom w:val="none" w:sz="0" w:space="0" w:color="auto"/>
        <w:right w:val="none" w:sz="0" w:space="0" w:color="auto"/>
      </w:divBdr>
    </w:div>
    <w:div w:id="627711379">
      <w:bodyDiv w:val="1"/>
      <w:marLeft w:val="0"/>
      <w:marRight w:val="0"/>
      <w:marTop w:val="0"/>
      <w:marBottom w:val="0"/>
      <w:divBdr>
        <w:top w:val="none" w:sz="0" w:space="0" w:color="auto"/>
        <w:left w:val="none" w:sz="0" w:space="0" w:color="auto"/>
        <w:bottom w:val="none" w:sz="0" w:space="0" w:color="auto"/>
        <w:right w:val="none" w:sz="0" w:space="0" w:color="auto"/>
      </w:divBdr>
    </w:div>
    <w:div w:id="628557841">
      <w:bodyDiv w:val="1"/>
      <w:marLeft w:val="0"/>
      <w:marRight w:val="0"/>
      <w:marTop w:val="0"/>
      <w:marBottom w:val="0"/>
      <w:divBdr>
        <w:top w:val="none" w:sz="0" w:space="0" w:color="auto"/>
        <w:left w:val="none" w:sz="0" w:space="0" w:color="auto"/>
        <w:bottom w:val="none" w:sz="0" w:space="0" w:color="auto"/>
        <w:right w:val="none" w:sz="0" w:space="0" w:color="auto"/>
      </w:divBdr>
    </w:div>
    <w:div w:id="628971751">
      <w:bodyDiv w:val="1"/>
      <w:marLeft w:val="0"/>
      <w:marRight w:val="0"/>
      <w:marTop w:val="0"/>
      <w:marBottom w:val="0"/>
      <w:divBdr>
        <w:top w:val="none" w:sz="0" w:space="0" w:color="auto"/>
        <w:left w:val="none" w:sz="0" w:space="0" w:color="auto"/>
        <w:bottom w:val="none" w:sz="0" w:space="0" w:color="auto"/>
        <w:right w:val="none" w:sz="0" w:space="0" w:color="auto"/>
      </w:divBdr>
    </w:div>
    <w:div w:id="641037916">
      <w:bodyDiv w:val="1"/>
      <w:marLeft w:val="0"/>
      <w:marRight w:val="0"/>
      <w:marTop w:val="0"/>
      <w:marBottom w:val="0"/>
      <w:divBdr>
        <w:top w:val="none" w:sz="0" w:space="0" w:color="auto"/>
        <w:left w:val="none" w:sz="0" w:space="0" w:color="auto"/>
        <w:bottom w:val="none" w:sz="0" w:space="0" w:color="auto"/>
        <w:right w:val="none" w:sz="0" w:space="0" w:color="auto"/>
      </w:divBdr>
      <w:divsChild>
        <w:div w:id="147568245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41084276">
      <w:bodyDiv w:val="1"/>
      <w:marLeft w:val="0"/>
      <w:marRight w:val="0"/>
      <w:marTop w:val="0"/>
      <w:marBottom w:val="0"/>
      <w:divBdr>
        <w:top w:val="none" w:sz="0" w:space="0" w:color="auto"/>
        <w:left w:val="none" w:sz="0" w:space="0" w:color="auto"/>
        <w:bottom w:val="none" w:sz="0" w:space="0" w:color="auto"/>
        <w:right w:val="none" w:sz="0" w:space="0" w:color="auto"/>
      </w:divBdr>
    </w:div>
    <w:div w:id="652223285">
      <w:bodyDiv w:val="1"/>
      <w:marLeft w:val="0"/>
      <w:marRight w:val="0"/>
      <w:marTop w:val="0"/>
      <w:marBottom w:val="0"/>
      <w:divBdr>
        <w:top w:val="none" w:sz="0" w:space="0" w:color="auto"/>
        <w:left w:val="none" w:sz="0" w:space="0" w:color="auto"/>
        <w:bottom w:val="none" w:sz="0" w:space="0" w:color="auto"/>
        <w:right w:val="none" w:sz="0" w:space="0" w:color="auto"/>
      </w:divBdr>
    </w:div>
    <w:div w:id="654258416">
      <w:bodyDiv w:val="1"/>
      <w:marLeft w:val="0"/>
      <w:marRight w:val="0"/>
      <w:marTop w:val="0"/>
      <w:marBottom w:val="0"/>
      <w:divBdr>
        <w:top w:val="none" w:sz="0" w:space="0" w:color="auto"/>
        <w:left w:val="none" w:sz="0" w:space="0" w:color="auto"/>
        <w:bottom w:val="none" w:sz="0" w:space="0" w:color="auto"/>
        <w:right w:val="none" w:sz="0" w:space="0" w:color="auto"/>
      </w:divBdr>
      <w:divsChild>
        <w:div w:id="196261081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56306763">
      <w:bodyDiv w:val="1"/>
      <w:marLeft w:val="0"/>
      <w:marRight w:val="0"/>
      <w:marTop w:val="0"/>
      <w:marBottom w:val="0"/>
      <w:divBdr>
        <w:top w:val="none" w:sz="0" w:space="0" w:color="auto"/>
        <w:left w:val="none" w:sz="0" w:space="0" w:color="auto"/>
        <w:bottom w:val="none" w:sz="0" w:space="0" w:color="auto"/>
        <w:right w:val="none" w:sz="0" w:space="0" w:color="auto"/>
      </w:divBdr>
    </w:div>
    <w:div w:id="656688037">
      <w:bodyDiv w:val="1"/>
      <w:marLeft w:val="0"/>
      <w:marRight w:val="0"/>
      <w:marTop w:val="0"/>
      <w:marBottom w:val="0"/>
      <w:divBdr>
        <w:top w:val="none" w:sz="0" w:space="0" w:color="auto"/>
        <w:left w:val="none" w:sz="0" w:space="0" w:color="auto"/>
        <w:bottom w:val="none" w:sz="0" w:space="0" w:color="auto"/>
        <w:right w:val="none" w:sz="0" w:space="0" w:color="auto"/>
      </w:divBdr>
      <w:divsChild>
        <w:div w:id="3500315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57684863">
      <w:bodyDiv w:val="1"/>
      <w:marLeft w:val="0"/>
      <w:marRight w:val="0"/>
      <w:marTop w:val="0"/>
      <w:marBottom w:val="0"/>
      <w:divBdr>
        <w:top w:val="none" w:sz="0" w:space="0" w:color="auto"/>
        <w:left w:val="none" w:sz="0" w:space="0" w:color="auto"/>
        <w:bottom w:val="none" w:sz="0" w:space="0" w:color="auto"/>
        <w:right w:val="none" w:sz="0" w:space="0" w:color="auto"/>
      </w:divBdr>
    </w:div>
    <w:div w:id="660084848">
      <w:bodyDiv w:val="1"/>
      <w:marLeft w:val="0"/>
      <w:marRight w:val="0"/>
      <w:marTop w:val="0"/>
      <w:marBottom w:val="0"/>
      <w:divBdr>
        <w:top w:val="none" w:sz="0" w:space="0" w:color="auto"/>
        <w:left w:val="none" w:sz="0" w:space="0" w:color="auto"/>
        <w:bottom w:val="none" w:sz="0" w:space="0" w:color="auto"/>
        <w:right w:val="none" w:sz="0" w:space="0" w:color="auto"/>
      </w:divBdr>
      <w:divsChild>
        <w:div w:id="198935662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63900963">
      <w:bodyDiv w:val="1"/>
      <w:marLeft w:val="0"/>
      <w:marRight w:val="0"/>
      <w:marTop w:val="0"/>
      <w:marBottom w:val="0"/>
      <w:divBdr>
        <w:top w:val="none" w:sz="0" w:space="0" w:color="auto"/>
        <w:left w:val="none" w:sz="0" w:space="0" w:color="auto"/>
        <w:bottom w:val="none" w:sz="0" w:space="0" w:color="auto"/>
        <w:right w:val="none" w:sz="0" w:space="0" w:color="auto"/>
      </w:divBdr>
    </w:div>
    <w:div w:id="668558957">
      <w:bodyDiv w:val="1"/>
      <w:marLeft w:val="0"/>
      <w:marRight w:val="0"/>
      <w:marTop w:val="0"/>
      <w:marBottom w:val="0"/>
      <w:divBdr>
        <w:top w:val="none" w:sz="0" w:space="0" w:color="auto"/>
        <w:left w:val="none" w:sz="0" w:space="0" w:color="auto"/>
        <w:bottom w:val="none" w:sz="0" w:space="0" w:color="auto"/>
        <w:right w:val="none" w:sz="0" w:space="0" w:color="auto"/>
      </w:divBdr>
    </w:div>
    <w:div w:id="668564258">
      <w:bodyDiv w:val="1"/>
      <w:marLeft w:val="0"/>
      <w:marRight w:val="0"/>
      <w:marTop w:val="0"/>
      <w:marBottom w:val="0"/>
      <w:divBdr>
        <w:top w:val="none" w:sz="0" w:space="0" w:color="auto"/>
        <w:left w:val="none" w:sz="0" w:space="0" w:color="auto"/>
        <w:bottom w:val="none" w:sz="0" w:space="0" w:color="auto"/>
        <w:right w:val="none" w:sz="0" w:space="0" w:color="auto"/>
      </w:divBdr>
    </w:div>
    <w:div w:id="670565088">
      <w:bodyDiv w:val="1"/>
      <w:marLeft w:val="0"/>
      <w:marRight w:val="0"/>
      <w:marTop w:val="0"/>
      <w:marBottom w:val="0"/>
      <w:divBdr>
        <w:top w:val="none" w:sz="0" w:space="0" w:color="auto"/>
        <w:left w:val="none" w:sz="0" w:space="0" w:color="auto"/>
        <w:bottom w:val="none" w:sz="0" w:space="0" w:color="auto"/>
        <w:right w:val="none" w:sz="0" w:space="0" w:color="auto"/>
      </w:divBdr>
    </w:div>
    <w:div w:id="670717844">
      <w:bodyDiv w:val="1"/>
      <w:marLeft w:val="0"/>
      <w:marRight w:val="0"/>
      <w:marTop w:val="0"/>
      <w:marBottom w:val="0"/>
      <w:divBdr>
        <w:top w:val="none" w:sz="0" w:space="0" w:color="auto"/>
        <w:left w:val="none" w:sz="0" w:space="0" w:color="auto"/>
        <w:bottom w:val="none" w:sz="0" w:space="0" w:color="auto"/>
        <w:right w:val="none" w:sz="0" w:space="0" w:color="auto"/>
      </w:divBdr>
    </w:div>
    <w:div w:id="678242930">
      <w:bodyDiv w:val="1"/>
      <w:marLeft w:val="0"/>
      <w:marRight w:val="0"/>
      <w:marTop w:val="0"/>
      <w:marBottom w:val="0"/>
      <w:divBdr>
        <w:top w:val="none" w:sz="0" w:space="0" w:color="auto"/>
        <w:left w:val="none" w:sz="0" w:space="0" w:color="auto"/>
        <w:bottom w:val="none" w:sz="0" w:space="0" w:color="auto"/>
        <w:right w:val="none" w:sz="0" w:space="0" w:color="auto"/>
      </w:divBdr>
      <w:divsChild>
        <w:div w:id="2542896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83173957">
      <w:bodyDiv w:val="1"/>
      <w:marLeft w:val="0"/>
      <w:marRight w:val="0"/>
      <w:marTop w:val="0"/>
      <w:marBottom w:val="0"/>
      <w:divBdr>
        <w:top w:val="none" w:sz="0" w:space="0" w:color="auto"/>
        <w:left w:val="none" w:sz="0" w:space="0" w:color="auto"/>
        <w:bottom w:val="none" w:sz="0" w:space="0" w:color="auto"/>
        <w:right w:val="none" w:sz="0" w:space="0" w:color="auto"/>
      </w:divBdr>
    </w:div>
    <w:div w:id="683478120">
      <w:bodyDiv w:val="1"/>
      <w:marLeft w:val="0"/>
      <w:marRight w:val="0"/>
      <w:marTop w:val="0"/>
      <w:marBottom w:val="0"/>
      <w:divBdr>
        <w:top w:val="none" w:sz="0" w:space="0" w:color="auto"/>
        <w:left w:val="none" w:sz="0" w:space="0" w:color="auto"/>
        <w:bottom w:val="none" w:sz="0" w:space="0" w:color="auto"/>
        <w:right w:val="none" w:sz="0" w:space="0" w:color="auto"/>
      </w:divBdr>
    </w:div>
    <w:div w:id="691227634">
      <w:bodyDiv w:val="1"/>
      <w:marLeft w:val="0"/>
      <w:marRight w:val="0"/>
      <w:marTop w:val="0"/>
      <w:marBottom w:val="0"/>
      <w:divBdr>
        <w:top w:val="none" w:sz="0" w:space="0" w:color="auto"/>
        <w:left w:val="none" w:sz="0" w:space="0" w:color="auto"/>
        <w:bottom w:val="none" w:sz="0" w:space="0" w:color="auto"/>
        <w:right w:val="none" w:sz="0" w:space="0" w:color="auto"/>
      </w:divBdr>
    </w:div>
    <w:div w:id="692271743">
      <w:bodyDiv w:val="1"/>
      <w:marLeft w:val="0"/>
      <w:marRight w:val="0"/>
      <w:marTop w:val="0"/>
      <w:marBottom w:val="0"/>
      <w:divBdr>
        <w:top w:val="none" w:sz="0" w:space="0" w:color="auto"/>
        <w:left w:val="none" w:sz="0" w:space="0" w:color="auto"/>
        <w:bottom w:val="none" w:sz="0" w:space="0" w:color="auto"/>
        <w:right w:val="none" w:sz="0" w:space="0" w:color="auto"/>
      </w:divBdr>
    </w:div>
    <w:div w:id="693112418">
      <w:bodyDiv w:val="1"/>
      <w:marLeft w:val="0"/>
      <w:marRight w:val="0"/>
      <w:marTop w:val="0"/>
      <w:marBottom w:val="0"/>
      <w:divBdr>
        <w:top w:val="none" w:sz="0" w:space="0" w:color="auto"/>
        <w:left w:val="none" w:sz="0" w:space="0" w:color="auto"/>
        <w:bottom w:val="none" w:sz="0" w:space="0" w:color="auto"/>
        <w:right w:val="none" w:sz="0" w:space="0" w:color="auto"/>
      </w:divBdr>
    </w:div>
    <w:div w:id="695544285">
      <w:bodyDiv w:val="1"/>
      <w:marLeft w:val="0"/>
      <w:marRight w:val="0"/>
      <w:marTop w:val="0"/>
      <w:marBottom w:val="0"/>
      <w:divBdr>
        <w:top w:val="none" w:sz="0" w:space="0" w:color="auto"/>
        <w:left w:val="none" w:sz="0" w:space="0" w:color="auto"/>
        <w:bottom w:val="none" w:sz="0" w:space="0" w:color="auto"/>
        <w:right w:val="none" w:sz="0" w:space="0" w:color="auto"/>
      </w:divBdr>
      <w:divsChild>
        <w:div w:id="3932376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96468263">
      <w:bodyDiv w:val="1"/>
      <w:marLeft w:val="0"/>
      <w:marRight w:val="0"/>
      <w:marTop w:val="0"/>
      <w:marBottom w:val="0"/>
      <w:divBdr>
        <w:top w:val="none" w:sz="0" w:space="0" w:color="auto"/>
        <w:left w:val="none" w:sz="0" w:space="0" w:color="auto"/>
        <w:bottom w:val="none" w:sz="0" w:space="0" w:color="auto"/>
        <w:right w:val="none" w:sz="0" w:space="0" w:color="auto"/>
      </w:divBdr>
    </w:div>
    <w:div w:id="701639279">
      <w:bodyDiv w:val="1"/>
      <w:marLeft w:val="0"/>
      <w:marRight w:val="0"/>
      <w:marTop w:val="0"/>
      <w:marBottom w:val="0"/>
      <w:divBdr>
        <w:top w:val="none" w:sz="0" w:space="0" w:color="auto"/>
        <w:left w:val="none" w:sz="0" w:space="0" w:color="auto"/>
        <w:bottom w:val="none" w:sz="0" w:space="0" w:color="auto"/>
        <w:right w:val="none" w:sz="0" w:space="0" w:color="auto"/>
      </w:divBdr>
    </w:div>
    <w:div w:id="709648047">
      <w:bodyDiv w:val="1"/>
      <w:marLeft w:val="0"/>
      <w:marRight w:val="0"/>
      <w:marTop w:val="0"/>
      <w:marBottom w:val="0"/>
      <w:divBdr>
        <w:top w:val="none" w:sz="0" w:space="0" w:color="auto"/>
        <w:left w:val="none" w:sz="0" w:space="0" w:color="auto"/>
        <w:bottom w:val="none" w:sz="0" w:space="0" w:color="auto"/>
        <w:right w:val="none" w:sz="0" w:space="0" w:color="auto"/>
      </w:divBdr>
    </w:div>
    <w:div w:id="709842462">
      <w:bodyDiv w:val="1"/>
      <w:marLeft w:val="0"/>
      <w:marRight w:val="0"/>
      <w:marTop w:val="0"/>
      <w:marBottom w:val="0"/>
      <w:divBdr>
        <w:top w:val="none" w:sz="0" w:space="0" w:color="auto"/>
        <w:left w:val="none" w:sz="0" w:space="0" w:color="auto"/>
        <w:bottom w:val="none" w:sz="0" w:space="0" w:color="auto"/>
        <w:right w:val="none" w:sz="0" w:space="0" w:color="auto"/>
      </w:divBdr>
    </w:div>
    <w:div w:id="714082312">
      <w:bodyDiv w:val="1"/>
      <w:marLeft w:val="0"/>
      <w:marRight w:val="0"/>
      <w:marTop w:val="0"/>
      <w:marBottom w:val="0"/>
      <w:divBdr>
        <w:top w:val="none" w:sz="0" w:space="0" w:color="auto"/>
        <w:left w:val="none" w:sz="0" w:space="0" w:color="auto"/>
        <w:bottom w:val="none" w:sz="0" w:space="0" w:color="auto"/>
        <w:right w:val="none" w:sz="0" w:space="0" w:color="auto"/>
      </w:divBdr>
      <w:divsChild>
        <w:div w:id="17432171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14550873">
      <w:bodyDiv w:val="1"/>
      <w:marLeft w:val="0"/>
      <w:marRight w:val="0"/>
      <w:marTop w:val="0"/>
      <w:marBottom w:val="0"/>
      <w:divBdr>
        <w:top w:val="none" w:sz="0" w:space="0" w:color="auto"/>
        <w:left w:val="none" w:sz="0" w:space="0" w:color="auto"/>
        <w:bottom w:val="none" w:sz="0" w:space="0" w:color="auto"/>
        <w:right w:val="none" w:sz="0" w:space="0" w:color="auto"/>
      </w:divBdr>
    </w:div>
    <w:div w:id="716314443">
      <w:bodyDiv w:val="1"/>
      <w:marLeft w:val="0"/>
      <w:marRight w:val="0"/>
      <w:marTop w:val="0"/>
      <w:marBottom w:val="0"/>
      <w:divBdr>
        <w:top w:val="none" w:sz="0" w:space="0" w:color="auto"/>
        <w:left w:val="none" w:sz="0" w:space="0" w:color="auto"/>
        <w:bottom w:val="none" w:sz="0" w:space="0" w:color="auto"/>
        <w:right w:val="none" w:sz="0" w:space="0" w:color="auto"/>
      </w:divBdr>
    </w:div>
    <w:div w:id="718482244">
      <w:bodyDiv w:val="1"/>
      <w:marLeft w:val="0"/>
      <w:marRight w:val="0"/>
      <w:marTop w:val="0"/>
      <w:marBottom w:val="0"/>
      <w:divBdr>
        <w:top w:val="none" w:sz="0" w:space="0" w:color="auto"/>
        <w:left w:val="none" w:sz="0" w:space="0" w:color="auto"/>
        <w:bottom w:val="none" w:sz="0" w:space="0" w:color="auto"/>
        <w:right w:val="none" w:sz="0" w:space="0" w:color="auto"/>
      </w:divBdr>
    </w:div>
    <w:div w:id="726685952">
      <w:bodyDiv w:val="1"/>
      <w:marLeft w:val="0"/>
      <w:marRight w:val="0"/>
      <w:marTop w:val="0"/>
      <w:marBottom w:val="0"/>
      <w:divBdr>
        <w:top w:val="none" w:sz="0" w:space="0" w:color="auto"/>
        <w:left w:val="none" w:sz="0" w:space="0" w:color="auto"/>
        <w:bottom w:val="none" w:sz="0" w:space="0" w:color="auto"/>
        <w:right w:val="none" w:sz="0" w:space="0" w:color="auto"/>
      </w:divBdr>
    </w:div>
    <w:div w:id="726875116">
      <w:bodyDiv w:val="1"/>
      <w:marLeft w:val="0"/>
      <w:marRight w:val="0"/>
      <w:marTop w:val="0"/>
      <w:marBottom w:val="0"/>
      <w:divBdr>
        <w:top w:val="none" w:sz="0" w:space="0" w:color="auto"/>
        <w:left w:val="none" w:sz="0" w:space="0" w:color="auto"/>
        <w:bottom w:val="none" w:sz="0" w:space="0" w:color="auto"/>
        <w:right w:val="none" w:sz="0" w:space="0" w:color="auto"/>
      </w:divBdr>
    </w:div>
    <w:div w:id="727847254">
      <w:bodyDiv w:val="1"/>
      <w:marLeft w:val="0"/>
      <w:marRight w:val="0"/>
      <w:marTop w:val="0"/>
      <w:marBottom w:val="0"/>
      <w:divBdr>
        <w:top w:val="none" w:sz="0" w:space="0" w:color="auto"/>
        <w:left w:val="none" w:sz="0" w:space="0" w:color="auto"/>
        <w:bottom w:val="none" w:sz="0" w:space="0" w:color="auto"/>
        <w:right w:val="none" w:sz="0" w:space="0" w:color="auto"/>
      </w:divBdr>
    </w:div>
    <w:div w:id="744453097">
      <w:bodyDiv w:val="1"/>
      <w:marLeft w:val="0"/>
      <w:marRight w:val="0"/>
      <w:marTop w:val="0"/>
      <w:marBottom w:val="0"/>
      <w:divBdr>
        <w:top w:val="none" w:sz="0" w:space="0" w:color="auto"/>
        <w:left w:val="none" w:sz="0" w:space="0" w:color="auto"/>
        <w:bottom w:val="none" w:sz="0" w:space="0" w:color="auto"/>
        <w:right w:val="none" w:sz="0" w:space="0" w:color="auto"/>
      </w:divBdr>
    </w:div>
    <w:div w:id="748119692">
      <w:bodyDiv w:val="1"/>
      <w:marLeft w:val="0"/>
      <w:marRight w:val="0"/>
      <w:marTop w:val="0"/>
      <w:marBottom w:val="0"/>
      <w:divBdr>
        <w:top w:val="none" w:sz="0" w:space="0" w:color="auto"/>
        <w:left w:val="none" w:sz="0" w:space="0" w:color="auto"/>
        <w:bottom w:val="none" w:sz="0" w:space="0" w:color="auto"/>
        <w:right w:val="none" w:sz="0" w:space="0" w:color="auto"/>
      </w:divBdr>
    </w:div>
    <w:div w:id="749470814">
      <w:bodyDiv w:val="1"/>
      <w:marLeft w:val="0"/>
      <w:marRight w:val="0"/>
      <w:marTop w:val="0"/>
      <w:marBottom w:val="0"/>
      <w:divBdr>
        <w:top w:val="none" w:sz="0" w:space="0" w:color="auto"/>
        <w:left w:val="none" w:sz="0" w:space="0" w:color="auto"/>
        <w:bottom w:val="none" w:sz="0" w:space="0" w:color="auto"/>
        <w:right w:val="none" w:sz="0" w:space="0" w:color="auto"/>
      </w:divBdr>
    </w:div>
    <w:div w:id="761148602">
      <w:bodyDiv w:val="1"/>
      <w:marLeft w:val="0"/>
      <w:marRight w:val="0"/>
      <w:marTop w:val="0"/>
      <w:marBottom w:val="0"/>
      <w:divBdr>
        <w:top w:val="none" w:sz="0" w:space="0" w:color="auto"/>
        <w:left w:val="none" w:sz="0" w:space="0" w:color="auto"/>
        <w:bottom w:val="none" w:sz="0" w:space="0" w:color="auto"/>
        <w:right w:val="none" w:sz="0" w:space="0" w:color="auto"/>
      </w:divBdr>
    </w:div>
    <w:div w:id="768235721">
      <w:bodyDiv w:val="1"/>
      <w:marLeft w:val="0"/>
      <w:marRight w:val="0"/>
      <w:marTop w:val="0"/>
      <w:marBottom w:val="0"/>
      <w:divBdr>
        <w:top w:val="none" w:sz="0" w:space="0" w:color="auto"/>
        <w:left w:val="none" w:sz="0" w:space="0" w:color="auto"/>
        <w:bottom w:val="none" w:sz="0" w:space="0" w:color="auto"/>
        <w:right w:val="none" w:sz="0" w:space="0" w:color="auto"/>
      </w:divBdr>
    </w:div>
    <w:div w:id="771778988">
      <w:bodyDiv w:val="1"/>
      <w:marLeft w:val="0"/>
      <w:marRight w:val="0"/>
      <w:marTop w:val="0"/>
      <w:marBottom w:val="0"/>
      <w:divBdr>
        <w:top w:val="none" w:sz="0" w:space="0" w:color="auto"/>
        <w:left w:val="none" w:sz="0" w:space="0" w:color="auto"/>
        <w:bottom w:val="none" w:sz="0" w:space="0" w:color="auto"/>
        <w:right w:val="none" w:sz="0" w:space="0" w:color="auto"/>
      </w:divBdr>
    </w:div>
    <w:div w:id="778255645">
      <w:bodyDiv w:val="1"/>
      <w:marLeft w:val="0"/>
      <w:marRight w:val="0"/>
      <w:marTop w:val="0"/>
      <w:marBottom w:val="0"/>
      <w:divBdr>
        <w:top w:val="none" w:sz="0" w:space="0" w:color="auto"/>
        <w:left w:val="none" w:sz="0" w:space="0" w:color="auto"/>
        <w:bottom w:val="none" w:sz="0" w:space="0" w:color="auto"/>
        <w:right w:val="none" w:sz="0" w:space="0" w:color="auto"/>
      </w:divBdr>
    </w:div>
    <w:div w:id="783428564">
      <w:bodyDiv w:val="1"/>
      <w:marLeft w:val="0"/>
      <w:marRight w:val="0"/>
      <w:marTop w:val="0"/>
      <w:marBottom w:val="0"/>
      <w:divBdr>
        <w:top w:val="none" w:sz="0" w:space="0" w:color="auto"/>
        <w:left w:val="none" w:sz="0" w:space="0" w:color="auto"/>
        <w:bottom w:val="none" w:sz="0" w:space="0" w:color="auto"/>
        <w:right w:val="none" w:sz="0" w:space="0" w:color="auto"/>
      </w:divBdr>
    </w:div>
    <w:div w:id="784038611">
      <w:bodyDiv w:val="1"/>
      <w:marLeft w:val="0"/>
      <w:marRight w:val="0"/>
      <w:marTop w:val="0"/>
      <w:marBottom w:val="0"/>
      <w:divBdr>
        <w:top w:val="none" w:sz="0" w:space="0" w:color="auto"/>
        <w:left w:val="none" w:sz="0" w:space="0" w:color="auto"/>
        <w:bottom w:val="none" w:sz="0" w:space="0" w:color="auto"/>
        <w:right w:val="none" w:sz="0" w:space="0" w:color="auto"/>
      </w:divBdr>
    </w:div>
    <w:div w:id="787747961">
      <w:bodyDiv w:val="1"/>
      <w:marLeft w:val="0"/>
      <w:marRight w:val="0"/>
      <w:marTop w:val="0"/>
      <w:marBottom w:val="0"/>
      <w:divBdr>
        <w:top w:val="none" w:sz="0" w:space="0" w:color="auto"/>
        <w:left w:val="none" w:sz="0" w:space="0" w:color="auto"/>
        <w:bottom w:val="none" w:sz="0" w:space="0" w:color="auto"/>
        <w:right w:val="none" w:sz="0" w:space="0" w:color="auto"/>
      </w:divBdr>
    </w:div>
    <w:div w:id="792208275">
      <w:bodyDiv w:val="1"/>
      <w:marLeft w:val="0"/>
      <w:marRight w:val="0"/>
      <w:marTop w:val="0"/>
      <w:marBottom w:val="0"/>
      <w:divBdr>
        <w:top w:val="none" w:sz="0" w:space="0" w:color="auto"/>
        <w:left w:val="none" w:sz="0" w:space="0" w:color="auto"/>
        <w:bottom w:val="none" w:sz="0" w:space="0" w:color="auto"/>
        <w:right w:val="none" w:sz="0" w:space="0" w:color="auto"/>
      </w:divBdr>
    </w:div>
    <w:div w:id="792866982">
      <w:bodyDiv w:val="1"/>
      <w:marLeft w:val="0"/>
      <w:marRight w:val="0"/>
      <w:marTop w:val="0"/>
      <w:marBottom w:val="0"/>
      <w:divBdr>
        <w:top w:val="none" w:sz="0" w:space="0" w:color="auto"/>
        <w:left w:val="none" w:sz="0" w:space="0" w:color="auto"/>
        <w:bottom w:val="none" w:sz="0" w:space="0" w:color="auto"/>
        <w:right w:val="none" w:sz="0" w:space="0" w:color="auto"/>
      </w:divBdr>
    </w:div>
    <w:div w:id="793527144">
      <w:bodyDiv w:val="1"/>
      <w:marLeft w:val="0"/>
      <w:marRight w:val="0"/>
      <w:marTop w:val="0"/>
      <w:marBottom w:val="0"/>
      <w:divBdr>
        <w:top w:val="none" w:sz="0" w:space="0" w:color="auto"/>
        <w:left w:val="none" w:sz="0" w:space="0" w:color="auto"/>
        <w:bottom w:val="none" w:sz="0" w:space="0" w:color="auto"/>
        <w:right w:val="none" w:sz="0" w:space="0" w:color="auto"/>
      </w:divBdr>
    </w:div>
    <w:div w:id="796070700">
      <w:bodyDiv w:val="1"/>
      <w:marLeft w:val="0"/>
      <w:marRight w:val="0"/>
      <w:marTop w:val="0"/>
      <w:marBottom w:val="0"/>
      <w:divBdr>
        <w:top w:val="none" w:sz="0" w:space="0" w:color="auto"/>
        <w:left w:val="none" w:sz="0" w:space="0" w:color="auto"/>
        <w:bottom w:val="none" w:sz="0" w:space="0" w:color="auto"/>
        <w:right w:val="none" w:sz="0" w:space="0" w:color="auto"/>
      </w:divBdr>
    </w:div>
    <w:div w:id="798644212">
      <w:bodyDiv w:val="1"/>
      <w:marLeft w:val="0"/>
      <w:marRight w:val="0"/>
      <w:marTop w:val="0"/>
      <w:marBottom w:val="0"/>
      <w:divBdr>
        <w:top w:val="none" w:sz="0" w:space="0" w:color="auto"/>
        <w:left w:val="none" w:sz="0" w:space="0" w:color="auto"/>
        <w:bottom w:val="none" w:sz="0" w:space="0" w:color="auto"/>
        <w:right w:val="none" w:sz="0" w:space="0" w:color="auto"/>
      </w:divBdr>
    </w:div>
    <w:div w:id="800807212">
      <w:bodyDiv w:val="1"/>
      <w:marLeft w:val="0"/>
      <w:marRight w:val="0"/>
      <w:marTop w:val="0"/>
      <w:marBottom w:val="0"/>
      <w:divBdr>
        <w:top w:val="none" w:sz="0" w:space="0" w:color="auto"/>
        <w:left w:val="none" w:sz="0" w:space="0" w:color="auto"/>
        <w:bottom w:val="none" w:sz="0" w:space="0" w:color="auto"/>
        <w:right w:val="none" w:sz="0" w:space="0" w:color="auto"/>
      </w:divBdr>
    </w:div>
    <w:div w:id="805008235">
      <w:bodyDiv w:val="1"/>
      <w:marLeft w:val="0"/>
      <w:marRight w:val="0"/>
      <w:marTop w:val="0"/>
      <w:marBottom w:val="0"/>
      <w:divBdr>
        <w:top w:val="none" w:sz="0" w:space="0" w:color="auto"/>
        <w:left w:val="none" w:sz="0" w:space="0" w:color="auto"/>
        <w:bottom w:val="none" w:sz="0" w:space="0" w:color="auto"/>
        <w:right w:val="none" w:sz="0" w:space="0" w:color="auto"/>
      </w:divBdr>
    </w:div>
    <w:div w:id="805969747">
      <w:bodyDiv w:val="1"/>
      <w:marLeft w:val="0"/>
      <w:marRight w:val="0"/>
      <w:marTop w:val="0"/>
      <w:marBottom w:val="0"/>
      <w:divBdr>
        <w:top w:val="none" w:sz="0" w:space="0" w:color="auto"/>
        <w:left w:val="none" w:sz="0" w:space="0" w:color="auto"/>
        <w:bottom w:val="none" w:sz="0" w:space="0" w:color="auto"/>
        <w:right w:val="none" w:sz="0" w:space="0" w:color="auto"/>
      </w:divBdr>
    </w:div>
    <w:div w:id="813837592">
      <w:bodyDiv w:val="1"/>
      <w:marLeft w:val="0"/>
      <w:marRight w:val="0"/>
      <w:marTop w:val="0"/>
      <w:marBottom w:val="0"/>
      <w:divBdr>
        <w:top w:val="none" w:sz="0" w:space="0" w:color="auto"/>
        <w:left w:val="none" w:sz="0" w:space="0" w:color="auto"/>
        <w:bottom w:val="none" w:sz="0" w:space="0" w:color="auto"/>
        <w:right w:val="none" w:sz="0" w:space="0" w:color="auto"/>
      </w:divBdr>
    </w:div>
    <w:div w:id="817847949">
      <w:bodyDiv w:val="1"/>
      <w:marLeft w:val="0"/>
      <w:marRight w:val="0"/>
      <w:marTop w:val="0"/>
      <w:marBottom w:val="0"/>
      <w:divBdr>
        <w:top w:val="none" w:sz="0" w:space="0" w:color="auto"/>
        <w:left w:val="none" w:sz="0" w:space="0" w:color="auto"/>
        <w:bottom w:val="none" w:sz="0" w:space="0" w:color="auto"/>
        <w:right w:val="none" w:sz="0" w:space="0" w:color="auto"/>
      </w:divBdr>
    </w:div>
    <w:div w:id="819346904">
      <w:bodyDiv w:val="1"/>
      <w:marLeft w:val="0"/>
      <w:marRight w:val="0"/>
      <w:marTop w:val="0"/>
      <w:marBottom w:val="0"/>
      <w:divBdr>
        <w:top w:val="none" w:sz="0" w:space="0" w:color="auto"/>
        <w:left w:val="none" w:sz="0" w:space="0" w:color="auto"/>
        <w:bottom w:val="none" w:sz="0" w:space="0" w:color="auto"/>
        <w:right w:val="none" w:sz="0" w:space="0" w:color="auto"/>
      </w:divBdr>
    </w:div>
    <w:div w:id="820266695">
      <w:bodyDiv w:val="1"/>
      <w:marLeft w:val="0"/>
      <w:marRight w:val="0"/>
      <w:marTop w:val="0"/>
      <w:marBottom w:val="0"/>
      <w:divBdr>
        <w:top w:val="none" w:sz="0" w:space="0" w:color="auto"/>
        <w:left w:val="none" w:sz="0" w:space="0" w:color="auto"/>
        <w:bottom w:val="none" w:sz="0" w:space="0" w:color="auto"/>
        <w:right w:val="none" w:sz="0" w:space="0" w:color="auto"/>
      </w:divBdr>
    </w:div>
    <w:div w:id="821239028">
      <w:bodyDiv w:val="1"/>
      <w:marLeft w:val="0"/>
      <w:marRight w:val="0"/>
      <w:marTop w:val="0"/>
      <w:marBottom w:val="0"/>
      <w:divBdr>
        <w:top w:val="none" w:sz="0" w:space="0" w:color="auto"/>
        <w:left w:val="none" w:sz="0" w:space="0" w:color="auto"/>
        <w:bottom w:val="none" w:sz="0" w:space="0" w:color="auto"/>
        <w:right w:val="none" w:sz="0" w:space="0" w:color="auto"/>
      </w:divBdr>
    </w:div>
    <w:div w:id="827984460">
      <w:bodyDiv w:val="1"/>
      <w:marLeft w:val="0"/>
      <w:marRight w:val="0"/>
      <w:marTop w:val="0"/>
      <w:marBottom w:val="0"/>
      <w:divBdr>
        <w:top w:val="none" w:sz="0" w:space="0" w:color="auto"/>
        <w:left w:val="none" w:sz="0" w:space="0" w:color="auto"/>
        <w:bottom w:val="none" w:sz="0" w:space="0" w:color="auto"/>
        <w:right w:val="none" w:sz="0" w:space="0" w:color="auto"/>
      </w:divBdr>
    </w:div>
    <w:div w:id="829638602">
      <w:bodyDiv w:val="1"/>
      <w:marLeft w:val="0"/>
      <w:marRight w:val="0"/>
      <w:marTop w:val="0"/>
      <w:marBottom w:val="0"/>
      <w:divBdr>
        <w:top w:val="none" w:sz="0" w:space="0" w:color="auto"/>
        <w:left w:val="none" w:sz="0" w:space="0" w:color="auto"/>
        <w:bottom w:val="none" w:sz="0" w:space="0" w:color="auto"/>
        <w:right w:val="none" w:sz="0" w:space="0" w:color="auto"/>
      </w:divBdr>
    </w:div>
    <w:div w:id="833178654">
      <w:bodyDiv w:val="1"/>
      <w:marLeft w:val="0"/>
      <w:marRight w:val="0"/>
      <w:marTop w:val="0"/>
      <w:marBottom w:val="0"/>
      <w:divBdr>
        <w:top w:val="none" w:sz="0" w:space="0" w:color="auto"/>
        <w:left w:val="none" w:sz="0" w:space="0" w:color="auto"/>
        <w:bottom w:val="none" w:sz="0" w:space="0" w:color="auto"/>
        <w:right w:val="none" w:sz="0" w:space="0" w:color="auto"/>
      </w:divBdr>
    </w:div>
    <w:div w:id="837503557">
      <w:bodyDiv w:val="1"/>
      <w:marLeft w:val="0"/>
      <w:marRight w:val="0"/>
      <w:marTop w:val="0"/>
      <w:marBottom w:val="0"/>
      <w:divBdr>
        <w:top w:val="none" w:sz="0" w:space="0" w:color="auto"/>
        <w:left w:val="none" w:sz="0" w:space="0" w:color="auto"/>
        <w:bottom w:val="none" w:sz="0" w:space="0" w:color="auto"/>
        <w:right w:val="none" w:sz="0" w:space="0" w:color="auto"/>
      </w:divBdr>
    </w:div>
    <w:div w:id="838497581">
      <w:bodyDiv w:val="1"/>
      <w:marLeft w:val="0"/>
      <w:marRight w:val="0"/>
      <w:marTop w:val="0"/>
      <w:marBottom w:val="0"/>
      <w:divBdr>
        <w:top w:val="none" w:sz="0" w:space="0" w:color="auto"/>
        <w:left w:val="none" w:sz="0" w:space="0" w:color="auto"/>
        <w:bottom w:val="none" w:sz="0" w:space="0" w:color="auto"/>
        <w:right w:val="none" w:sz="0" w:space="0" w:color="auto"/>
      </w:divBdr>
      <w:divsChild>
        <w:div w:id="191820347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40661008">
      <w:bodyDiv w:val="1"/>
      <w:marLeft w:val="0"/>
      <w:marRight w:val="0"/>
      <w:marTop w:val="0"/>
      <w:marBottom w:val="0"/>
      <w:divBdr>
        <w:top w:val="none" w:sz="0" w:space="0" w:color="auto"/>
        <w:left w:val="none" w:sz="0" w:space="0" w:color="auto"/>
        <w:bottom w:val="none" w:sz="0" w:space="0" w:color="auto"/>
        <w:right w:val="none" w:sz="0" w:space="0" w:color="auto"/>
      </w:divBdr>
    </w:div>
    <w:div w:id="843402463">
      <w:bodyDiv w:val="1"/>
      <w:marLeft w:val="0"/>
      <w:marRight w:val="0"/>
      <w:marTop w:val="0"/>
      <w:marBottom w:val="0"/>
      <w:divBdr>
        <w:top w:val="none" w:sz="0" w:space="0" w:color="auto"/>
        <w:left w:val="none" w:sz="0" w:space="0" w:color="auto"/>
        <w:bottom w:val="none" w:sz="0" w:space="0" w:color="auto"/>
        <w:right w:val="none" w:sz="0" w:space="0" w:color="auto"/>
      </w:divBdr>
    </w:div>
    <w:div w:id="844056324">
      <w:bodyDiv w:val="1"/>
      <w:marLeft w:val="0"/>
      <w:marRight w:val="0"/>
      <w:marTop w:val="0"/>
      <w:marBottom w:val="0"/>
      <w:divBdr>
        <w:top w:val="none" w:sz="0" w:space="0" w:color="auto"/>
        <w:left w:val="none" w:sz="0" w:space="0" w:color="auto"/>
        <w:bottom w:val="none" w:sz="0" w:space="0" w:color="auto"/>
        <w:right w:val="none" w:sz="0" w:space="0" w:color="auto"/>
      </w:divBdr>
    </w:div>
    <w:div w:id="845901878">
      <w:bodyDiv w:val="1"/>
      <w:marLeft w:val="0"/>
      <w:marRight w:val="0"/>
      <w:marTop w:val="0"/>
      <w:marBottom w:val="0"/>
      <w:divBdr>
        <w:top w:val="none" w:sz="0" w:space="0" w:color="auto"/>
        <w:left w:val="none" w:sz="0" w:space="0" w:color="auto"/>
        <w:bottom w:val="none" w:sz="0" w:space="0" w:color="auto"/>
        <w:right w:val="none" w:sz="0" w:space="0" w:color="auto"/>
      </w:divBdr>
    </w:div>
    <w:div w:id="856503281">
      <w:bodyDiv w:val="1"/>
      <w:marLeft w:val="0"/>
      <w:marRight w:val="0"/>
      <w:marTop w:val="0"/>
      <w:marBottom w:val="0"/>
      <w:divBdr>
        <w:top w:val="none" w:sz="0" w:space="0" w:color="auto"/>
        <w:left w:val="none" w:sz="0" w:space="0" w:color="auto"/>
        <w:bottom w:val="none" w:sz="0" w:space="0" w:color="auto"/>
        <w:right w:val="none" w:sz="0" w:space="0" w:color="auto"/>
      </w:divBdr>
    </w:div>
    <w:div w:id="857081969">
      <w:bodyDiv w:val="1"/>
      <w:marLeft w:val="0"/>
      <w:marRight w:val="0"/>
      <w:marTop w:val="0"/>
      <w:marBottom w:val="0"/>
      <w:divBdr>
        <w:top w:val="none" w:sz="0" w:space="0" w:color="auto"/>
        <w:left w:val="none" w:sz="0" w:space="0" w:color="auto"/>
        <w:bottom w:val="none" w:sz="0" w:space="0" w:color="auto"/>
        <w:right w:val="none" w:sz="0" w:space="0" w:color="auto"/>
      </w:divBdr>
    </w:div>
    <w:div w:id="858011840">
      <w:bodyDiv w:val="1"/>
      <w:marLeft w:val="0"/>
      <w:marRight w:val="0"/>
      <w:marTop w:val="0"/>
      <w:marBottom w:val="0"/>
      <w:divBdr>
        <w:top w:val="none" w:sz="0" w:space="0" w:color="auto"/>
        <w:left w:val="none" w:sz="0" w:space="0" w:color="auto"/>
        <w:bottom w:val="none" w:sz="0" w:space="0" w:color="auto"/>
        <w:right w:val="none" w:sz="0" w:space="0" w:color="auto"/>
      </w:divBdr>
    </w:div>
    <w:div w:id="859899657">
      <w:bodyDiv w:val="1"/>
      <w:marLeft w:val="0"/>
      <w:marRight w:val="0"/>
      <w:marTop w:val="0"/>
      <w:marBottom w:val="0"/>
      <w:divBdr>
        <w:top w:val="none" w:sz="0" w:space="0" w:color="auto"/>
        <w:left w:val="none" w:sz="0" w:space="0" w:color="auto"/>
        <w:bottom w:val="none" w:sz="0" w:space="0" w:color="auto"/>
        <w:right w:val="none" w:sz="0" w:space="0" w:color="auto"/>
      </w:divBdr>
      <w:divsChild>
        <w:div w:id="6532636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60633088">
      <w:bodyDiv w:val="1"/>
      <w:marLeft w:val="0"/>
      <w:marRight w:val="0"/>
      <w:marTop w:val="0"/>
      <w:marBottom w:val="0"/>
      <w:divBdr>
        <w:top w:val="none" w:sz="0" w:space="0" w:color="auto"/>
        <w:left w:val="none" w:sz="0" w:space="0" w:color="auto"/>
        <w:bottom w:val="none" w:sz="0" w:space="0" w:color="auto"/>
        <w:right w:val="none" w:sz="0" w:space="0" w:color="auto"/>
      </w:divBdr>
    </w:div>
    <w:div w:id="869878473">
      <w:bodyDiv w:val="1"/>
      <w:marLeft w:val="0"/>
      <w:marRight w:val="0"/>
      <w:marTop w:val="0"/>
      <w:marBottom w:val="0"/>
      <w:divBdr>
        <w:top w:val="none" w:sz="0" w:space="0" w:color="auto"/>
        <w:left w:val="none" w:sz="0" w:space="0" w:color="auto"/>
        <w:bottom w:val="none" w:sz="0" w:space="0" w:color="auto"/>
        <w:right w:val="none" w:sz="0" w:space="0" w:color="auto"/>
      </w:divBdr>
      <w:divsChild>
        <w:div w:id="17839327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876702770">
      <w:bodyDiv w:val="1"/>
      <w:marLeft w:val="0"/>
      <w:marRight w:val="0"/>
      <w:marTop w:val="0"/>
      <w:marBottom w:val="0"/>
      <w:divBdr>
        <w:top w:val="none" w:sz="0" w:space="0" w:color="auto"/>
        <w:left w:val="none" w:sz="0" w:space="0" w:color="auto"/>
        <w:bottom w:val="none" w:sz="0" w:space="0" w:color="auto"/>
        <w:right w:val="none" w:sz="0" w:space="0" w:color="auto"/>
      </w:divBdr>
    </w:div>
    <w:div w:id="877813485">
      <w:bodyDiv w:val="1"/>
      <w:marLeft w:val="0"/>
      <w:marRight w:val="0"/>
      <w:marTop w:val="0"/>
      <w:marBottom w:val="0"/>
      <w:divBdr>
        <w:top w:val="none" w:sz="0" w:space="0" w:color="auto"/>
        <w:left w:val="none" w:sz="0" w:space="0" w:color="auto"/>
        <w:bottom w:val="none" w:sz="0" w:space="0" w:color="auto"/>
        <w:right w:val="none" w:sz="0" w:space="0" w:color="auto"/>
      </w:divBdr>
    </w:div>
    <w:div w:id="878473960">
      <w:bodyDiv w:val="1"/>
      <w:marLeft w:val="0"/>
      <w:marRight w:val="0"/>
      <w:marTop w:val="0"/>
      <w:marBottom w:val="0"/>
      <w:divBdr>
        <w:top w:val="none" w:sz="0" w:space="0" w:color="auto"/>
        <w:left w:val="none" w:sz="0" w:space="0" w:color="auto"/>
        <w:bottom w:val="none" w:sz="0" w:space="0" w:color="auto"/>
        <w:right w:val="none" w:sz="0" w:space="0" w:color="auto"/>
      </w:divBdr>
    </w:div>
    <w:div w:id="882402311">
      <w:bodyDiv w:val="1"/>
      <w:marLeft w:val="0"/>
      <w:marRight w:val="0"/>
      <w:marTop w:val="0"/>
      <w:marBottom w:val="0"/>
      <w:divBdr>
        <w:top w:val="none" w:sz="0" w:space="0" w:color="auto"/>
        <w:left w:val="none" w:sz="0" w:space="0" w:color="auto"/>
        <w:bottom w:val="none" w:sz="0" w:space="0" w:color="auto"/>
        <w:right w:val="none" w:sz="0" w:space="0" w:color="auto"/>
      </w:divBdr>
    </w:div>
    <w:div w:id="882523454">
      <w:bodyDiv w:val="1"/>
      <w:marLeft w:val="0"/>
      <w:marRight w:val="0"/>
      <w:marTop w:val="0"/>
      <w:marBottom w:val="0"/>
      <w:divBdr>
        <w:top w:val="none" w:sz="0" w:space="0" w:color="auto"/>
        <w:left w:val="none" w:sz="0" w:space="0" w:color="auto"/>
        <w:bottom w:val="none" w:sz="0" w:space="0" w:color="auto"/>
        <w:right w:val="none" w:sz="0" w:space="0" w:color="auto"/>
      </w:divBdr>
    </w:div>
    <w:div w:id="886994106">
      <w:bodyDiv w:val="1"/>
      <w:marLeft w:val="0"/>
      <w:marRight w:val="0"/>
      <w:marTop w:val="0"/>
      <w:marBottom w:val="0"/>
      <w:divBdr>
        <w:top w:val="none" w:sz="0" w:space="0" w:color="auto"/>
        <w:left w:val="none" w:sz="0" w:space="0" w:color="auto"/>
        <w:bottom w:val="none" w:sz="0" w:space="0" w:color="auto"/>
        <w:right w:val="none" w:sz="0" w:space="0" w:color="auto"/>
      </w:divBdr>
    </w:div>
    <w:div w:id="887960231">
      <w:bodyDiv w:val="1"/>
      <w:marLeft w:val="0"/>
      <w:marRight w:val="0"/>
      <w:marTop w:val="0"/>
      <w:marBottom w:val="0"/>
      <w:divBdr>
        <w:top w:val="none" w:sz="0" w:space="0" w:color="auto"/>
        <w:left w:val="none" w:sz="0" w:space="0" w:color="auto"/>
        <w:bottom w:val="none" w:sz="0" w:space="0" w:color="auto"/>
        <w:right w:val="none" w:sz="0" w:space="0" w:color="auto"/>
      </w:divBdr>
    </w:div>
    <w:div w:id="903639176">
      <w:bodyDiv w:val="1"/>
      <w:marLeft w:val="0"/>
      <w:marRight w:val="0"/>
      <w:marTop w:val="0"/>
      <w:marBottom w:val="0"/>
      <w:divBdr>
        <w:top w:val="none" w:sz="0" w:space="0" w:color="auto"/>
        <w:left w:val="none" w:sz="0" w:space="0" w:color="auto"/>
        <w:bottom w:val="none" w:sz="0" w:space="0" w:color="auto"/>
        <w:right w:val="none" w:sz="0" w:space="0" w:color="auto"/>
      </w:divBdr>
    </w:div>
    <w:div w:id="904532841">
      <w:bodyDiv w:val="1"/>
      <w:marLeft w:val="0"/>
      <w:marRight w:val="0"/>
      <w:marTop w:val="0"/>
      <w:marBottom w:val="0"/>
      <w:divBdr>
        <w:top w:val="none" w:sz="0" w:space="0" w:color="auto"/>
        <w:left w:val="none" w:sz="0" w:space="0" w:color="auto"/>
        <w:bottom w:val="none" w:sz="0" w:space="0" w:color="auto"/>
        <w:right w:val="none" w:sz="0" w:space="0" w:color="auto"/>
      </w:divBdr>
    </w:div>
    <w:div w:id="906382118">
      <w:bodyDiv w:val="1"/>
      <w:marLeft w:val="0"/>
      <w:marRight w:val="0"/>
      <w:marTop w:val="0"/>
      <w:marBottom w:val="0"/>
      <w:divBdr>
        <w:top w:val="none" w:sz="0" w:space="0" w:color="auto"/>
        <w:left w:val="none" w:sz="0" w:space="0" w:color="auto"/>
        <w:bottom w:val="none" w:sz="0" w:space="0" w:color="auto"/>
        <w:right w:val="none" w:sz="0" w:space="0" w:color="auto"/>
      </w:divBdr>
    </w:div>
    <w:div w:id="906382675">
      <w:bodyDiv w:val="1"/>
      <w:marLeft w:val="0"/>
      <w:marRight w:val="0"/>
      <w:marTop w:val="0"/>
      <w:marBottom w:val="0"/>
      <w:divBdr>
        <w:top w:val="none" w:sz="0" w:space="0" w:color="auto"/>
        <w:left w:val="none" w:sz="0" w:space="0" w:color="auto"/>
        <w:bottom w:val="none" w:sz="0" w:space="0" w:color="auto"/>
        <w:right w:val="none" w:sz="0" w:space="0" w:color="auto"/>
      </w:divBdr>
    </w:div>
    <w:div w:id="912620785">
      <w:bodyDiv w:val="1"/>
      <w:marLeft w:val="0"/>
      <w:marRight w:val="0"/>
      <w:marTop w:val="0"/>
      <w:marBottom w:val="0"/>
      <w:divBdr>
        <w:top w:val="none" w:sz="0" w:space="0" w:color="auto"/>
        <w:left w:val="none" w:sz="0" w:space="0" w:color="auto"/>
        <w:bottom w:val="none" w:sz="0" w:space="0" w:color="auto"/>
        <w:right w:val="none" w:sz="0" w:space="0" w:color="auto"/>
      </w:divBdr>
      <w:divsChild>
        <w:div w:id="171352972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16869020">
      <w:bodyDiv w:val="1"/>
      <w:marLeft w:val="0"/>
      <w:marRight w:val="0"/>
      <w:marTop w:val="0"/>
      <w:marBottom w:val="0"/>
      <w:divBdr>
        <w:top w:val="none" w:sz="0" w:space="0" w:color="auto"/>
        <w:left w:val="none" w:sz="0" w:space="0" w:color="auto"/>
        <w:bottom w:val="none" w:sz="0" w:space="0" w:color="auto"/>
        <w:right w:val="none" w:sz="0" w:space="0" w:color="auto"/>
      </w:divBdr>
    </w:div>
    <w:div w:id="930742817">
      <w:bodyDiv w:val="1"/>
      <w:marLeft w:val="0"/>
      <w:marRight w:val="0"/>
      <w:marTop w:val="0"/>
      <w:marBottom w:val="0"/>
      <w:divBdr>
        <w:top w:val="none" w:sz="0" w:space="0" w:color="auto"/>
        <w:left w:val="none" w:sz="0" w:space="0" w:color="auto"/>
        <w:bottom w:val="none" w:sz="0" w:space="0" w:color="auto"/>
        <w:right w:val="none" w:sz="0" w:space="0" w:color="auto"/>
      </w:divBdr>
    </w:div>
    <w:div w:id="932516477">
      <w:bodyDiv w:val="1"/>
      <w:marLeft w:val="0"/>
      <w:marRight w:val="0"/>
      <w:marTop w:val="0"/>
      <w:marBottom w:val="0"/>
      <w:divBdr>
        <w:top w:val="none" w:sz="0" w:space="0" w:color="auto"/>
        <w:left w:val="none" w:sz="0" w:space="0" w:color="auto"/>
        <w:bottom w:val="none" w:sz="0" w:space="0" w:color="auto"/>
        <w:right w:val="none" w:sz="0" w:space="0" w:color="auto"/>
      </w:divBdr>
      <w:divsChild>
        <w:div w:id="15886589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40601756">
      <w:bodyDiv w:val="1"/>
      <w:marLeft w:val="0"/>
      <w:marRight w:val="0"/>
      <w:marTop w:val="0"/>
      <w:marBottom w:val="0"/>
      <w:divBdr>
        <w:top w:val="none" w:sz="0" w:space="0" w:color="auto"/>
        <w:left w:val="none" w:sz="0" w:space="0" w:color="auto"/>
        <w:bottom w:val="none" w:sz="0" w:space="0" w:color="auto"/>
        <w:right w:val="none" w:sz="0" w:space="0" w:color="auto"/>
      </w:divBdr>
    </w:div>
    <w:div w:id="947011235">
      <w:bodyDiv w:val="1"/>
      <w:marLeft w:val="0"/>
      <w:marRight w:val="0"/>
      <w:marTop w:val="0"/>
      <w:marBottom w:val="0"/>
      <w:divBdr>
        <w:top w:val="none" w:sz="0" w:space="0" w:color="auto"/>
        <w:left w:val="none" w:sz="0" w:space="0" w:color="auto"/>
        <w:bottom w:val="none" w:sz="0" w:space="0" w:color="auto"/>
        <w:right w:val="none" w:sz="0" w:space="0" w:color="auto"/>
      </w:divBdr>
    </w:div>
    <w:div w:id="947811339">
      <w:bodyDiv w:val="1"/>
      <w:marLeft w:val="0"/>
      <w:marRight w:val="0"/>
      <w:marTop w:val="0"/>
      <w:marBottom w:val="0"/>
      <w:divBdr>
        <w:top w:val="none" w:sz="0" w:space="0" w:color="auto"/>
        <w:left w:val="none" w:sz="0" w:space="0" w:color="auto"/>
        <w:bottom w:val="none" w:sz="0" w:space="0" w:color="auto"/>
        <w:right w:val="none" w:sz="0" w:space="0" w:color="auto"/>
      </w:divBdr>
    </w:div>
    <w:div w:id="953050022">
      <w:bodyDiv w:val="1"/>
      <w:marLeft w:val="0"/>
      <w:marRight w:val="0"/>
      <w:marTop w:val="0"/>
      <w:marBottom w:val="0"/>
      <w:divBdr>
        <w:top w:val="none" w:sz="0" w:space="0" w:color="auto"/>
        <w:left w:val="none" w:sz="0" w:space="0" w:color="auto"/>
        <w:bottom w:val="none" w:sz="0" w:space="0" w:color="auto"/>
        <w:right w:val="none" w:sz="0" w:space="0" w:color="auto"/>
      </w:divBdr>
    </w:div>
    <w:div w:id="953050572">
      <w:bodyDiv w:val="1"/>
      <w:marLeft w:val="0"/>
      <w:marRight w:val="0"/>
      <w:marTop w:val="0"/>
      <w:marBottom w:val="0"/>
      <w:divBdr>
        <w:top w:val="none" w:sz="0" w:space="0" w:color="auto"/>
        <w:left w:val="none" w:sz="0" w:space="0" w:color="auto"/>
        <w:bottom w:val="none" w:sz="0" w:space="0" w:color="auto"/>
        <w:right w:val="none" w:sz="0" w:space="0" w:color="auto"/>
      </w:divBdr>
    </w:div>
    <w:div w:id="954363154">
      <w:bodyDiv w:val="1"/>
      <w:marLeft w:val="0"/>
      <w:marRight w:val="0"/>
      <w:marTop w:val="0"/>
      <w:marBottom w:val="0"/>
      <w:divBdr>
        <w:top w:val="none" w:sz="0" w:space="0" w:color="auto"/>
        <w:left w:val="none" w:sz="0" w:space="0" w:color="auto"/>
        <w:bottom w:val="none" w:sz="0" w:space="0" w:color="auto"/>
        <w:right w:val="none" w:sz="0" w:space="0" w:color="auto"/>
      </w:divBdr>
    </w:div>
    <w:div w:id="956529139">
      <w:bodyDiv w:val="1"/>
      <w:marLeft w:val="0"/>
      <w:marRight w:val="0"/>
      <w:marTop w:val="0"/>
      <w:marBottom w:val="0"/>
      <w:divBdr>
        <w:top w:val="none" w:sz="0" w:space="0" w:color="auto"/>
        <w:left w:val="none" w:sz="0" w:space="0" w:color="auto"/>
        <w:bottom w:val="none" w:sz="0" w:space="0" w:color="auto"/>
        <w:right w:val="none" w:sz="0" w:space="0" w:color="auto"/>
      </w:divBdr>
      <w:divsChild>
        <w:div w:id="37651072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59578987">
      <w:bodyDiv w:val="1"/>
      <w:marLeft w:val="0"/>
      <w:marRight w:val="0"/>
      <w:marTop w:val="0"/>
      <w:marBottom w:val="0"/>
      <w:divBdr>
        <w:top w:val="none" w:sz="0" w:space="0" w:color="auto"/>
        <w:left w:val="none" w:sz="0" w:space="0" w:color="auto"/>
        <w:bottom w:val="none" w:sz="0" w:space="0" w:color="auto"/>
        <w:right w:val="none" w:sz="0" w:space="0" w:color="auto"/>
      </w:divBdr>
    </w:div>
    <w:div w:id="961225962">
      <w:bodyDiv w:val="1"/>
      <w:marLeft w:val="0"/>
      <w:marRight w:val="0"/>
      <w:marTop w:val="0"/>
      <w:marBottom w:val="0"/>
      <w:divBdr>
        <w:top w:val="none" w:sz="0" w:space="0" w:color="auto"/>
        <w:left w:val="none" w:sz="0" w:space="0" w:color="auto"/>
        <w:bottom w:val="none" w:sz="0" w:space="0" w:color="auto"/>
        <w:right w:val="none" w:sz="0" w:space="0" w:color="auto"/>
      </w:divBdr>
      <w:divsChild>
        <w:div w:id="15427221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2688320">
      <w:bodyDiv w:val="1"/>
      <w:marLeft w:val="0"/>
      <w:marRight w:val="0"/>
      <w:marTop w:val="0"/>
      <w:marBottom w:val="0"/>
      <w:divBdr>
        <w:top w:val="none" w:sz="0" w:space="0" w:color="auto"/>
        <w:left w:val="none" w:sz="0" w:space="0" w:color="auto"/>
        <w:bottom w:val="none" w:sz="0" w:space="0" w:color="auto"/>
        <w:right w:val="none" w:sz="0" w:space="0" w:color="auto"/>
      </w:divBdr>
    </w:div>
    <w:div w:id="966162941">
      <w:bodyDiv w:val="1"/>
      <w:marLeft w:val="0"/>
      <w:marRight w:val="0"/>
      <w:marTop w:val="0"/>
      <w:marBottom w:val="0"/>
      <w:divBdr>
        <w:top w:val="none" w:sz="0" w:space="0" w:color="auto"/>
        <w:left w:val="none" w:sz="0" w:space="0" w:color="auto"/>
        <w:bottom w:val="none" w:sz="0" w:space="0" w:color="auto"/>
        <w:right w:val="none" w:sz="0" w:space="0" w:color="auto"/>
      </w:divBdr>
    </w:div>
    <w:div w:id="970204785">
      <w:bodyDiv w:val="1"/>
      <w:marLeft w:val="0"/>
      <w:marRight w:val="0"/>
      <w:marTop w:val="0"/>
      <w:marBottom w:val="0"/>
      <w:divBdr>
        <w:top w:val="none" w:sz="0" w:space="0" w:color="auto"/>
        <w:left w:val="none" w:sz="0" w:space="0" w:color="auto"/>
        <w:bottom w:val="none" w:sz="0" w:space="0" w:color="auto"/>
        <w:right w:val="none" w:sz="0" w:space="0" w:color="auto"/>
      </w:divBdr>
    </w:div>
    <w:div w:id="970674347">
      <w:bodyDiv w:val="1"/>
      <w:marLeft w:val="0"/>
      <w:marRight w:val="0"/>
      <w:marTop w:val="0"/>
      <w:marBottom w:val="0"/>
      <w:divBdr>
        <w:top w:val="none" w:sz="0" w:space="0" w:color="auto"/>
        <w:left w:val="none" w:sz="0" w:space="0" w:color="auto"/>
        <w:bottom w:val="none" w:sz="0" w:space="0" w:color="auto"/>
        <w:right w:val="none" w:sz="0" w:space="0" w:color="auto"/>
      </w:divBdr>
    </w:div>
    <w:div w:id="972832472">
      <w:bodyDiv w:val="1"/>
      <w:marLeft w:val="0"/>
      <w:marRight w:val="0"/>
      <w:marTop w:val="0"/>
      <w:marBottom w:val="0"/>
      <w:divBdr>
        <w:top w:val="none" w:sz="0" w:space="0" w:color="auto"/>
        <w:left w:val="none" w:sz="0" w:space="0" w:color="auto"/>
        <w:bottom w:val="none" w:sz="0" w:space="0" w:color="auto"/>
        <w:right w:val="none" w:sz="0" w:space="0" w:color="auto"/>
      </w:divBdr>
      <w:divsChild>
        <w:div w:id="206821533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73172384">
      <w:bodyDiv w:val="1"/>
      <w:marLeft w:val="0"/>
      <w:marRight w:val="0"/>
      <w:marTop w:val="0"/>
      <w:marBottom w:val="0"/>
      <w:divBdr>
        <w:top w:val="none" w:sz="0" w:space="0" w:color="auto"/>
        <w:left w:val="none" w:sz="0" w:space="0" w:color="auto"/>
        <w:bottom w:val="none" w:sz="0" w:space="0" w:color="auto"/>
        <w:right w:val="none" w:sz="0" w:space="0" w:color="auto"/>
      </w:divBdr>
    </w:div>
    <w:div w:id="975262825">
      <w:bodyDiv w:val="1"/>
      <w:marLeft w:val="0"/>
      <w:marRight w:val="0"/>
      <w:marTop w:val="0"/>
      <w:marBottom w:val="0"/>
      <w:divBdr>
        <w:top w:val="none" w:sz="0" w:space="0" w:color="auto"/>
        <w:left w:val="none" w:sz="0" w:space="0" w:color="auto"/>
        <w:bottom w:val="none" w:sz="0" w:space="0" w:color="auto"/>
        <w:right w:val="none" w:sz="0" w:space="0" w:color="auto"/>
      </w:divBdr>
    </w:div>
    <w:div w:id="975993221">
      <w:bodyDiv w:val="1"/>
      <w:marLeft w:val="0"/>
      <w:marRight w:val="0"/>
      <w:marTop w:val="0"/>
      <w:marBottom w:val="0"/>
      <w:divBdr>
        <w:top w:val="none" w:sz="0" w:space="0" w:color="auto"/>
        <w:left w:val="none" w:sz="0" w:space="0" w:color="auto"/>
        <w:bottom w:val="none" w:sz="0" w:space="0" w:color="auto"/>
        <w:right w:val="none" w:sz="0" w:space="0" w:color="auto"/>
      </w:divBdr>
    </w:div>
    <w:div w:id="976106479">
      <w:bodyDiv w:val="1"/>
      <w:marLeft w:val="0"/>
      <w:marRight w:val="0"/>
      <w:marTop w:val="0"/>
      <w:marBottom w:val="0"/>
      <w:divBdr>
        <w:top w:val="none" w:sz="0" w:space="0" w:color="auto"/>
        <w:left w:val="none" w:sz="0" w:space="0" w:color="auto"/>
        <w:bottom w:val="none" w:sz="0" w:space="0" w:color="auto"/>
        <w:right w:val="none" w:sz="0" w:space="0" w:color="auto"/>
      </w:divBdr>
    </w:div>
    <w:div w:id="976177630">
      <w:bodyDiv w:val="1"/>
      <w:marLeft w:val="0"/>
      <w:marRight w:val="0"/>
      <w:marTop w:val="0"/>
      <w:marBottom w:val="0"/>
      <w:divBdr>
        <w:top w:val="none" w:sz="0" w:space="0" w:color="auto"/>
        <w:left w:val="none" w:sz="0" w:space="0" w:color="auto"/>
        <w:bottom w:val="none" w:sz="0" w:space="0" w:color="auto"/>
        <w:right w:val="none" w:sz="0" w:space="0" w:color="auto"/>
      </w:divBdr>
      <w:divsChild>
        <w:div w:id="212333339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76448840">
      <w:bodyDiv w:val="1"/>
      <w:marLeft w:val="0"/>
      <w:marRight w:val="0"/>
      <w:marTop w:val="0"/>
      <w:marBottom w:val="0"/>
      <w:divBdr>
        <w:top w:val="none" w:sz="0" w:space="0" w:color="auto"/>
        <w:left w:val="none" w:sz="0" w:space="0" w:color="auto"/>
        <w:bottom w:val="none" w:sz="0" w:space="0" w:color="auto"/>
        <w:right w:val="none" w:sz="0" w:space="0" w:color="auto"/>
      </w:divBdr>
    </w:div>
    <w:div w:id="976492485">
      <w:bodyDiv w:val="1"/>
      <w:marLeft w:val="0"/>
      <w:marRight w:val="0"/>
      <w:marTop w:val="0"/>
      <w:marBottom w:val="0"/>
      <w:divBdr>
        <w:top w:val="none" w:sz="0" w:space="0" w:color="auto"/>
        <w:left w:val="none" w:sz="0" w:space="0" w:color="auto"/>
        <w:bottom w:val="none" w:sz="0" w:space="0" w:color="auto"/>
        <w:right w:val="none" w:sz="0" w:space="0" w:color="auto"/>
      </w:divBdr>
    </w:div>
    <w:div w:id="977801572">
      <w:bodyDiv w:val="1"/>
      <w:marLeft w:val="0"/>
      <w:marRight w:val="0"/>
      <w:marTop w:val="0"/>
      <w:marBottom w:val="0"/>
      <w:divBdr>
        <w:top w:val="none" w:sz="0" w:space="0" w:color="auto"/>
        <w:left w:val="none" w:sz="0" w:space="0" w:color="auto"/>
        <w:bottom w:val="none" w:sz="0" w:space="0" w:color="auto"/>
        <w:right w:val="none" w:sz="0" w:space="0" w:color="auto"/>
      </w:divBdr>
    </w:div>
    <w:div w:id="981735917">
      <w:bodyDiv w:val="1"/>
      <w:marLeft w:val="0"/>
      <w:marRight w:val="0"/>
      <w:marTop w:val="0"/>
      <w:marBottom w:val="0"/>
      <w:divBdr>
        <w:top w:val="none" w:sz="0" w:space="0" w:color="auto"/>
        <w:left w:val="none" w:sz="0" w:space="0" w:color="auto"/>
        <w:bottom w:val="none" w:sz="0" w:space="0" w:color="auto"/>
        <w:right w:val="none" w:sz="0" w:space="0" w:color="auto"/>
      </w:divBdr>
    </w:div>
    <w:div w:id="989213859">
      <w:bodyDiv w:val="1"/>
      <w:marLeft w:val="0"/>
      <w:marRight w:val="0"/>
      <w:marTop w:val="0"/>
      <w:marBottom w:val="0"/>
      <w:divBdr>
        <w:top w:val="none" w:sz="0" w:space="0" w:color="auto"/>
        <w:left w:val="none" w:sz="0" w:space="0" w:color="auto"/>
        <w:bottom w:val="none" w:sz="0" w:space="0" w:color="auto"/>
        <w:right w:val="none" w:sz="0" w:space="0" w:color="auto"/>
      </w:divBdr>
    </w:div>
    <w:div w:id="989401794">
      <w:bodyDiv w:val="1"/>
      <w:marLeft w:val="0"/>
      <w:marRight w:val="0"/>
      <w:marTop w:val="0"/>
      <w:marBottom w:val="0"/>
      <w:divBdr>
        <w:top w:val="none" w:sz="0" w:space="0" w:color="auto"/>
        <w:left w:val="none" w:sz="0" w:space="0" w:color="auto"/>
        <w:bottom w:val="none" w:sz="0" w:space="0" w:color="auto"/>
        <w:right w:val="none" w:sz="0" w:space="0" w:color="auto"/>
      </w:divBdr>
    </w:div>
    <w:div w:id="1003360328">
      <w:bodyDiv w:val="1"/>
      <w:marLeft w:val="0"/>
      <w:marRight w:val="0"/>
      <w:marTop w:val="0"/>
      <w:marBottom w:val="0"/>
      <w:divBdr>
        <w:top w:val="none" w:sz="0" w:space="0" w:color="auto"/>
        <w:left w:val="none" w:sz="0" w:space="0" w:color="auto"/>
        <w:bottom w:val="none" w:sz="0" w:space="0" w:color="auto"/>
        <w:right w:val="none" w:sz="0" w:space="0" w:color="auto"/>
      </w:divBdr>
    </w:div>
    <w:div w:id="1004089663">
      <w:bodyDiv w:val="1"/>
      <w:marLeft w:val="0"/>
      <w:marRight w:val="0"/>
      <w:marTop w:val="0"/>
      <w:marBottom w:val="0"/>
      <w:divBdr>
        <w:top w:val="none" w:sz="0" w:space="0" w:color="auto"/>
        <w:left w:val="none" w:sz="0" w:space="0" w:color="auto"/>
        <w:bottom w:val="none" w:sz="0" w:space="0" w:color="auto"/>
        <w:right w:val="none" w:sz="0" w:space="0" w:color="auto"/>
      </w:divBdr>
    </w:div>
    <w:div w:id="1005087513">
      <w:bodyDiv w:val="1"/>
      <w:marLeft w:val="0"/>
      <w:marRight w:val="0"/>
      <w:marTop w:val="0"/>
      <w:marBottom w:val="0"/>
      <w:divBdr>
        <w:top w:val="none" w:sz="0" w:space="0" w:color="auto"/>
        <w:left w:val="none" w:sz="0" w:space="0" w:color="auto"/>
        <w:bottom w:val="none" w:sz="0" w:space="0" w:color="auto"/>
        <w:right w:val="none" w:sz="0" w:space="0" w:color="auto"/>
      </w:divBdr>
    </w:div>
    <w:div w:id="1010527300">
      <w:bodyDiv w:val="1"/>
      <w:marLeft w:val="0"/>
      <w:marRight w:val="0"/>
      <w:marTop w:val="0"/>
      <w:marBottom w:val="0"/>
      <w:divBdr>
        <w:top w:val="none" w:sz="0" w:space="0" w:color="auto"/>
        <w:left w:val="none" w:sz="0" w:space="0" w:color="auto"/>
        <w:bottom w:val="none" w:sz="0" w:space="0" w:color="auto"/>
        <w:right w:val="none" w:sz="0" w:space="0" w:color="auto"/>
      </w:divBdr>
    </w:div>
    <w:div w:id="1014958328">
      <w:bodyDiv w:val="1"/>
      <w:marLeft w:val="0"/>
      <w:marRight w:val="0"/>
      <w:marTop w:val="0"/>
      <w:marBottom w:val="0"/>
      <w:divBdr>
        <w:top w:val="none" w:sz="0" w:space="0" w:color="auto"/>
        <w:left w:val="none" w:sz="0" w:space="0" w:color="auto"/>
        <w:bottom w:val="none" w:sz="0" w:space="0" w:color="auto"/>
        <w:right w:val="none" w:sz="0" w:space="0" w:color="auto"/>
      </w:divBdr>
    </w:div>
    <w:div w:id="1021587823">
      <w:bodyDiv w:val="1"/>
      <w:marLeft w:val="0"/>
      <w:marRight w:val="0"/>
      <w:marTop w:val="0"/>
      <w:marBottom w:val="0"/>
      <w:divBdr>
        <w:top w:val="none" w:sz="0" w:space="0" w:color="auto"/>
        <w:left w:val="none" w:sz="0" w:space="0" w:color="auto"/>
        <w:bottom w:val="none" w:sz="0" w:space="0" w:color="auto"/>
        <w:right w:val="none" w:sz="0" w:space="0" w:color="auto"/>
      </w:divBdr>
    </w:div>
    <w:div w:id="1024015861">
      <w:bodyDiv w:val="1"/>
      <w:marLeft w:val="0"/>
      <w:marRight w:val="0"/>
      <w:marTop w:val="0"/>
      <w:marBottom w:val="0"/>
      <w:divBdr>
        <w:top w:val="none" w:sz="0" w:space="0" w:color="auto"/>
        <w:left w:val="none" w:sz="0" w:space="0" w:color="auto"/>
        <w:bottom w:val="none" w:sz="0" w:space="0" w:color="auto"/>
        <w:right w:val="none" w:sz="0" w:space="0" w:color="auto"/>
      </w:divBdr>
    </w:div>
    <w:div w:id="1033075004">
      <w:bodyDiv w:val="1"/>
      <w:marLeft w:val="0"/>
      <w:marRight w:val="0"/>
      <w:marTop w:val="0"/>
      <w:marBottom w:val="0"/>
      <w:divBdr>
        <w:top w:val="none" w:sz="0" w:space="0" w:color="auto"/>
        <w:left w:val="none" w:sz="0" w:space="0" w:color="auto"/>
        <w:bottom w:val="none" w:sz="0" w:space="0" w:color="auto"/>
        <w:right w:val="none" w:sz="0" w:space="0" w:color="auto"/>
      </w:divBdr>
    </w:div>
    <w:div w:id="1035739407">
      <w:bodyDiv w:val="1"/>
      <w:marLeft w:val="0"/>
      <w:marRight w:val="0"/>
      <w:marTop w:val="0"/>
      <w:marBottom w:val="0"/>
      <w:divBdr>
        <w:top w:val="none" w:sz="0" w:space="0" w:color="auto"/>
        <w:left w:val="none" w:sz="0" w:space="0" w:color="auto"/>
        <w:bottom w:val="none" w:sz="0" w:space="0" w:color="auto"/>
        <w:right w:val="none" w:sz="0" w:space="0" w:color="auto"/>
      </w:divBdr>
    </w:div>
    <w:div w:id="1039478903">
      <w:bodyDiv w:val="1"/>
      <w:marLeft w:val="0"/>
      <w:marRight w:val="0"/>
      <w:marTop w:val="0"/>
      <w:marBottom w:val="0"/>
      <w:divBdr>
        <w:top w:val="none" w:sz="0" w:space="0" w:color="auto"/>
        <w:left w:val="none" w:sz="0" w:space="0" w:color="auto"/>
        <w:bottom w:val="none" w:sz="0" w:space="0" w:color="auto"/>
        <w:right w:val="none" w:sz="0" w:space="0" w:color="auto"/>
      </w:divBdr>
      <w:divsChild>
        <w:div w:id="5014378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45131794">
      <w:bodyDiv w:val="1"/>
      <w:marLeft w:val="0"/>
      <w:marRight w:val="0"/>
      <w:marTop w:val="0"/>
      <w:marBottom w:val="0"/>
      <w:divBdr>
        <w:top w:val="none" w:sz="0" w:space="0" w:color="auto"/>
        <w:left w:val="none" w:sz="0" w:space="0" w:color="auto"/>
        <w:bottom w:val="none" w:sz="0" w:space="0" w:color="auto"/>
        <w:right w:val="none" w:sz="0" w:space="0" w:color="auto"/>
      </w:divBdr>
    </w:div>
    <w:div w:id="1045525764">
      <w:bodyDiv w:val="1"/>
      <w:marLeft w:val="0"/>
      <w:marRight w:val="0"/>
      <w:marTop w:val="0"/>
      <w:marBottom w:val="0"/>
      <w:divBdr>
        <w:top w:val="none" w:sz="0" w:space="0" w:color="auto"/>
        <w:left w:val="none" w:sz="0" w:space="0" w:color="auto"/>
        <w:bottom w:val="none" w:sz="0" w:space="0" w:color="auto"/>
        <w:right w:val="none" w:sz="0" w:space="0" w:color="auto"/>
      </w:divBdr>
    </w:div>
    <w:div w:id="1047531130">
      <w:bodyDiv w:val="1"/>
      <w:marLeft w:val="0"/>
      <w:marRight w:val="0"/>
      <w:marTop w:val="0"/>
      <w:marBottom w:val="0"/>
      <w:divBdr>
        <w:top w:val="none" w:sz="0" w:space="0" w:color="auto"/>
        <w:left w:val="none" w:sz="0" w:space="0" w:color="auto"/>
        <w:bottom w:val="none" w:sz="0" w:space="0" w:color="auto"/>
        <w:right w:val="none" w:sz="0" w:space="0" w:color="auto"/>
      </w:divBdr>
    </w:div>
    <w:div w:id="1053428948">
      <w:bodyDiv w:val="1"/>
      <w:marLeft w:val="0"/>
      <w:marRight w:val="0"/>
      <w:marTop w:val="0"/>
      <w:marBottom w:val="0"/>
      <w:divBdr>
        <w:top w:val="none" w:sz="0" w:space="0" w:color="auto"/>
        <w:left w:val="none" w:sz="0" w:space="0" w:color="auto"/>
        <w:bottom w:val="none" w:sz="0" w:space="0" w:color="auto"/>
        <w:right w:val="none" w:sz="0" w:space="0" w:color="auto"/>
      </w:divBdr>
    </w:div>
    <w:div w:id="1057095839">
      <w:bodyDiv w:val="1"/>
      <w:marLeft w:val="0"/>
      <w:marRight w:val="0"/>
      <w:marTop w:val="0"/>
      <w:marBottom w:val="0"/>
      <w:divBdr>
        <w:top w:val="none" w:sz="0" w:space="0" w:color="auto"/>
        <w:left w:val="none" w:sz="0" w:space="0" w:color="auto"/>
        <w:bottom w:val="none" w:sz="0" w:space="0" w:color="auto"/>
        <w:right w:val="none" w:sz="0" w:space="0" w:color="auto"/>
      </w:divBdr>
    </w:div>
    <w:div w:id="1059135975">
      <w:bodyDiv w:val="1"/>
      <w:marLeft w:val="0"/>
      <w:marRight w:val="0"/>
      <w:marTop w:val="0"/>
      <w:marBottom w:val="0"/>
      <w:divBdr>
        <w:top w:val="none" w:sz="0" w:space="0" w:color="auto"/>
        <w:left w:val="none" w:sz="0" w:space="0" w:color="auto"/>
        <w:bottom w:val="none" w:sz="0" w:space="0" w:color="auto"/>
        <w:right w:val="none" w:sz="0" w:space="0" w:color="auto"/>
      </w:divBdr>
    </w:div>
    <w:div w:id="1066369011">
      <w:bodyDiv w:val="1"/>
      <w:marLeft w:val="0"/>
      <w:marRight w:val="0"/>
      <w:marTop w:val="0"/>
      <w:marBottom w:val="0"/>
      <w:divBdr>
        <w:top w:val="none" w:sz="0" w:space="0" w:color="auto"/>
        <w:left w:val="none" w:sz="0" w:space="0" w:color="auto"/>
        <w:bottom w:val="none" w:sz="0" w:space="0" w:color="auto"/>
        <w:right w:val="none" w:sz="0" w:space="0" w:color="auto"/>
      </w:divBdr>
    </w:div>
    <w:div w:id="1070075596">
      <w:bodyDiv w:val="1"/>
      <w:marLeft w:val="0"/>
      <w:marRight w:val="0"/>
      <w:marTop w:val="0"/>
      <w:marBottom w:val="0"/>
      <w:divBdr>
        <w:top w:val="none" w:sz="0" w:space="0" w:color="auto"/>
        <w:left w:val="none" w:sz="0" w:space="0" w:color="auto"/>
        <w:bottom w:val="none" w:sz="0" w:space="0" w:color="auto"/>
        <w:right w:val="none" w:sz="0" w:space="0" w:color="auto"/>
      </w:divBdr>
    </w:div>
    <w:div w:id="1074356506">
      <w:bodyDiv w:val="1"/>
      <w:marLeft w:val="0"/>
      <w:marRight w:val="0"/>
      <w:marTop w:val="0"/>
      <w:marBottom w:val="0"/>
      <w:divBdr>
        <w:top w:val="none" w:sz="0" w:space="0" w:color="auto"/>
        <w:left w:val="none" w:sz="0" w:space="0" w:color="auto"/>
        <w:bottom w:val="none" w:sz="0" w:space="0" w:color="auto"/>
        <w:right w:val="none" w:sz="0" w:space="0" w:color="auto"/>
      </w:divBdr>
      <w:divsChild>
        <w:div w:id="168952894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77366498">
      <w:bodyDiv w:val="1"/>
      <w:marLeft w:val="0"/>
      <w:marRight w:val="0"/>
      <w:marTop w:val="0"/>
      <w:marBottom w:val="0"/>
      <w:divBdr>
        <w:top w:val="none" w:sz="0" w:space="0" w:color="auto"/>
        <w:left w:val="none" w:sz="0" w:space="0" w:color="auto"/>
        <w:bottom w:val="none" w:sz="0" w:space="0" w:color="auto"/>
        <w:right w:val="none" w:sz="0" w:space="0" w:color="auto"/>
      </w:divBdr>
    </w:div>
    <w:div w:id="1082996085">
      <w:bodyDiv w:val="1"/>
      <w:marLeft w:val="0"/>
      <w:marRight w:val="0"/>
      <w:marTop w:val="0"/>
      <w:marBottom w:val="0"/>
      <w:divBdr>
        <w:top w:val="none" w:sz="0" w:space="0" w:color="auto"/>
        <w:left w:val="none" w:sz="0" w:space="0" w:color="auto"/>
        <w:bottom w:val="none" w:sz="0" w:space="0" w:color="auto"/>
        <w:right w:val="none" w:sz="0" w:space="0" w:color="auto"/>
      </w:divBdr>
    </w:div>
    <w:div w:id="1089156076">
      <w:bodyDiv w:val="1"/>
      <w:marLeft w:val="0"/>
      <w:marRight w:val="0"/>
      <w:marTop w:val="0"/>
      <w:marBottom w:val="0"/>
      <w:divBdr>
        <w:top w:val="none" w:sz="0" w:space="0" w:color="auto"/>
        <w:left w:val="none" w:sz="0" w:space="0" w:color="auto"/>
        <w:bottom w:val="none" w:sz="0" w:space="0" w:color="auto"/>
        <w:right w:val="none" w:sz="0" w:space="0" w:color="auto"/>
      </w:divBdr>
    </w:div>
    <w:div w:id="1091392389">
      <w:bodyDiv w:val="1"/>
      <w:marLeft w:val="0"/>
      <w:marRight w:val="0"/>
      <w:marTop w:val="0"/>
      <w:marBottom w:val="0"/>
      <w:divBdr>
        <w:top w:val="none" w:sz="0" w:space="0" w:color="auto"/>
        <w:left w:val="none" w:sz="0" w:space="0" w:color="auto"/>
        <w:bottom w:val="none" w:sz="0" w:space="0" w:color="auto"/>
        <w:right w:val="none" w:sz="0" w:space="0" w:color="auto"/>
      </w:divBdr>
    </w:div>
    <w:div w:id="1093477935">
      <w:bodyDiv w:val="1"/>
      <w:marLeft w:val="0"/>
      <w:marRight w:val="0"/>
      <w:marTop w:val="0"/>
      <w:marBottom w:val="0"/>
      <w:divBdr>
        <w:top w:val="none" w:sz="0" w:space="0" w:color="auto"/>
        <w:left w:val="none" w:sz="0" w:space="0" w:color="auto"/>
        <w:bottom w:val="none" w:sz="0" w:space="0" w:color="auto"/>
        <w:right w:val="none" w:sz="0" w:space="0" w:color="auto"/>
      </w:divBdr>
      <w:divsChild>
        <w:div w:id="3705705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094519175">
      <w:bodyDiv w:val="1"/>
      <w:marLeft w:val="0"/>
      <w:marRight w:val="0"/>
      <w:marTop w:val="0"/>
      <w:marBottom w:val="0"/>
      <w:divBdr>
        <w:top w:val="none" w:sz="0" w:space="0" w:color="auto"/>
        <w:left w:val="none" w:sz="0" w:space="0" w:color="auto"/>
        <w:bottom w:val="none" w:sz="0" w:space="0" w:color="auto"/>
        <w:right w:val="none" w:sz="0" w:space="0" w:color="auto"/>
      </w:divBdr>
    </w:div>
    <w:div w:id="1094786359">
      <w:bodyDiv w:val="1"/>
      <w:marLeft w:val="0"/>
      <w:marRight w:val="0"/>
      <w:marTop w:val="0"/>
      <w:marBottom w:val="0"/>
      <w:divBdr>
        <w:top w:val="none" w:sz="0" w:space="0" w:color="auto"/>
        <w:left w:val="none" w:sz="0" w:space="0" w:color="auto"/>
        <w:bottom w:val="none" w:sz="0" w:space="0" w:color="auto"/>
        <w:right w:val="none" w:sz="0" w:space="0" w:color="auto"/>
      </w:divBdr>
    </w:div>
    <w:div w:id="1096555336">
      <w:bodyDiv w:val="1"/>
      <w:marLeft w:val="0"/>
      <w:marRight w:val="0"/>
      <w:marTop w:val="0"/>
      <w:marBottom w:val="0"/>
      <w:divBdr>
        <w:top w:val="none" w:sz="0" w:space="0" w:color="auto"/>
        <w:left w:val="none" w:sz="0" w:space="0" w:color="auto"/>
        <w:bottom w:val="none" w:sz="0" w:space="0" w:color="auto"/>
        <w:right w:val="none" w:sz="0" w:space="0" w:color="auto"/>
      </w:divBdr>
    </w:div>
    <w:div w:id="1097093113">
      <w:bodyDiv w:val="1"/>
      <w:marLeft w:val="0"/>
      <w:marRight w:val="0"/>
      <w:marTop w:val="0"/>
      <w:marBottom w:val="0"/>
      <w:divBdr>
        <w:top w:val="none" w:sz="0" w:space="0" w:color="auto"/>
        <w:left w:val="none" w:sz="0" w:space="0" w:color="auto"/>
        <w:bottom w:val="none" w:sz="0" w:space="0" w:color="auto"/>
        <w:right w:val="none" w:sz="0" w:space="0" w:color="auto"/>
      </w:divBdr>
      <w:divsChild>
        <w:div w:id="3221251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00834537">
      <w:bodyDiv w:val="1"/>
      <w:marLeft w:val="0"/>
      <w:marRight w:val="0"/>
      <w:marTop w:val="0"/>
      <w:marBottom w:val="0"/>
      <w:divBdr>
        <w:top w:val="none" w:sz="0" w:space="0" w:color="auto"/>
        <w:left w:val="none" w:sz="0" w:space="0" w:color="auto"/>
        <w:bottom w:val="none" w:sz="0" w:space="0" w:color="auto"/>
        <w:right w:val="none" w:sz="0" w:space="0" w:color="auto"/>
      </w:divBdr>
    </w:div>
    <w:div w:id="1103304855">
      <w:bodyDiv w:val="1"/>
      <w:marLeft w:val="0"/>
      <w:marRight w:val="0"/>
      <w:marTop w:val="0"/>
      <w:marBottom w:val="0"/>
      <w:divBdr>
        <w:top w:val="none" w:sz="0" w:space="0" w:color="auto"/>
        <w:left w:val="none" w:sz="0" w:space="0" w:color="auto"/>
        <w:bottom w:val="none" w:sz="0" w:space="0" w:color="auto"/>
        <w:right w:val="none" w:sz="0" w:space="0" w:color="auto"/>
      </w:divBdr>
    </w:div>
    <w:div w:id="1106653251">
      <w:bodyDiv w:val="1"/>
      <w:marLeft w:val="0"/>
      <w:marRight w:val="0"/>
      <w:marTop w:val="0"/>
      <w:marBottom w:val="0"/>
      <w:divBdr>
        <w:top w:val="none" w:sz="0" w:space="0" w:color="auto"/>
        <w:left w:val="none" w:sz="0" w:space="0" w:color="auto"/>
        <w:bottom w:val="none" w:sz="0" w:space="0" w:color="auto"/>
        <w:right w:val="none" w:sz="0" w:space="0" w:color="auto"/>
      </w:divBdr>
    </w:div>
    <w:div w:id="1110587666">
      <w:bodyDiv w:val="1"/>
      <w:marLeft w:val="0"/>
      <w:marRight w:val="0"/>
      <w:marTop w:val="0"/>
      <w:marBottom w:val="0"/>
      <w:divBdr>
        <w:top w:val="none" w:sz="0" w:space="0" w:color="auto"/>
        <w:left w:val="none" w:sz="0" w:space="0" w:color="auto"/>
        <w:bottom w:val="none" w:sz="0" w:space="0" w:color="auto"/>
        <w:right w:val="none" w:sz="0" w:space="0" w:color="auto"/>
      </w:divBdr>
    </w:div>
    <w:div w:id="1116411040">
      <w:bodyDiv w:val="1"/>
      <w:marLeft w:val="0"/>
      <w:marRight w:val="0"/>
      <w:marTop w:val="0"/>
      <w:marBottom w:val="0"/>
      <w:divBdr>
        <w:top w:val="none" w:sz="0" w:space="0" w:color="auto"/>
        <w:left w:val="none" w:sz="0" w:space="0" w:color="auto"/>
        <w:bottom w:val="none" w:sz="0" w:space="0" w:color="auto"/>
        <w:right w:val="none" w:sz="0" w:space="0" w:color="auto"/>
      </w:divBdr>
    </w:div>
    <w:div w:id="1116949786">
      <w:bodyDiv w:val="1"/>
      <w:marLeft w:val="0"/>
      <w:marRight w:val="0"/>
      <w:marTop w:val="0"/>
      <w:marBottom w:val="0"/>
      <w:divBdr>
        <w:top w:val="none" w:sz="0" w:space="0" w:color="auto"/>
        <w:left w:val="none" w:sz="0" w:space="0" w:color="auto"/>
        <w:bottom w:val="none" w:sz="0" w:space="0" w:color="auto"/>
        <w:right w:val="none" w:sz="0" w:space="0" w:color="auto"/>
      </w:divBdr>
      <w:divsChild>
        <w:div w:id="13007663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20687125">
      <w:bodyDiv w:val="1"/>
      <w:marLeft w:val="0"/>
      <w:marRight w:val="0"/>
      <w:marTop w:val="0"/>
      <w:marBottom w:val="0"/>
      <w:divBdr>
        <w:top w:val="none" w:sz="0" w:space="0" w:color="auto"/>
        <w:left w:val="none" w:sz="0" w:space="0" w:color="auto"/>
        <w:bottom w:val="none" w:sz="0" w:space="0" w:color="auto"/>
        <w:right w:val="none" w:sz="0" w:space="0" w:color="auto"/>
      </w:divBdr>
    </w:div>
    <w:div w:id="1126046836">
      <w:bodyDiv w:val="1"/>
      <w:marLeft w:val="0"/>
      <w:marRight w:val="0"/>
      <w:marTop w:val="0"/>
      <w:marBottom w:val="0"/>
      <w:divBdr>
        <w:top w:val="none" w:sz="0" w:space="0" w:color="auto"/>
        <w:left w:val="none" w:sz="0" w:space="0" w:color="auto"/>
        <w:bottom w:val="none" w:sz="0" w:space="0" w:color="auto"/>
        <w:right w:val="none" w:sz="0" w:space="0" w:color="auto"/>
      </w:divBdr>
    </w:div>
    <w:div w:id="1142045640">
      <w:bodyDiv w:val="1"/>
      <w:marLeft w:val="0"/>
      <w:marRight w:val="0"/>
      <w:marTop w:val="0"/>
      <w:marBottom w:val="0"/>
      <w:divBdr>
        <w:top w:val="none" w:sz="0" w:space="0" w:color="auto"/>
        <w:left w:val="none" w:sz="0" w:space="0" w:color="auto"/>
        <w:bottom w:val="none" w:sz="0" w:space="0" w:color="auto"/>
        <w:right w:val="none" w:sz="0" w:space="0" w:color="auto"/>
      </w:divBdr>
    </w:div>
    <w:div w:id="1143540981">
      <w:bodyDiv w:val="1"/>
      <w:marLeft w:val="0"/>
      <w:marRight w:val="0"/>
      <w:marTop w:val="0"/>
      <w:marBottom w:val="0"/>
      <w:divBdr>
        <w:top w:val="none" w:sz="0" w:space="0" w:color="auto"/>
        <w:left w:val="none" w:sz="0" w:space="0" w:color="auto"/>
        <w:bottom w:val="none" w:sz="0" w:space="0" w:color="auto"/>
        <w:right w:val="none" w:sz="0" w:space="0" w:color="auto"/>
      </w:divBdr>
    </w:div>
    <w:div w:id="1144852255">
      <w:bodyDiv w:val="1"/>
      <w:marLeft w:val="0"/>
      <w:marRight w:val="0"/>
      <w:marTop w:val="0"/>
      <w:marBottom w:val="0"/>
      <w:divBdr>
        <w:top w:val="none" w:sz="0" w:space="0" w:color="auto"/>
        <w:left w:val="none" w:sz="0" w:space="0" w:color="auto"/>
        <w:bottom w:val="none" w:sz="0" w:space="0" w:color="auto"/>
        <w:right w:val="none" w:sz="0" w:space="0" w:color="auto"/>
      </w:divBdr>
    </w:div>
    <w:div w:id="1147014782">
      <w:bodyDiv w:val="1"/>
      <w:marLeft w:val="0"/>
      <w:marRight w:val="0"/>
      <w:marTop w:val="0"/>
      <w:marBottom w:val="0"/>
      <w:divBdr>
        <w:top w:val="none" w:sz="0" w:space="0" w:color="auto"/>
        <w:left w:val="none" w:sz="0" w:space="0" w:color="auto"/>
        <w:bottom w:val="none" w:sz="0" w:space="0" w:color="auto"/>
        <w:right w:val="none" w:sz="0" w:space="0" w:color="auto"/>
      </w:divBdr>
    </w:div>
    <w:div w:id="1151362826">
      <w:bodyDiv w:val="1"/>
      <w:marLeft w:val="0"/>
      <w:marRight w:val="0"/>
      <w:marTop w:val="0"/>
      <w:marBottom w:val="0"/>
      <w:divBdr>
        <w:top w:val="none" w:sz="0" w:space="0" w:color="auto"/>
        <w:left w:val="none" w:sz="0" w:space="0" w:color="auto"/>
        <w:bottom w:val="none" w:sz="0" w:space="0" w:color="auto"/>
        <w:right w:val="none" w:sz="0" w:space="0" w:color="auto"/>
      </w:divBdr>
    </w:div>
    <w:div w:id="1152873868">
      <w:bodyDiv w:val="1"/>
      <w:marLeft w:val="0"/>
      <w:marRight w:val="0"/>
      <w:marTop w:val="0"/>
      <w:marBottom w:val="0"/>
      <w:divBdr>
        <w:top w:val="none" w:sz="0" w:space="0" w:color="auto"/>
        <w:left w:val="none" w:sz="0" w:space="0" w:color="auto"/>
        <w:bottom w:val="none" w:sz="0" w:space="0" w:color="auto"/>
        <w:right w:val="none" w:sz="0" w:space="0" w:color="auto"/>
      </w:divBdr>
    </w:div>
    <w:div w:id="1153722523">
      <w:bodyDiv w:val="1"/>
      <w:marLeft w:val="0"/>
      <w:marRight w:val="0"/>
      <w:marTop w:val="0"/>
      <w:marBottom w:val="0"/>
      <w:divBdr>
        <w:top w:val="none" w:sz="0" w:space="0" w:color="auto"/>
        <w:left w:val="none" w:sz="0" w:space="0" w:color="auto"/>
        <w:bottom w:val="none" w:sz="0" w:space="0" w:color="auto"/>
        <w:right w:val="none" w:sz="0" w:space="0" w:color="auto"/>
      </w:divBdr>
    </w:div>
    <w:div w:id="1158226534">
      <w:bodyDiv w:val="1"/>
      <w:marLeft w:val="0"/>
      <w:marRight w:val="0"/>
      <w:marTop w:val="0"/>
      <w:marBottom w:val="0"/>
      <w:divBdr>
        <w:top w:val="none" w:sz="0" w:space="0" w:color="auto"/>
        <w:left w:val="none" w:sz="0" w:space="0" w:color="auto"/>
        <w:bottom w:val="none" w:sz="0" w:space="0" w:color="auto"/>
        <w:right w:val="none" w:sz="0" w:space="0" w:color="auto"/>
      </w:divBdr>
    </w:div>
    <w:div w:id="1163741404">
      <w:bodyDiv w:val="1"/>
      <w:marLeft w:val="0"/>
      <w:marRight w:val="0"/>
      <w:marTop w:val="0"/>
      <w:marBottom w:val="0"/>
      <w:divBdr>
        <w:top w:val="none" w:sz="0" w:space="0" w:color="auto"/>
        <w:left w:val="none" w:sz="0" w:space="0" w:color="auto"/>
        <w:bottom w:val="none" w:sz="0" w:space="0" w:color="auto"/>
        <w:right w:val="none" w:sz="0" w:space="0" w:color="auto"/>
      </w:divBdr>
    </w:div>
    <w:div w:id="1163862573">
      <w:bodyDiv w:val="1"/>
      <w:marLeft w:val="0"/>
      <w:marRight w:val="0"/>
      <w:marTop w:val="0"/>
      <w:marBottom w:val="0"/>
      <w:divBdr>
        <w:top w:val="none" w:sz="0" w:space="0" w:color="auto"/>
        <w:left w:val="none" w:sz="0" w:space="0" w:color="auto"/>
        <w:bottom w:val="none" w:sz="0" w:space="0" w:color="auto"/>
        <w:right w:val="none" w:sz="0" w:space="0" w:color="auto"/>
      </w:divBdr>
    </w:div>
    <w:div w:id="1165707310">
      <w:bodyDiv w:val="1"/>
      <w:marLeft w:val="0"/>
      <w:marRight w:val="0"/>
      <w:marTop w:val="0"/>
      <w:marBottom w:val="0"/>
      <w:divBdr>
        <w:top w:val="none" w:sz="0" w:space="0" w:color="auto"/>
        <w:left w:val="none" w:sz="0" w:space="0" w:color="auto"/>
        <w:bottom w:val="none" w:sz="0" w:space="0" w:color="auto"/>
        <w:right w:val="none" w:sz="0" w:space="0" w:color="auto"/>
      </w:divBdr>
    </w:div>
    <w:div w:id="1166439279">
      <w:bodyDiv w:val="1"/>
      <w:marLeft w:val="0"/>
      <w:marRight w:val="0"/>
      <w:marTop w:val="0"/>
      <w:marBottom w:val="0"/>
      <w:divBdr>
        <w:top w:val="none" w:sz="0" w:space="0" w:color="auto"/>
        <w:left w:val="none" w:sz="0" w:space="0" w:color="auto"/>
        <w:bottom w:val="none" w:sz="0" w:space="0" w:color="auto"/>
        <w:right w:val="none" w:sz="0" w:space="0" w:color="auto"/>
      </w:divBdr>
    </w:div>
    <w:div w:id="1166744223">
      <w:bodyDiv w:val="1"/>
      <w:marLeft w:val="0"/>
      <w:marRight w:val="0"/>
      <w:marTop w:val="0"/>
      <w:marBottom w:val="0"/>
      <w:divBdr>
        <w:top w:val="none" w:sz="0" w:space="0" w:color="auto"/>
        <w:left w:val="none" w:sz="0" w:space="0" w:color="auto"/>
        <w:bottom w:val="none" w:sz="0" w:space="0" w:color="auto"/>
        <w:right w:val="none" w:sz="0" w:space="0" w:color="auto"/>
      </w:divBdr>
    </w:div>
    <w:div w:id="1169253021">
      <w:bodyDiv w:val="1"/>
      <w:marLeft w:val="0"/>
      <w:marRight w:val="0"/>
      <w:marTop w:val="0"/>
      <w:marBottom w:val="0"/>
      <w:divBdr>
        <w:top w:val="none" w:sz="0" w:space="0" w:color="auto"/>
        <w:left w:val="none" w:sz="0" w:space="0" w:color="auto"/>
        <w:bottom w:val="none" w:sz="0" w:space="0" w:color="auto"/>
        <w:right w:val="none" w:sz="0" w:space="0" w:color="auto"/>
      </w:divBdr>
      <w:divsChild>
        <w:div w:id="81313715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71068588">
      <w:bodyDiv w:val="1"/>
      <w:marLeft w:val="0"/>
      <w:marRight w:val="0"/>
      <w:marTop w:val="0"/>
      <w:marBottom w:val="0"/>
      <w:divBdr>
        <w:top w:val="none" w:sz="0" w:space="0" w:color="auto"/>
        <w:left w:val="none" w:sz="0" w:space="0" w:color="auto"/>
        <w:bottom w:val="none" w:sz="0" w:space="0" w:color="auto"/>
        <w:right w:val="none" w:sz="0" w:space="0" w:color="auto"/>
      </w:divBdr>
      <w:divsChild>
        <w:div w:id="17099862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75345772">
      <w:bodyDiv w:val="1"/>
      <w:marLeft w:val="0"/>
      <w:marRight w:val="0"/>
      <w:marTop w:val="0"/>
      <w:marBottom w:val="0"/>
      <w:divBdr>
        <w:top w:val="none" w:sz="0" w:space="0" w:color="auto"/>
        <w:left w:val="none" w:sz="0" w:space="0" w:color="auto"/>
        <w:bottom w:val="none" w:sz="0" w:space="0" w:color="auto"/>
        <w:right w:val="none" w:sz="0" w:space="0" w:color="auto"/>
      </w:divBdr>
    </w:div>
    <w:div w:id="1188982429">
      <w:bodyDiv w:val="1"/>
      <w:marLeft w:val="0"/>
      <w:marRight w:val="0"/>
      <w:marTop w:val="0"/>
      <w:marBottom w:val="0"/>
      <w:divBdr>
        <w:top w:val="none" w:sz="0" w:space="0" w:color="auto"/>
        <w:left w:val="none" w:sz="0" w:space="0" w:color="auto"/>
        <w:bottom w:val="none" w:sz="0" w:space="0" w:color="auto"/>
        <w:right w:val="none" w:sz="0" w:space="0" w:color="auto"/>
      </w:divBdr>
      <w:divsChild>
        <w:div w:id="103646374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91721763">
      <w:bodyDiv w:val="1"/>
      <w:marLeft w:val="0"/>
      <w:marRight w:val="0"/>
      <w:marTop w:val="0"/>
      <w:marBottom w:val="0"/>
      <w:divBdr>
        <w:top w:val="none" w:sz="0" w:space="0" w:color="auto"/>
        <w:left w:val="none" w:sz="0" w:space="0" w:color="auto"/>
        <w:bottom w:val="none" w:sz="0" w:space="0" w:color="auto"/>
        <w:right w:val="none" w:sz="0" w:space="0" w:color="auto"/>
      </w:divBdr>
      <w:divsChild>
        <w:div w:id="190181884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00783032">
      <w:bodyDiv w:val="1"/>
      <w:marLeft w:val="0"/>
      <w:marRight w:val="0"/>
      <w:marTop w:val="0"/>
      <w:marBottom w:val="0"/>
      <w:divBdr>
        <w:top w:val="none" w:sz="0" w:space="0" w:color="auto"/>
        <w:left w:val="none" w:sz="0" w:space="0" w:color="auto"/>
        <w:bottom w:val="none" w:sz="0" w:space="0" w:color="auto"/>
        <w:right w:val="none" w:sz="0" w:space="0" w:color="auto"/>
      </w:divBdr>
    </w:div>
    <w:div w:id="1201170045">
      <w:bodyDiv w:val="1"/>
      <w:marLeft w:val="0"/>
      <w:marRight w:val="0"/>
      <w:marTop w:val="0"/>
      <w:marBottom w:val="0"/>
      <w:divBdr>
        <w:top w:val="none" w:sz="0" w:space="0" w:color="auto"/>
        <w:left w:val="none" w:sz="0" w:space="0" w:color="auto"/>
        <w:bottom w:val="none" w:sz="0" w:space="0" w:color="auto"/>
        <w:right w:val="none" w:sz="0" w:space="0" w:color="auto"/>
      </w:divBdr>
    </w:div>
    <w:div w:id="1201625286">
      <w:bodyDiv w:val="1"/>
      <w:marLeft w:val="0"/>
      <w:marRight w:val="0"/>
      <w:marTop w:val="0"/>
      <w:marBottom w:val="0"/>
      <w:divBdr>
        <w:top w:val="none" w:sz="0" w:space="0" w:color="auto"/>
        <w:left w:val="none" w:sz="0" w:space="0" w:color="auto"/>
        <w:bottom w:val="none" w:sz="0" w:space="0" w:color="auto"/>
        <w:right w:val="none" w:sz="0" w:space="0" w:color="auto"/>
      </w:divBdr>
    </w:div>
    <w:div w:id="1202090151">
      <w:bodyDiv w:val="1"/>
      <w:marLeft w:val="0"/>
      <w:marRight w:val="0"/>
      <w:marTop w:val="0"/>
      <w:marBottom w:val="0"/>
      <w:divBdr>
        <w:top w:val="none" w:sz="0" w:space="0" w:color="auto"/>
        <w:left w:val="none" w:sz="0" w:space="0" w:color="auto"/>
        <w:bottom w:val="none" w:sz="0" w:space="0" w:color="auto"/>
        <w:right w:val="none" w:sz="0" w:space="0" w:color="auto"/>
      </w:divBdr>
    </w:div>
    <w:div w:id="1213149152">
      <w:bodyDiv w:val="1"/>
      <w:marLeft w:val="0"/>
      <w:marRight w:val="0"/>
      <w:marTop w:val="0"/>
      <w:marBottom w:val="0"/>
      <w:divBdr>
        <w:top w:val="none" w:sz="0" w:space="0" w:color="auto"/>
        <w:left w:val="none" w:sz="0" w:space="0" w:color="auto"/>
        <w:bottom w:val="none" w:sz="0" w:space="0" w:color="auto"/>
        <w:right w:val="none" w:sz="0" w:space="0" w:color="auto"/>
      </w:divBdr>
    </w:div>
    <w:div w:id="1213351153">
      <w:bodyDiv w:val="1"/>
      <w:marLeft w:val="0"/>
      <w:marRight w:val="0"/>
      <w:marTop w:val="0"/>
      <w:marBottom w:val="0"/>
      <w:divBdr>
        <w:top w:val="none" w:sz="0" w:space="0" w:color="auto"/>
        <w:left w:val="none" w:sz="0" w:space="0" w:color="auto"/>
        <w:bottom w:val="none" w:sz="0" w:space="0" w:color="auto"/>
        <w:right w:val="none" w:sz="0" w:space="0" w:color="auto"/>
      </w:divBdr>
    </w:div>
    <w:div w:id="1213812416">
      <w:bodyDiv w:val="1"/>
      <w:marLeft w:val="0"/>
      <w:marRight w:val="0"/>
      <w:marTop w:val="0"/>
      <w:marBottom w:val="0"/>
      <w:divBdr>
        <w:top w:val="none" w:sz="0" w:space="0" w:color="auto"/>
        <w:left w:val="none" w:sz="0" w:space="0" w:color="auto"/>
        <w:bottom w:val="none" w:sz="0" w:space="0" w:color="auto"/>
        <w:right w:val="none" w:sz="0" w:space="0" w:color="auto"/>
      </w:divBdr>
    </w:div>
    <w:div w:id="1216545257">
      <w:bodyDiv w:val="1"/>
      <w:marLeft w:val="0"/>
      <w:marRight w:val="0"/>
      <w:marTop w:val="0"/>
      <w:marBottom w:val="0"/>
      <w:divBdr>
        <w:top w:val="none" w:sz="0" w:space="0" w:color="auto"/>
        <w:left w:val="none" w:sz="0" w:space="0" w:color="auto"/>
        <w:bottom w:val="none" w:sz="0" w:space="0" w:color="auto"/>
        <w:right w:val="none" w:sz="0" w:space="0" w:color="auto"/>
      </w:divBdr>
    </w:div>
    <w:div w:id="1225213262">
      <w:bodyDiv w:val="1"/>
      <w:marLeft w:val="0"/>
      <w:marRight w:val="0"/>
      <w:marTop w:val="0"/>
      <w:marBottom w:val="0"/>
      <w:divBdr>
        <w:top w:val="none" w:sz="0" w:space="0" w:color="auto"/>
        <w:left w:val="none" w:sz="0" w:space="0" w:color="auto"/>
        <w:bottom w:val="none" w:sz="0" w:space="0" w:color="auto"/>
        <w:right w:val="none" w:sz="0" w:space="0" w:color="auto"/>
      </w:divBdr>
      <w:divsChild>
        <w:div w:id="196191267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26910613">
      <w:bodyDiv w:val="1"/>
      <w:marLeft w:val="0"/>
      <w:marRight w:val="0"/>
      <w:marTop w:val="0"/>
      <w:marBottom w:val="0"/>
      <w:divBdr>
        <w:top w:val="none" w:sz="0" w:space="0" w:color="auto"/>
        <w:left w:val="none" w:sz="0" w:space="0" w:color="auto"/>
        <w:bottom w:val="none" w:sz="0" w:space="0" w:color="auto"/>
        <w:right w:val="none" w:sz="0" w:space="0" w:color="auto"/>
      </w:divBdr>
    </w:div>
    <w:div w:id="1232351227">
      <w:bodyDiv w:val="1"/>
      <w:marLeft w:val="0"/>
      <w:marRight w:val="0"/>
      <w:marTop w:val="0"/>
      <w:marBottom w:val="0"/>
      <w:divBdr>
        <w:top w:val="none" w:sz="0" w:space="0" w:color="auto"/>
        <w:left w:val="none" w:sz="0" w:space="0" w:color="auto"/>
        <w:bottom w:val="none" w:sz="0" w:space="0" w:color="auto"/>
        <w:right w:val="none" w:sz="0" w:space="0" w:color="auto"/>
      </w:divBdr>
    </w:div>
    <w:div w:id="1234508464">
      <w:bodyDiv w:val="1"/>
      <w:marLeft w:val="0"/>
      <w:marRight w:val="0"/>
      <w:marTop w:val="0"/>
      <w:marBottom w:val="0"/>
      <w:divBdr>
        <w:top w:val="none" w:sz="0" w:space="0" w:color="auto"/>
        <w:left w:val="none" w:sz="0" w:space="0" w:color="auto"/>
        <w:bottom w:val="none" w:sz="0" w:space="0" w:color="auto"/>
        <w:right w:val="none" w:sz="0" w:space="0" w:color="auto"/>
      </w:divBdr>
    </w:div>
    <w:div w:id="1239944038">
      <w:bodyDiv w:val="1"/>
      <w:marLeft w:val="0"/>
      <w:marRight w:val="0"/>
      <w:marTop w:val="0"/>
      <w:marBottom w:val="0"/>
      <w:divBdr>
        <w:top w:val="none" w:sz="0" w:space="0" w:color="auto"/>
        <w:left w:val="none" w:sz="0" w:space="0" w:color="auto"/>
        <w:bottom w:val="none" w:sz="0" w:space="0" w:color="auto"/>
        <w:right w:val="none" w:sz="0" w:space="0" w:color="auto"/>
      </w:divBdr>
    </w:div>
    <w:div w:id="1247106767">
      <w:bodyDiv w:val="1"/>
      <w:marLeft w:val="0"/>
      <w:marRight w:val="0"/>
      <w:marTop w:val="0"/>
      <w:marBottom w:val="0"/>
      <w:divBdr>
        <w:top w:val="none" w:sz="0" w:space="0" w:color="auto"/>
        <w:left w:val="none" w:sz="0" w:space="0" w:color="auto"/>
        <w:bottom w:val="none" w:sz="0" w:space="0" w:color="auto"/>
        <w:right w:val="none" w:sz="0" w:space="0" w:color="auto"/>
      </w:divBdr>
    </w:div>
    <w:div w:id="1250964606">
      <w:bodyDiv w:val="1"/>
      <w:marLeft w:val="0"/>
      <w:marRight w:val="0"/>
      <w:marTop w:val="0"/>
      <w:marBottom w:val="0"/>
      <w:divBdr>
        <w:top w:val="none" w:sz="0" w:space="0" w:color="auto"/>
        <w:left w:val="none" w:sz="0" w:space="0" w:color="auto"/>
        <w:bottom w:val="none" w:sz="0" w:space="0" w:color="auto"/>
        <w:right w:val="none" w:sz="0" w:space="0" w:color="auto"/>
      </w:divBdr>
    </w:div>
    <w:div w:id="1257861551">
      <w:bodyDiv w:val="1"/>
      <w:marLeft w:val="0"/>
      <w:marRight w:val="0"/>
      <w:marTop w:val="0"/>
      <w:marBottom w:val="0"/>
      <w:divBdr>
        <w:top w:val="none" w:sz="0" w:space="0" w:color="auto"/>
        <w:left w:val="none" w:sz="0" w:space="0" w:color="auto"/>
        <w:bottom w:val="none" w:sz="0" w:space="0" w:color="auto"/>
        <w:right w:val="none" w:sz="0" w:space="0" w:color="auto"/>
      </w:divBdr>
    </w:div>
    <w:div w:id="1258751025">
      <w:bodyDiv w:val="1"/>
      <w:marLeft w:val="0"/>
      <w:marRight w:val="0"/>
      <w:marTop w:val="0"/>
      <w:marBottom w:val="0"/>
      <w:divBdr>
        <w:top w:val="none" w:sz="0" w:space="0" w:color="auto"/>
        <w:left w:val="none" w:sz="0" w:space="0" w:color="auto"/>
        <w:bottom w:val="none" w:sz="0" w:space="0" w:color="auto"/>
        <w:right w:val="none" w:sz="0" w:space="0" w:color="auto"/>
      </w:divBdr>
    </w:div>
    <w:div w:id="1265109392">
      <w:bodyDiv w:val="1"/>
      <w:marLeft w:val="0"/>
      <w:marRight w:val="0"/>
      <w:marTop w:val="0"/>
      <w:marBottom w:val="0"/>
      <w:divBdr>
        <w:top w:val="none" w:sz="0" w:space="0" w:color="auto"/>
        <w:left w:val="none" w:sz="0" w:space="0" w:color="auto"/>
        <w:bottom w:val="none" w:sz="0" w:space="0" w:color="auto"/>
        <w:right w:val="none" w:sz="0" w:space="0" w:color="auto"/>
      </w:divBdr>
    </w:div>
    <w:div w:id="1266110815">
      <w:bodyDiv w:val="1"/>
      <w:marLeft w:val="0"/>
      <w:marRight w:val="0"/>
      <w:marTop w:val="0"/>
      <w:marBottom w:val="0"/>
      <w:divBdr>
        <w:top w:val="none" w:sz="0" w:space="0" w:color="auto"/>
        <w:left w:val="none" w:sz="0" w:space="0" w:color="auto"/>
        <w:bottom w:val="none" w:sz="0" w:space="0" w:color="auto"/>
        <w:right w:val="none" w:sz="0" w:space="0" w:color="auto"/>
      </w:divBdr>
    </w:div>
    <w:div w:id="1267077183">
      <w:bodyDiv w:val="1"/>
      <w:marLeft w:val="0"/>
      <w:marRight w:val="0"/>
      <w:marTop w:val="0"/>
      <w:marBottom w:val="0"/>
      <w:divBdr>
        <w:top w:val="none" w:sz="0" w:space="0" w:color="auto"/>
        <w:left w:val="none" w:sz="0" w:space="0" w:color="auto"/>
        <w:bottom w:val="none" w:sz="0" w:space="0" w:color="auto"/>
        <w:right w:val="none" w:sz="0" w:space="0" w:color="auto"/>
      </w:divBdr>
      <w:divsChild>
        <w:div w:id="11654413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1083177">
      <w:bodyDiv w:val="1"/>
      <w:marLeft w:val="0"/>
      <w:marRight w:val="0"/>
      <w:marTop w:val="0"/>
      <w:marBottom w:val="0"/>
      <w:divBdr>
        <w:top w:val="none" w:sz="0" w:space="0" w:color="auto"/>
        <w:left w:val="none" w:sz="0" w:space="0" w:color="auto"/>
        <w:bottom w:val="none" w:sz="0" w:space="0" w:color="auto"/>
        <w:right w:val="none" w:sz="0" w:space="0" w:color="auto"/>
      </w:divBdr>
    </w:div>
    <w:div w:id="1272277417">
      <w:bodyDiv w:val="1"/>
      <w:marLeft w:val="0"/>
      <w:marRight w:val="0"/>
      <w:marTop w:val="0"/>
      <w:marBottom w:val="0"/>
      <w:divBdr>
        <w:top w:val="none" w:sz="0" w:space="0" w:color="auto"/>
        <w:left w:val="none" w:sz="0" w:space="0" w:color="auto"/>
        <w:bottom w:val="none" w:sz="0" w:space="0" w:color="auto"/>
        <w:right w:val="none" w:sz="0" w:space="0" w:color="auto"/>
      </w:divBdr>
    </w:div>
    <w:div w:id="1277982028">
      <w:bodyDiv w:val="1"/>
      <w:marLeft w:val="0"/>
      <w:marRight w:val="0"/>
      <w:marTop w:val="0"/>
      <w:marBottom w:val="0"/>
      <w:divBdr>
        <w:top w:val="none" w:sz="0" w:space="0" w:color="auto"/>
        <w:left w:val="none" w:sz="0" w:space="0" w:color="auto"/>
        <w:bottom w:val="none" w:sz="0" w:space="0" w:color="auto"/>
        <w:right w:val="none" w:sz="0" w:space="0" w:color="auto"/>
      </w:divBdr>
    </w:div>
    <w:div w:id="1278758590">
      <w:bodyDiv w:val="1"/>
      <w:marLeft w:val="0"/>
      <w:marRight w:val="0"/>
      <w:marTop w:val="0"/>
      <w:marBottom w:val="0"/>
      <w:divBdr>
        <w:top w:val="none" w:sz="0" w:space="0" w:color="auto"/>
        <w:left w:val="none" w:sz="0" w:space="0" w:color="auto"/>
        <w:bottom w:val="none" w:sz="0" w:space="0" w:color="auto"/>
        <w:right w:val="none" w:sz="0" w:space="0" w:color="auto"/>
      </w:divBdr>
    </w:div>
    <w:div w:id="1279291779">
      <w:bodyDiv w:val="1"/>
      <w:marLeft w:val="0"/>
      <w:marRight w:val="0"/>
      <w:marTop w:val="0"/>
      <w:marBottom w:val="0"/>
      <w:divBdr>
        <w:top w:val="none" w:sz="0" w:space="0" w:color="auto"/>
        <w:left w:val="none" w:sz="0" w:space="0" w:color="auto"/>
        <w:bottom w:val="none" w:sz="0" w:space="0" w:color="auto"/>
        <w:right w:val="none" w:sz="0" w:space="0" w:color="auto"/>
      </w:divBdr>
    </w:div>
    <w:div w:id="1280989201">
      <w:bodyDiv w:val="1"/>
      <w:marLeft w:val="0"/>
      <w:marRight w:val="0"/>
      <w:marTop w:val="0"/>
      <w:marBottom w:val="0"/>
      <w:divBdr>
        <w:top w:val="none" w:sz="0" w:space="0" w:color="auto"/>
        <w:left w:val="none" w:sz="0" w:space="0" w:color="auto"/>
        <w:bottom w:val="none" w:sz="0" w:space="0" w:color="auto"/>
        <w:right w:val="none" w:sz="0" w:space="0" w:color="auto"/>
      </w:divBdr>
    </w:div>
    <w:div w:id="1283878701">
      <w:bodyDiv w:val="1"/>
      <w:marLeft w:val="0"/>
      <w:marRight w:val="0"/>
      <w:marTop w:val="0"/>
      <w:marBottom w:val="0"/>
      <w:divBdr>
        <w:top w:val="none" w:sz="0" w:space="0" w:color="auto"/>
        <w:left w:val="none" w:sz="0" w:space="0" w:color="auto"/>
        <w:bottom w:val="none" w:sz="0" w:space="0" w:color="auto"/>
        <w:right w:val="none" w:sz="0" w:space="0" w:color="auto"/>
      </w:divBdr>
    </w:div>
    <w:div w:id="1290286584">
      <w:bodyDiv w:val="1"/>
      <w:marLeft w:val="0"/>
      <w:marRight w:val="0"/>
      <w:marTop w:val="0"/>
      <w:marBottom w:val="0"/>
      <w:divBdr>
        <w:top w:val="none" w:sz="0" w:space="0" w:color="auto"/>
        <w:left w:val="none" w:sz="0" w:space="0" w:color="auto"/>
        <w:bottom w:val="none" w:sz="0" w:space="0" w:color="auto"/>
        <w:right w:val="none" w:sz="0" w:space="0" w:color="auto"/>
      </w:divBdr>
    </w:div>
    <w:div w:id="1296180415">
      <w:bodyDiv w:val="1"/>
      <w:marLeft w:val="0"/>
      <w:marRight w:val="0"/>
      <w:marTop w:val="0"/>
      <w:marBottom w:val="0"/>
      <w:divBdr>
        <w:top w:val="none" w:sz="0" w:space="0" w:color="auto"/>
        <w:left w:val="none" w:sz="0" w:space="0" w:color="auto"/>
        <w:bottom w:val="none" w:sz="0" w:space="0" w:color="auto"/>
        <w:right w:val="none" w:sz="0" w:space="0" w:color="auto"/>
      </w:divBdr>
    </w:div>
    <w:div w:id="1296986263">
      <w:bodyDiv w:val="1"/>
      <w:marLeft w:val="0"/>
      <w:marRight w:val="0"/>
      <w:marTop w:val="0"/>
      <w:marBottom w:val="0"/>
      <w:divBdr>
        <w:top w:val="none" w:sz="0" w:space="0" w:color="auto"/>
        <w:left w:val="none" w:sz="0" w:space="0" w:color="auto"/>
        <w:bottom w:val="none" w:sz="0" w:space="0" w:color="auto"/>
        <w:right w:val="none" w:sz="0" w:space="0" w:color="auto"/>
      </w:divBdr>
      <w:divsChild>
        <w:div w:id="4256881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99149474">
      <w:bodyDiv w:val="1"/>
      <w:marLeft w:val="0"/>
      <w:marRight w:val="0"/>
      <w:marTop w:val="0"/>
      <w:marBottom w:val="0"/>
      <w:divBdr>
        <w:top w:val="none" w:sz="0" w:space="0" w:color="auto"/>
        <w:left w:val="none" w:sz="0" w:space="0" w:color="auto"/>
        <w:bottom w:val="none" w:sz="0" w:space="0" w:color="auto"/>
        <w:right w:val="none" w:sz="0" w:space="0" w:color="auto"/>
      </w:divBdr>
    </w:div>
    <w:div w:id="1305046389">
      <w:bodyDiv w:val="1"/>
      <w:marLeft w:val="0"/>
      <w:marRight w:val="0"/>
      <w:marTop w:val="0"/>
      <w:marBottom w:val="0"/>
      <w:divBdr>
        <w:top w:val="none" w:sz="0" w:space="0" w:color="auto"/>
        <w:left w:val="none" w:sz="0" w:space="0" w:color="auto"/>
        <w:bottom w:val="none" w:sz="0" w:space="0" w:color="auto"/>
        <w:right w:val="none" w:sz="0" w:space="0" w:color="auto"/>
      </w:divBdr>
    </w:div>
    <w:div w:id="1306811407">
      <w:bodyDiv w:val="1"/>
      <w:marLeft w:val="0"/>
      <w:marRight w:val="0"/>
      <w:marTop w:val="0"/>
      <w:marBottom w:val="0"/>
      <w:divBdr>
        <w:top w:val="none" w:sz="0" w:space="0" w:color="auto"/>
        <w:left w:val="none" w:sz="0" w:space="0" w:color="auto"/>
        <w:bottom w:val="none" w:sz="0" w:space="0" w:color="auto"/>
        <w:right w:val="none" w:sz="0" w:space="0" w:color="auto"/>
      </w:divBdr>
    </w:div>
    <w:div w:id="1307247485">
      <w:bodyDiv w:val="1"/>
      <w:marLeft w:val="0"/>
      <w:marRight w:val="0"/>
      <w:marTop w:val="0"/>
      <w:marBottom w:val="0"/>
      <w:divBdr>
        <w:top w:val="none" w:sz="0" w:space="0" w:color="auto"/>
        <w:left w:val="none" w:sz="0" w:space="0" w:color="auto"/>
        <w:bottom w:val="none" w:sz="0" w:space="0" w:color="auto"/>
        <w:right w:val="none" w:sz="0" w:space="0" w:color="auto"/>
      </w:divBdr>
    </w:div>
    <w:div w:id="1309631022">
      <w:bodyDiv w:val="1"/>
      <w:marLeft w:val="0"/>
      <w:marRight w:val="0"/>
      <w:marTop w:val="0"/>
      <w:marBottom w:val="0"/>
      <w:divBdr>
        <w:top w:val="none" w:sz="0" w:space="0" w:color="auto"/>
        <w:left w:val="none" w:sz="0" w:space="0" w:color="auto"/>
        <w:bottom w:val="none" w:sz="0" w:space="0" w:color="auto"/>
        <w:right w:val="none" w:sz="0" w:space="0" w:color="auto"/>
      </w:divBdr>
    </w:div>
    <w:div w:id="1311061501">
      <w:bodyDiv w:val="1"/>
      <w:marLeft w:val="0"/>
      <w:marRight w:val="0"/>
      <w:marTop w:val="0"/>
      <w:marBottom w:val="0"/>
      <w:divBdr>
        <w:top w:val="none" w:sz="0" w:space="0" w:color="auto"/>
        <w:left w:val="none" w:sz="0" w:space="0" w:color="auto"/>
        <w:bottom w:val="none" w:sz="0" w:space="0" w:color="auto"/>
        <w:right w:val="none" w:sz="0" w:space="0" w:color="auto"/>
      </w:divBdr>
    </w:div>
    <w:div w:id="1313213210">
      <w:bodyDiv w:val="1"/>
      <w:marLeft w:val="0"/>
      <w:marRight w:val="0"/>
      <w:marTop w:val="0"/>
      <w:marBottom w:val="0"/>
      <w:divBdr>
        <w:top w:val="none" w:sz="0" w:space="0" w:color="auto"/>
        <w:left w:val="none" w:sz="0" w:space="0" w:color="auto"/>
        <w:bottom w:val="none" w:sz="0" w:space="0" w:color="auto"/>
        <w:right w:val="none" w:sz="0" w:space="0" w:color="auto"/>
      </w:divBdr>
    </w:div>
    <w:div w:id="1330870196">
      <w:bodyDiv w:val="1"/>
      <w:marLeft w:val="0"/>
      <w:marRight w:val="0"/>
      <w:marTop w:val="0"/>
      <w:marBottom w:val="0"/>
      <w:divBdr>
        <w:top w:val="none" w:sz="0" w:space="0" w:color="auto"/>
        <w:left w:val="none" w:sz="0" w:space="0" w:color="auto"/>
        <w:bottom w:val="none" w:sz="0" w:space="0" w:color="auto"/>
        <w:right w:val="none" w:sz="0" w:space="0" w:color="auto"/>
      </w:divBdr>
    </w:div>
    <w:div w:id="1331328319">
      <w:bodyDiv w:val="1"/>
      <w:marLeft w:val="0"/>
      <w:marRight w:val="0"/>
      <w:marTop w:val="0"/>
      <w:marBottom w:val="0"/>
      <w:divBdr>
        <w:top w:val="none" w:sz="0" w:space="0" w:color="auto"/>
        <w:left w:val="none" w:sz="0" w:space="0" w:color="auto"/>
        <w:bottom w:val="none" w:sz="0" w:space="0" w:color="auto"/>
        <w:right w:val="none" w:sz="0" w:space="0" w:color="auto"/>
      </w:divBdr>
    </w:div>
    <w:div w:id="1333603206">
      <w:bodyDiv w:val="1"/>
      <w:marLeft w:val="0"/>
      <w:marRight w:val="0"/>
      <w:marTop w:val="0"/>
      <w:marBottom w:val="0"/>
      <w:divBdr>
        <w:top w:val="none" w:sz="0" w:space="0" w:color="auto"/>
        <w:left w:val="none" w:sz="0" w:space="0" w:color="auto"/>
        <w:bottom w:val="none" w:sz="0" w:space="0" w:color="auto"/>
        <w:right w:val="none" w:sz="0" w:space="0" w:color="auto"/>
      </w:divBdr>
    </w:div>
    <w:div w:id="1338145934">
      <w:bodyDiv w:val="1"/>
      <w:marLeft w:val="0"/>
      <w:marRight w:val="0"/>
      <w:marTop w:val="0"/>
      <w:marBottom w:val="0"/>
      <w:divBdr>
        <w:top w:val="none" w:sz="0" w:space="0" w:color="auto"/>
        <w:left w:val="none" w:sz="0" w:space="0" w:color="auto"/>
        <w:bottom w:val="none" w:sz="0" w:space="0" w:color="auto"/>
        <w:right w:val="none" w:sz="0" w:space="0" w:color="auto"/>
      </w:divBdr>
    </w:div>
    <w:div w:id="1338384210">
      <w:bodyDiv w:val="1"/>
      <w:marLeft w:val="0"/>
      <w:marRight w:val="0"/>
      <w:marTop w:val="0"/>
      <w:marBottom w:val="0"/>
      <w:divBdr>
        <w:top w:val="none" w:sz="0" w:space="0" w:color="auto"/>
        <w:left w:val="none" w:sz="0" w:space="0" w:color="auto"/>
        <w:bottom w:val="none" w:sz="0" w:space="0" w:color="auto"/>
        <w:right w:val="none" w:sz="0" w:space="0" w:color="auto"/>
      </w:divBdr>
    </w:div>
    <w:div w:id="1342900440">
      <w:bodyDiv w:val="1"/>
      <w:marLeft w:val="0"/>
      <w:marRight w:val="0"/>
      <w:marTop w:val="0"/>
      <w:marBottom w:val="0"/>
      <w:divBdr>
        <w:top w:val="none" w:sz="0" w:space="0" w:color="auto"/>
        <w:left w:val="none" w:sz="0" w:space="0" w:color="auto"/>
        <w:bottom w:val="none" w:sz="0" w:space="0" w:color="auto"/>
        <w:right w:val="none" w:sz="0" w:space="0" w:color="auto"/>
      </w:divBdr>
    </w:div>
    <w:div w:id="1344043141">
      <w:bodyDiv w:val="1"/>
      <w:marLeft w:val="0"/>
      <w:marRight w:val="0"/>
      <w:marTop w:val="0"/>
      <w:marBottom w:val="0"/>
      <w:divBdr>
        <w:top w:val="none" w:sz="0" w:space="0" w:color="auto"/>
        <w:left w:val="none" w:sz="0" w:space="0" w:color="auto"/>
        <w:bottom w:val="none" w:sz="0" w:space="0" w:color="auto"/>
        <w:right w:val="none" w:sz="0" w:space="0" w:color="auto"/>
      </w:divBdr>
    </w:div>
    <w:div w:id="1347514967">
      <w:bodyDiv w:val="1"/>
      <w:marLeft w:val="0"/>
      <w:marRight w:val="0"/>
      <w:marTop w:val="0"/>
      <w:marBottom w:val="0"/>
      <w:divBdr>
        <w:top w:val="none" w:sz="0" w:space="0" w:color="auto"/>
        <w:left w:val="none" w:sz="0" w:space="0" w:color="auto"/>
        <w:bottom w:val="none" w:sz="0" w:space="0" w:color="auto"/>
        <w:right w:val="none" w:sz="0" w:space="0" w:color="auto"/>
      </w:divBdr>
    </w:div>
    <w:div w:id="1348673944">
      <w:bodyDiv w:val="1"/>
      <w:marLeft w:val="0"/>
      <w:marRight w:val="0"/>
      <w:marTop w:val="0"/>
      <w:marBottom w:val="0"/>
      <w:divBdr>
        <w:top w:val="none" w:sz="0" w:space="0" w:color="auto"/>
        <w:left w:val="none" w:sz="0" w:space="0" w:color="auto"/>
        <w:bottom w:val="none" w:sz="0" w:space="0" w:color="auto"/>
        <w:right w:val="none" w:sz="0" w:space="0" w:color="auto"/>
      </w:divBdr>
    </w:div>
    <w:div w:id="1357928910">
      <w:bodyDiv w:val="1"/>
      <w:marLeft w:val="0"/>
      <w:marRight w:val="0"/>
      <w:marTop w:val="0"/>
      <w:marBottom w:val="0"/>
      <w:divBdr>
        <w:top w:val="none" w:sz="0" w:space="0" w:color="auto"/>
        <w:left w:val="none" w:sz="0" w:space="0" w:color="auto"/>
        <w:bottom w:val="none" w:sz="0" w:space="0" w:color="auto"/>
        <w:right w:val="none" w:sz="0" w:space="0" w:color="auto"/>
      </w:divBdr>
      <w:divsChild>
        <w:div w:id="2922472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8003758">
      <w:bodyDiv w:val="1"/>
      <w:marLeft w:val="0"/>
      <w:marRight w:val="0"/>
      <w:marTop w:val="0"/>
      <w:marBottom w:val="0"/>
      <w:divBdr>
        <w:top w:val="none" w:sz="0" w:space="0" w:color="auto"/>
        <w:left w:val="none" w:sz="0" w:space="0" w:color="auto"/>
        <w:bottom w:val="none" w:sz="0" w:space="0" w:color="auto"/>
        <w:right w:val="none" w:sz="0" w:space="0" w:color="auto"/>
      </w:divBdr>
    </w:div>
    <w:div w:id="1362973691">
      <w:bodyDiv w:val="1"/>
      <w:marLeft w:val="0"/>
      <w:marRight w:val="0"/>
      <w:marTop w:val="0"/>
      <w:marBottom w:val="0"/>
      <w:divBdr>
        <w:top w:val="none" w:sz="0" w:space="0" w:color="auto"/>
        <w:left w:val="none" w:sz="0" w:space="0" w:color="auto"/>
        <w:bottom w:val="none" w:sz="0" w:space="0" w:color="auto"/>
        <w:right w:val="none" w:sz="0" w:space="0" w:color="auto"/>
      </w:divBdr>
    </w:div>
    <w:div w:id="1364863440">
      <w:bodyDiv w:val="1"/>
      <w:marLeft w:val="0"/>
      <w:marRight w:val="0"/>
      <w:marTop w:val="0"/>
      <w:marBottom w:val="0"/>
      <w:divBdr>
        <w:top w:val="none" w:sz="0" w:space="0" w:color="auto"/>
        <w:left w:val="none" w:sz="0" w:space="0" w:color="auto"/>
        <w:bottom w:val="none" w:sz="0" w:space="0" w:color="auto"/>
        <w:right w:val="none" w:sz="0" w:space="0" w:color="auto"/>
      </w:divBdr>
    </w:div>
    <w:div w:id="1367633280">
      <w:bodyDiv w:val="1"/>
      <w:marLeft w:val="0"/>
      <w:marRight w:val="0"/>
      <w:marTop w:val="0"/>
      <w:marBottom w:val="0"/>
      <w:divBdr>
        <w:top w:val="none" w:sz="0" w:space="0" w:color="auto"/>
        <w:left w:val="none" w:sz="0" w:space="0" w:color="auto"/>
        <w:bottom w:val="none" w:sz="0" w:space="0" w:color="auto"/>
        <w:right w:val="none" w:sz="0" w:space="0" w:color="auto"/>
      </w:divBdr>
    </w:div>
    <w:div w:id="1377002187">
      <w:bodyDiv w:val="1"/>
      <w:marLeft w:val="0"/>
      <w:marRight w:val="0"/>
      <w:marTop w:val="0"/>
      <w:marBottom w:val="0"/>
      <w:divBdr>
        <w:top w:val="none" w:sz="0" w:space="0" w:color="auto"/>
        <w:left w:val="none" w:sz="0" w:space="0" w:color="auto"/>
        <w:bottom w:val="none" w:sz="0" w:space="0" w:color="auto"/>
        <w:right w:val="none" w:sz="0" w:space="0" w:color="auto"/>
      </w:divBdr>
    </w:div>
    <w:div w:id="1383090000">
      <w:bodyDiv w:val="1"/>
      <w:marLeft w:val="0"/>
      <w:marRight w:val="0"/>
      <w:marTop w:val="0"/>
      <w:marBottom w:val="0"/>
      <w:divBdr>
        <w:top w:val="none" w:sz="0" w:space="0" w:color="auto"/>
        <w:left w:val="none" w:sz="0" w:space="0" w:color="auto"/>
        <w:bottom w:val="none" w:sz="0" w:space="0" w:color="auto"/>
        <w:right w:val="none" w:sz="0" w:space="0" w:color="auto"/>
      </w:divBdr>
    </w:div>
    <w:div w:id="1384913703">
      <w:bodyDiv w:val="1"/>
      <w:marLeft w:val="0"/>
      <w:marRight w:val="0"/>
      <w:marTop w:val="0"/>
      <w:marBottom w:val="0"/>
      <w:divBdr>
        <w:top w:val="none" w:sz="0" w:space="0" w:color="auto"/>
        <w:left w:val="none" w:sz="0" w:space="0" w:color="auto"/>
        <w:bottom w:val="none" w:sz="0" w:space="0" w:color="auto"/>
        <w:right w:val="none" w:sz="0" w:space="0" w:color="auto"/>
      </w:divBdr>
    </w:div>
    <w:div w:id="1386837683">
      <w:bodyDiv w:val="1"/>
      <w:marLeft w:val="0"/>
      <w:marRight w:val="0"/>
      <w:marTop w:val="0"/>
      <w:marBottom w:val="0"/>
      <w:divBdr>
        <w:top w:val="none" w:sz="0" w:space="0" w:color="auto"/>
        <w:left w:val="none" w:sz="0" w:space="0" w:color="auto"/>
        <w:bottom w:val="none" w:sz="0" w:space="0" w:color="auto"/>
        <w:right w:val="none" w:sz="0" w:space="0" w:color="auto"/>
      </w:divBdr>
      <w:divsChild>
        <w:div w:id="149992939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87338205">
      <w:bodyDiv w:val="1"/>
      <w:marLeft w:val="0"/>
      <w:marRight w:val="0"/>
      <w:marTop w:val="0"/>
      <w:marBottom w:val="0"/>
      <w:divBdr>
        <w:top w:val="none" w:sz="0" w:space="0" w:color="auto"/>
        <w:left w:val="none" w:sz="0" w:space="0" w:color="auto"/>
        <w:bottom w:val="none" w:sz="0" w:space="0" w:color="auto"/>
        <w:right w:val="none" w:sz="0" w:space="0" w:color="auto"/>
      </w:divBdr>
    </w:div>
    <w:div w:id="1398477007">
      <w:bodyDiv w:val="1"/>
      <w:marLeft w:val="0"/>
      <w:marRight w:val="0"/>
      <w:marTop w:val="0"/>
      <w:marBottom w:val="0"/>
      <w:divBdr>
        <w:top w:val="none" w:sz="0" w:space="0" w:color="auto"/>
        <w:left w:val="none" w:sz="0" w:space="0" w:color="auto"/>
        <w:bottom w:val="none" w:sz="0" w:space="0" w:color="auto"/>
        <w:right w:val="none" w:sz="0" w:space="0" w:color="auto"/>
      </w:divBdr>
      <w:divsChild>
        <w:div w:id="141107539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03213283">
      <w:bodyDiv w:val="1"/>
      <w:marLeft w:val="0"/>
      <w:marRight w:val="0"/>
      <w:marTop w:val="0"/>
      <w:marBottom w:val="0"/>
      <w:divBdr>
        <w:top w:val="none" w:sz="0" w:space="0" w:color="auto"/>
        <w:left w:val="none" w:sz="0" w:space="0" w:color="auto"/>
        <w:bottom w:val="none" w:sz="0" w:space="0" w:color="auto"/>
        <w:right w:val="none" w:sz="0" w:space="0" w:color="auto"/>
      </w:divBdr>
    </w:div>
    <w:div w:id="1403597716">
      <w:bodyDiv w:val="1"/>
      <w:marLeft w:val="0"/>
      <w:marRight w:val="0"/>
      <w:marTop w:val="0"/>
      <w:marBottom w:val="0"/>
      <w:divBdr>
        <w:top w:val="none" w:sz="0" w:space="0" w:color="auto"/>
        <w:left w:val="none" w:sz="0" w:space="0" w:color="auto"/>
        <w:bottom w:val="none" w:sz="0" w:space="0" w:color="auto"/>
        <w:right w:val="none" w:sz="0" w:space="0" w:color="auto"/>
      </w:divBdr>
    </w:div>
    <w:div w:id="1403797390">
      <w:bodyDiv w:val="1"/>
      <w:marLeft w:val="0"/>
      <w:marRight w:val="0"/>
      <w:marTop w:val="0"/>
      <w:marBottom w:val="0"/>
      <w:divBdr>
        <w:top w:val="none" w:sz="0" w:space="0" w:color="auto"/>
        <w:left w:val="none" w:sz="0" w:space="0" w:color="auto"/>
        <w:bottom w:val="none" w:sz="0" w:space="0" w:color="auto"/>
        <w:right w:val="none" w:sz="0" w:space="0" w:color="auto"/>
      </w:divBdr>
      <w:divsChild>
        <w:div w:id="289224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04722261">
      <w:bodyDiv w:val="1"/>
      <w:marLeft w:val="0"/>
      <w:marRight w:val="0"/>
      <w:marTop w:val="0"/>
      <w:marBottom w:val="0"/>
      <w:divBdr>
        <w:top w:val="none" w:sz="0" w:space="0" w:color="auto"/>
        <w:left w:val="none" w:sz="0" w:space="0" w:color="auto"/>
        <w:bottom w:val="none" w:sz="0" w:space="0" w:color="auto"/>
        <w:right w:val="none" w:sz="0" w:space="0" w:color="auto"/>
      </w:divBdr>
    </w:div>
    <w:div w:id="1411855675">
      <w:bodyDiv w:val="1"/>
      <w:marLeft w:val="0"/>
      <w:marRight w:val="0"/>
      <w:marTop w:val="0"/>
      <w:marBottom w:val="0"/>
      <w:divBdr>
        <w:top w:val="none" w:sz="0" w:space="0" w:color="auto"/>
        <w:left w:val="none" w:sz="0" w:space="0" w:color="auto"/>
        <w:bottom w:val="none" w:sz="0" w:space="0" w:color="auto"/>
        <w:right w:val="none" w:sz="0" w:space="0" w:color="auto"/>
      </w:divBdr>
    </w:div>
    <w:div w:id="1412852078">
      <w:bodyDiv w:val="1"/>
      <w:marLeft w:val="0"/>
      <w:marRight w:val="0"/>
      <w:marTop w:val="0"/>
      <w:marBottom w:val="0"/>
      <w:divBdr>
        <w:top w:val="none" w:sz="0" w:space="0" w:color="auto"/>
        <w:left w:val="none" w:sz="0" w:space="0" w:color="auto"/>
        <w:bottom w:val="none" w:sz="0" w:space="0" w:color="auto"/>
        <w:right w:val="none" w:sz="0" w:space="0" w:color="auto"/>
      </w:divBdr>
    </w:div>
    <w:div w:id="1417096770">
      <w:bodyDiv w:val="1"/>
      <w:marLeft w:val="0"/>
      <w:marRight w:val="0"/>
      <w:marTop w:val="0"/>
      <w:marBottom w:val="0"/>
      <w:divBdr>
        <w:top w:val="none" w:sz="0" w:space="0" w:color="auto"/>
        <w:left w:val="none" w:sz="0" w:space="0" w:color="auto"/>
        <w:bottom w:val="none" w:sz="0" w:space="0" w:color="auto"/>
        <w:right w:val="none" w:sz="0" w:space="0" w:color="auto"/>
      </w:divBdr>
    </w:div>
    <w:div w:id="1424688496">
      <w:bodyDiv w:val="1"/>
      <w:marLeft w:val="0"/>
      <w:marRight w:val="0"/>
      <w:marTop w:val="0"/>
      <w:marBottom w:val="0"/>
      <w:divBdr>
        <w:top w:val="none" w:sz="0" w:space="0" w:color="auto"/>
        <w:left w:val="none" w:sz="0" w:space="0" w:color="auto"/>
        <w:bottom w:val="none" w:sz="0" w:space="0" w:color="auto"/>
        <w:right w:val="none" w:sz="0" w:space="0" w:color="auto"/>
      </w:divBdr>
    </w:div>
    <w:div w:id="1440442382">
      <w:bodyDiv w:val="1"/>
      <w:marLeft w:val="0"/>
      <w:marRight w:val="0"/>
      <w:marTop w:val="0"/>
      <w:marBottom w:val="0"/>
      <w:divBdr>
        <w:top w:val="none" w:sz="0" w:space="0" w:color="auto"/>
        <w:left w:val="none" w:sz="0" w:space="0" w:color="auto"/>
        <w:bottom w:val="none" w:sz="0" w:space="0" w:color="auto"/>
        <w:right w:val="none" w:sz="0" w:space="0" w:color="auto"/>
      </w:divBdr>
    </w:div>
    <w:div w:id="1451631502">
      <w:bodyDiv w:val="1"/>
      <w:marLeft w:val="0"/>
      <w:marRight w:val="0"/>
      <w:marTop w:val="0"/>
      <w:marBottom w:val="0"/>
      <w:divBdr>
        <w:top w:val="none" w:sz="0" w:space="0" w:color="auto"/>
        <w:left w:val="none" w:sz="0" w:space="0" w:color="auto"/>
        <w:bottom w:val="none" w:sz="0" w:space="0" w:color="auto"/>
        <w:right w:val="none" w:sz="0" w:space="0" w:color="auto"/>
      </w:divBdr>
    </w:div>
    <w:div w:id="1453744974">
      <w:bodyDiv w:val="1"/>
      <w:marLeft w:val="0"/>
      <w:marRight w:val="0"/>
      <w:marTop w:val="0"/>
      <w:marBottom w:val="0"/>
      <w:divBdr>
        <w:top w:val="none" w:sz="0" w:space="0" w:color="auto"/>
        <w:left w:val="none" w:sz="0" w:space="0" w:color="auto"/>
        <w:bottom w:val="none" w:sz="0" w:space="0" w:color="auto"/>
        <w:right w:val="none" w:sz="0" w:space="0" w:color="auto"/>
      </w:divBdr>
    </w:div>
    <w:div w:id="1463379798">
      <w:bodyDiv w:val="1"/>
      <w:marLeft w:val="0"/>
      <w:marRight w:val="0"/>
      <w:marTop w:val="0"/>
      <w:marBottom w:val="0"/>
      <w:divBdr>
        <w:top w:val="none" w:sz="0" w:space="0" w:color="auto"/>
        <w:left w:val="none" w:sz="0" w:space="0" w:color="auto"/>
        <w:bottom w:val="none" w:sz="0" w:space="0" w:color="auto"/>
        <w:right w:val="none" w:sz="0" w:space="0" w:color="auto"/>
      </w:divBdr>
    </w:div>
    <w:div w:id="1470516417">
      <w:bodyDiv w:val="1"/>
      <w:marLeft w:val="0"/>
      <w:marRight w:val="0"/>
      <w:marTop w:val="0"/>
      <w:marBottom w:val="0"/>
      <w:divBdr>
        <w:top w:val="none" w:sz="0" w:space="0" w:color="auto"/>
        <w:left w:val="none" w:sz="0" w:space="0" w:color="auto"/>
        <w:bottom w:val="none" w:sz="0" w:space="0" w:color="auto"/>
        <w:right w:val="none" w:sz="0" w:space="0" w:color="auto"/>
      </w:divBdr>
    </w:div>
    <w:div w:id="1474132180">
      <w:bodyDiv w:val="1"/>
      <w:marLeft w:val="0"/>
      <w:marRight w:val="0"/>
      <w:marTop w:val="0"/>
      <w:marBottom w:val="0"/>
      <w:divBdr>
        <w:top w:val="none" w:sz="0" w:space="0" w:color="auto"/>
        <w:left w:val="none" w:sz="0" w:space="0" w:color="auto"/>
        <w:bottom w:val="none" w:sz="0" w:space="0" w:color="auto"/>
        <w:right w:val="none" w:sz="0" w:space="0" w:color="auto"/>
      </w:divBdr>
      <w:divsChild>
        <w:div w:id="64936268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83112374">
      <w:bodyDiv w:val="1"/>
      <w:marLeft w:val="0"/>
      <w:marRight w:val="0"/>
      <w:marTop w:val="0"/>
      <w:marBottom w:val="0"/>
      <w:divBdr>
        <w:top w:val="none" w:sz="0" w:space="0" w:color="auto"/>
        <w:left w:val="none" w:sz="0" w:space="0" w:color="auto"/>
        <w:bottom w:val="none" w:sz="0" w:space="0" w:color="auto"/>
        <w:right w:val="none" w:sz="0" w:space="0" w:color="auto"/>
      </w:divBdr>
    </w:div>
    <w:div w:id="1483695237">
      <w:bodyDiv w:val="1"/>
      <w:marLeft w:val="0"/>
      <w:marRight w:val="0"/>
      <w:marTop w:val="0"/>
      <w:marBottom w:val="0"/>
      <w:divBdr>
        <w:top w:val="none" w:sz="0" w:space="0" w:color="auto"/>
        <w:left w:val="none" w:sz="0" w:space="0" w:color="auto"/>
        <w:bottom w:val="none" w:sz="0" w:space="0" w:color="auto"/>
        <w:right w:val="none" w:sz="0" w:space="0" w:color="auto"/>
      </w:divBdr>
    </w:div>
    <w:div w:id="1493570725">
      <w:bodyDiv w:val="1"/>
      <w:marLeft w:val="0"/>
      <w:marRight w:val="0"/>
      <w:marTop w:val="0"/>
      <w:marBottom w:val="0"/>
      <w:divBdr>
        <w:top w:val="none" w:sz="0" w:space="0" w:color="auto"/>
        <w:left w:val="none" w:sz="0" w:space="0" w:color="auto"/>
        <w:bottom w:val="none" w:sz="0" w:space="0" w:color="auto"/>
        <w:right w:val="none" w:sz="0" w:space="0" w:color="auto"/>
      </w:divBdr>
    </w:div>
    <w:div w:id="1493832901">
      <w:bodyDiv w:val="1"/>
      <w:marLeft w:val="0"/>
      <w:marRight w:val="0"/>
      <w:marTop w:val="0"/>
      <w:marBottom w:val="0"/>
      <w:divBdr>
        <w:top w:val="none" w:sz="0" w:space="0" w:color="auto"/>
        <w:left w:val="none" w:sz="0" w:space="0" w:color="auto"/>
        <w:bottom w:val="none" w:sz="0" w:space="0" w:color="auto"/>
        <w:right w:val="none" w:sz="0" w:space="0" w:color="auto"/>
      </w:divBdr>
    </w:div>
    <w:div w:id="1495102718">
      <w:bodyDiv w:val="1"/>
      <w:marLeft w:val="0"/>
      <w:marRight w:val="0"/>
      <w:marTop w:val="0"/>
      <w:marBottom w:val="0"/>
      <w:divBdr>
        <w:top w:val="none" w:sz="0" w:space="0" w:color="auto"/>
        <w:left w:val="none" w:sz="0" w:space="0" w:color="auto"/>
        <w:bottom w:val="none" w:sz="0" w:space="0" w:color="auto"/>
        <w:right w:val="none" w:sz="0" w:space="0" w:color="auto"/>
      </w:divBdr>
    </w:div>
    <w:div w:id="1499538154">
      <w:bodyDiv w:val="1"/>
      <w:marLeft w:val="0"/>
      <w:marRight w:val="0"/>
      <w:marTop w:val="0"/>
      <w:marBottom w:val="0"/>
      <w:divBdr>
        <w:top w:val="none" w:sz="0" w:space="0" w:color="auto"/>
        <w:left w:val="none" w:sz="0" w:space="0" w:color="auto"/>
        <w:bottom w:val="none" w:sz="0" w:space="0" w:color="auto"/>
        <w:right w:val="none" w:sz="0" w:space="0" w:color="auto"/>
      </w:divBdr>
    </w:div>
    <w:div w:id="1503280036">
      <w:bodyDiv w:val="1"/>
      <w:marLeft w:val="0"/>
      <w:marRight w:val="0"/>
      <w:marTop w:val="0"/>
      <w:marBottom w:val="0"/>
      <w:divBdr>
        <w:top w:val="none" w:sz="0" w:space="0" w:color="auto"/>
        <w:left w:val="none" w:sz="0" w:space="0" w:color="auto"/>
        <w:bottom w:val="none" w:sz="0" w:space="0" w:color="auto"/>
        <w:right w:val="none" w:sz="0" w:space="0" w:color="auto"/>
      </w:divBdr>
      <w:divsChild>
        <w:div w:id="14603400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03855581">
      <w:bodyDiv w:val="1"/>
      <w:marLeft w:val="0"/>
      <w:marRight w:val="0"/>
      <w:marTop w:val="0"/>
      <w:marBottom w:val="0"/>
      <w:divBdr>
        <w:top w:val="none" w:sz="0" w:space="0" w:color="auto"/>
        <w:left w:val="none" w:sz="0" w:space="0" w:color="auto"/>
        <w:bottom w:val="none" w:sz="0" w:space="0" w:color="auto"/>
        <w:right w:val="none" w:sz="0" w:space="0" w:color="auto"/>
      </w:divBdr>
    </w:div>
    <w:div w:id="1504320911">
      <w:bodyDiv w:val="1"/>
      <w:marLeft w:val="0"/>
      <w:marRight w:val="0"/>
      <w:marTop w:val="0"/>
      <w:marBottom w:val="0"/>
      <w:divBdr>
        <w:top w:val="none" w:sz="0" w:space="0" w:color="auto"/>
        <w:left w:val="none" w:sz="0" w:space="0" w:color="auto"/>
        <w:bottom w:val="none" w:sz="0" w:space="0" w:color="auto"/>
        <w:right w:val="none" w:sz="0" w:space="0" w:color="auto"/>
      </w:divBdr>
    </w:div>
    <w:div w:id="1510172613">
      <w:bodyDiv w:val="1"/>
      <w:marLeft w:val="0"/>
      <w:marRight w:val="0"/>
      <w:marTop w:val="0"/>
      <w:marBottom w:val="0"/>
      <w:divBdr>
        <w:top w:val="none" w:sz="0" w:space="0" w:color="auto"/>
        <w:left w:val="none" w:sz="0" w:space="0" w:color="auto"/>
        <w:bottom w:val="none" w:sz="0" w:space="0" w:color="auto"/>
        <w:right w:val="none" w:sz="0" w:space="0" w:color="auto"/>
      </w:divBdr>
    </w:div>
    <w:div w:id="1513765403">
      <w:bodyDiv w:val="1"/>
      <w:marLeft w:val="0"/>
      <w:marRight w:val="0"/>
      <w:marTop w:val="0"/>
      <w:marBottom w:val="0"/>
      <w:divBdr>
        <w:top w:val="none" w:sz="0" w:space="0" w:color="auto"/>
        <w:left w:val="none" w:sz="0" w:space="0" w:color="auto"/>
        <w:bottom w:val="none" w:sz="0" w:space="0" w:color="auto"/>
        <w:right w:val="none" w:sz="0" w:space="0" w:color="auto"/>
      </w:divBdr>
    </w:div>
    <w:div w:id="1516380040">
      <w:bodyDiv w:val="1"/>
      <w:marLeft w:val="0"/>
      <w:marRight w:val="0"/>
      <w:marTop w:val="0"/>
      <w:marBottom w:val="0"/>
      <w:divBdr>
        <w:top w:val="none" w:sz="0" w:space="0" w:color="auto"/>
        <w:left w:val="none" w:sz="0" w:space="0" w:color="auto"/>
        <w:bottom w:val="none" w:sz="0" w:space="0" w:color="auto"/>
        <w:right w:val="none" w:sz="0" w:space="0" w:color="auto"/>
      </w:divBdr>
    </w:div>
    <w:div w:id="1517425352">
      <w:bodyDiv w:val="1"/>
      <w:marLeft w:val="0"/>
      <w:marRight w:val="0"/>
      <w:marTop w:val="0"/>
      <w:marBottom w:val="0"/>
      <w:divBdr>
        <w:top w:val="none" w:sz="0" w:space="0" w:color="auto"/>
        <w:left w:val="none" w:sz="0" w:space="0" w:color="auto"/>
        <w:bottom w:val="none" w:sz="0" w:space="0" w:color="auto"/>
        <w:right w:val="none" w:sz="0" w:space="0" w:color="auto"/>
      </w:divBdr>
    </w:div>
    <w:div w:id="1519736706">
      <w:bodyDiv w:val="1"/>
      <w:marLeft w:val="0"/>
      <w:marRight w:val="0"/>
      <w:marTop w:val="0"/>
      <w:marBottom w:val="0"/>
      <w:divBdr>
        <w:top w:val="none" w:sz="0" w:space="0" w:color="auto"/>
        <w:left w:val="none" w:sz="0" w:space="0" w:color="auto"/>
        <w:bottom w:val="none" w:sz="0" w:space="0" w:color="auto"/>
        <w:right w:val="none" w:sz="0" w:space="0" w:color="auto"/>
      </w:divBdr>
    </w:div>
    <w:div w:id="1538196121">
      <w:bodyDiv w:val="1"/>
      <w:marLeft w:val="0"/>
      <w:marRight w:val="0"/>
      <w:marTop w:val="0"/>
      <w:marBottom w:val="0"/>
      <w:divBdr>
        <w:top w:val="none" w:sz="0" w:space="0" w:color="auto"/>
        <w:left w:val="none" w:sz="0" w:space="0" w:color="auto"/>
        <w:bottom w:val="none" w:sz="0" w:space="0" w:color="auto"/>
        <w:right w:val="none" w:sz="0" w:space="0" w:color="auto"/>
      </w:divBdr>
    </w:div>
    <w:div w:id="1539245128">
      <w:bodyDiv w:val="1"/>
      <w:marLeft w:val="0"/>
      <w:marRight w:val="0"/>
      <w:marTop w:val="0"/>
      <w:marBottom w:val="0"/>
      <w:divBdr>
        <w:top w:val="none" w:sz="0" w:space="0" w:color="auto"/>
        <w:left w:val="none" w:sz="0" w:space="0" w:color="auto"/>
        <w:bottom w:val="none" w:sz="0" w:space="0" w:color="auto"/>
        <w:right w:val="none" w:sz="0" w:space="0" w:color="auto"/>
      </w:divBdr>
      <w:divsChild>
        <w:div w:id="127686390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43861536">
      <w:bodyDiv w:val="1"/>
      <w:marLeft w:val="0"/>
      <w:marRight w:val="0"/>
      <w:marTop w:val="0"/>
      <w:marBottom w:val="0"/>
      <w:divBdr>
        <w:top w:val="none" w:sz="0" w:space="0" w:color="auto"/>
        <w:left w:val="none" w:sz="0" w:space="0" w:color="auto"/>
        <w:bottom w:val="none" w:sz="0" w:space="0" w:color="auto"/>
        <w:right w:val="none" w:sz="0" w:space="0" w:color="auto"/>
      </w:divBdr>
    </w:div>
    <w:div w:id="1544362020">
      <w:bodyDiv w:val="1"/>
      <w:marLeft w:val="0"/>
      <w:marRight w:val="0"/>
      <w:marTop w:val="0"/>
      <w:marBottom w:val="0"/>
      <w:divBdr>
        <w:top w:val="none" w:sz="0" w:space="0" w:color="auto"/>
        <w:left w:val="none" w:sz="0" w:space="0" w:color="auto"/>
        <w:bottom w:val="none" w:sz="0" w:space="0" w:color="auto"/>
        <w:right w:val="none" w:sz="0" w:space="0" w:color="auto"/>
      </w:divBdr>
    </w:div>
    <w:div w:id="1546406375">
      <w:bodyDiv w:val="1"/>
      <w:marLeft w:val="0"/>
      <w:marRight w:val="0"/>
      <w:marTop w:val="0"/>
      <w:marBottom w:val="0"/>
      <w:divBdr>
        <w:top w:val="none" w:sz="0" w:space="0" w:color="auto"/>
        <w:left w:val="none" w:sz="0" w:space="0" w:color="auto"/>
        <w:bottom w:val="none" w:sz="0" w:space="0" w:color="auto"/>
        <w:right w:val="none" w:sz="0" w:space="0" w:color="auto"/>
      </w:divBdr>
    </w:div>
    <w:div w:id="1551649393">
      <w:bodyDiv w:val="1"/>
      <w:marLeft w:val="0"/>
      <w:marRight w:val="0"/>
      <w:marTop w:val="0"/>
      <w:marBottom w:val="0"/>
      <w:divBdr>
        <w:top w:val="none" w:sz="0" w:space="0" w:color="auto"/>
        <w:left w:val="none" w:sz="0" w:space="0" w:color="auto"/>
        <w:bottom w:val="none" w:sz="0" w:space="0" w:color="auto"/>
        <w:right w:val="none" w:sz="0" w:space="0" w:color="auto"/>
      </w:divBdr>
    </w:div>
    <w:div w:id="1554924217">
      <w:bodyDiv w:val="1"/>
      <w:marLeft w:val="0"/>
      <w:marRight w:val="0"/>
      <w:marTop w:val="0"/>
      <w:marBottom w:val="0"/>
      <w:divBdr>
        <w:top w:val="none" w:sz="0" w:space="0" w:color="auto"/>
        <w:left w:val="none" w:sz="0" w:space="0" w:color="auto"/>
        <w:bottom w:val="none" w:sz="0" w:space="0" w:color="auto"/>
        <w:right w:val="none" w:sz="0" w:space="0" w:color="auto"/>
      </w:divBdr>
    </w:div>
    <w:div w:id="1555189783">
      <w:bodyDiv w:val="1"/>
      <w:marLeft w:val="0"/>
      <w:marRight w:val="0"/>
      <w:marTop w:val="0"/>
      <w:marBottom w:val="0"/>
      <w:divBdr>
        <w:top w:val="none" w:sz="0" w:space="0" w:color="auto"/>
        <w:left w:val="none" w:sz="0" w:space="0" w:color="auto"/>
        <w:bottom w:val="none" w:sz="0" w:space="0" w:color="auto"/>
        <w:right w:val="none" w:sz="0" w:space="0" w:color="auto"/>
      </w:divBdr>
    </w:div>
    <w:div w:id="1558976652">
      <w:bodyDiv w:val="1"/>
      <w:marLeft w:val="0"/>
      <w:marRight w:val="0"/>
      <w:marTop w:val="0"/>
      <w:marBottom w:val="0"/>
      <w:divBdr>
        <w:top w:val="none" w:sz="0" w:space="0" w:color="auto"/>
        <w:left w:val="none" w:sz="0" w:space="0" w:color="auto"/>
        <w:bottom w:val="none" w:sz="0" w:space="0" w:color="auto"/>
        <w:right w:val="none" w:sz="0" w:space="0" w:color="auto"/>
      </w:divBdr>
    </w:div>
    <w:div w:id="1564873122">
      <w:bodyDiv w:val="1"/>
      <w:marLeft w:val="0"/>
      <w:marRight w:val="0"/>
      <w:marTop w:val="0"/>
      <w:marBottom w:val="0"/>
      <w:divBdr>
        <w:top w:val="none" w:sz="0" w:space="0" w:color="auto"/>
        <w:left w:val="none" w:sz="0" w:space="0" w:color="auto"/>
        <w:bottom w:val="none" w:sz="0" w:space="0" w:color="auto"/>
        <w:right w:val="none" w:sz="0" w:space="0" w:color="auto"/>
      </w:divBdr>
    </w:div>
    <w:div w:id="1565530947">
      <w:bodyDiv w:val="1"/>
      <w:marLeft w:val="0"/>
      <w:marRight w:val="0"/>
      <w:marTop w:val="0"/>
      <w:marBottom w:val="0"/>
      <w:divBdr>
        <w:top w:val="none" w:sz="0" w:space="0" w:color="auto"/>
        <w:left w:val="none" w:sz="0" w:space="0" w:color="auto"/>
        <w:bottom w:val="none" w:sz="0" w:space="0" w:color="auto"/>
        <w:right w:val="none" w:sz="0" w:space="0" w:color="auto"/>
      </w:divBdr>
      <w:divsChild>
        <w:div w:id="34234264">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66909663">
      <w:bodyDiv w:val="1"/>
      <w:marLeft w:val="0"/>
      <w:marRight w:val="0"/>
      <w:marTop w:val="0"/>
      <w:marBottom w:val="0"/>
      <w:divBdr>
        <w:top w:val="none" w:sz="0" w:space="0" w:color="auto"/>
        <w:left w:val="none" w:sz="0" w:space="0" w:color="auto"/>
        <w:bottom w:val="none" w:sz="0" w:space="0" w:color="auto"/>
        <w:right w:val="none" w:sz="0" w:space="0" w:color="auto"/>
      </w:divBdr>
    </w:div>
    <w:div w:id="1568299324">
      <w:bodyDiv w:val="1"/>
      <w:marLeft w:val="0"/>
      <w:marRight w:val="0"/>
      <w:marTop w:val="0"/>
      <w:marBottom w:val="0"/>
      <w:divBdr>
        <w:top w:val="none" w:sz="0" w:space="0" w:color="auto"/>
        <w:left w:val="none" w:sz="0" w:space="0" w:color="auto"/>
        <w:bottom w:val="none" w:sz="0" w:space="0" w:color="auto"/>
        <w:right w:val="none" w:sz="0" w:space="0" w:color="auto"/>
      </w:divBdr>
    </w:div>
    <w:div w:id="1573152029">
      <w:bodyDiv w:val="1"/>
      <w:marLeft w:val="0"/>
      <w:marRight w:val="0"/>
      <w:marTop w:val="0"/>
      <w:marBottom w:val="0"/>
      <w:divBdr>
        <w:top w:val="none" w:sz="0" w:space="0" w:color="auto"/>
        <w:left w:val="none" w:sz="0" w:space="0" w:color="auto"/>
        <w:bottom w:val="none" w:sz="0" w:space="0" w:color="auto"/>
        <w:right w:val="none" w:sz="0" w:space="0" w:color="auto"/>
      </w:divBdr>
      <w:divsChild>
        <w:div w:id="139377440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2788368">
      <w:bodyDiv w:val="1"/>
      <w:marLeft w:val="0"/>
      <w:marRight w:val="0"/>
      <w:marTop w:val="0"/>
      <w:marBottom w:val="0"/>
      <w:divBdr>
        <w:top w:val="none" w:sz="0" w:space="0" w:color="auto"/>
        <w:left w:val="none" w:sz="0" w:space="0" w:color="auto"/>
        <w:bottom w:val="none" w:sz="0" w:space="0" w:color="auto"/>
        <w:right w:val="none" w:sz="0" w:space="0" w:color="auto"/>
      </w:divBdr>
    </w:div>
    <w:div w:id="1582988546">
      <w:bodyDiv w:val="1"/>
      <w:marLeft w:val="0"/>
      <w:marRight w:val="0"/>
      <w:marTop w:val="0"/>
      <w:marBottom w:val="0"/>
      <w:divBdr>
        <w:top w:val="none" w:sz="0" w:space="0" w:color="auto"/>
        <w:left w:val="none" w:sz="0" w:space="0" w:color="auto"/>
        <w:bottom w:val="none" w:sz="0" w:space="0" w:color="auto"/>
        <w:right w:val="none" w:sz="0" w:space="0" w:color="auto"/>
      </w:divBdr>
    </w:div>
    <w:div w:id="1585217017">
      <w:bodyDiv w:val="1"/>
      <w:marLeft w:val="0"/>
      <w:marRight w:val="0"/>
      <w:marTop w:val="0"/>
      <w:marBottom w:val="0"/>
      <w:divBdr>
        <w:top w:val="none" w:sz="0" w:space="0" w:color="auto"/>
        <w:left w:val="none" w:sz="0" w:space="0" w:color="auto"/>
        <w:bottom w:val="none" w:sz="0" w:space="0" w:color="auto"/>
        <w:right w:val="none" w:sz="0" w:space="0" w:color="auto"/>
      </w:divBdr>
    </w:div>
    <w:div w:id="1585650268">
      <w:bodyDiv w:val="1"/>
      <w:marLeft w:val="0"/>
      <w:marRight w:val="0"/>
      <w:marTop w:val="0"/>
      <w:marBottom w:val="0"/>
      <w:divBdr>
        <w:top w:val="none" w:sz="0" w:space="0" w:color="auto"/>
        <w:left w:val="none" w:sz="0" w:space="0" w:color="auto"/>
        <w:bottom w:val="none" w:sz="0" w:space="0" w:color="auto"/>
        <w:right w:val="none" w:sz="0" w:space="0" w:color="auto"/>
      </w:divBdr>
      <w:divsChild>
        <w:div w:id="4802686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85651235">
      <w:bodyDiv w:val="1"/>
      <w:marLeft w:val="0"/>
      <w:marRight w:val="0"/>
      <w:marTop w:val="0"/>
      <w:marBottom w:val="0"/>
      <w:divBdr>
        <w:top w:val="none" w:sz="0" w:space="0" w:color="auto"/>
        <w:left w:val="none" w:sz="0" w:space="0" w:color="auto"/>
        <w:bottom w:val="none" w:sz="0" w:space="0" w:color="auto"/>
        <w:right w:val="none" w:sz="0" w:space="0" w:color="auto"/>
      </w:divBdr>
    </w:div>
    <w:div w:id="1592197677">
      <w:bodyDiv w:val="1"/>
      <w:marLeft w:val="0"/>
      <w:marRight w:val="0"/>
      <w:marTop w:val="0"/>
      <w:marBottom w:val="0"/>
      <w:divBdr>
        <w:top w:val="none" w:sz="0" w:space="0" w:color="auto"/>
        <w:left w:val="none" w:sz="0" w:space="0" w:color="auto"/>
        <w:bottom w:val="none" w:sz="0" w:space="0" w:color="auto"/>
        <w:right w:val="none" w:sz="0" w:space="0" w:color="auto"/>
      </w:divBdr>
    </w:div>
    <w:div w:id="1593051821">
      <w:bodyDiv w:val="1"/>
      <w:marLeft w:val="0"/>
      <w:marRight w:val="0"/>
      <w:marTop w:val="0"/>
      <w:marBottom w:val="0"/>
      <w:divBdr>
        <w:top w:val="none" w:sz="0" w:space="0" w:color="auto"/>
        <w:left w:val="none" w:sz="0" w:space="0" w:color="auto"/>
        <w:bottom w:val="none" w:sz="0" w:space="0" w:color="auto"/>
        <w:right w:val="none" w:sz="0" w:space="0" w:color="auto"/>
      </w:divBdr>
    </w:div>
    <w:div w:id="1597129534">
      <w:bodyDiv w:val="1"/>
      <w:marLeft w:val="0"/>
      <w:marRight w:val="0"/>
      <w:marTop w:val="0"/>
      <w:marBottom w:val="0"/>
      <w:divBdr>
        <w:top w:val="none" w:sz="0" w:space="0" w:color="auto"/>
        <w:left w:val="none" w:sz="0" w:space="0" w:color="auto"/>
        <w:bottom w:val="none" w:sz="0" w:space="0" w:color="auto"/>
        <w:right w:val="none" w:sz="0" w:space="0" w:color="auto"/>
      </w:divBdr>
    </w:div>
    <w:div w:id="1597329145">
      <w:bodyDiv w:val="1"/>
      <w:marLeft w:val="0"/>
      <w:marRight w:val="0"/>
      <w:marTop w:val="0"/>
      <w:marBottom w:val="0"/>
      <w:divBdr>
        <w:top w:val="none" w:sz="0" w:space="0" w:color="auto"/>
        <w:left w:val="none" w:sz="0" w:space="0" w:color="auto"/>
        <w:bottom w:val="none" w:sz="0" w:space="0" w:color="auto"/>
        <w:right w:val="none" w:sz="0" w:space="0" w:color="auto"/>
      </w:divBdr>
    </w:div>
    <w:div w:id="1597402131">
      <w:bodyDiv w:val="1"/>
      <w:marLeft w:val="0"/>
      <w:marRight w:val="0"/>
      <w:marTop w:val="0"/>
      <w:marBottom w:val="0"/>
      <w:divBdr>
        <w:top w:val="none" w:sz="0" w:space="0" w:color="auto"/>
        <w:left w:val="none" w:sz="0" w:space="0" w:color="auto"/>
        <w:bottom w:val="none" w:sz="0" w:space="0" w:color="auto"/>
        <w:right w:val="none" w:sz="0" w:space="0" w:color="auto"/>
      </w:divBdr>
    </w:div>
    <w:div w:id="1601332040">
      <w:bodyDiv w:val="1"/>
      <w:marLeft w:val="0"/>
      <w:marRight w:val="0"/>
      <w:marTop w:val="0"/>
      <w:marBottom w:val="0"/>
      <w:divBdr>
        <w:top w:val="none" w:sz="0" w:space="0" w:color="auto"/>
        <w:left w:val="none" w:sz="0" w:space="0" w:color="auto"/>
        <w:bottom w:val="none" w:sz="0" w:space="0" w:color="auto"/>
        <w:right w:val="none" w:sz="0" w:space="0" w:color="auto"/>
      </w:divBdr>
    </w:div>
    <w:div w:id="1601910304">
      <w:bodyDiv w:val="1"/>
      <w:marLeft w:val="0"/>
      <w:marRight w:val="0"/>
      <w:marTop w:val="0"/>
      <w:marBottom w:val="0"/>
      <w:divBdr>
        <w:top w:val="none" w:sz="0" w:space="0" w:color="auto"/>
        <w:left w:val="none" w:sz="0" w:space="0" w:color="auto"/>
        <w:bottom w:val="none" w:sz="0" w:space="0" w:color="auto"/>
        <w:right w:val="none" w:sz="0" w:space="0" w:color="auto"/>
      </w:divBdr>
    </w:div>
    <w:div w:id="1607351857">
      <w:bodyDiv w:val="1"/>
      <w:marLeft w:val="0"/>
      <w:marRight w:val="0"/>
      <w:marTop w:val="0"/>
      <w:marBottom w:val="0"/>
      <w:divBdr>
        <w:top w:val="none" w:sz="0" w:space="0" w:color="auto"/>
        <w:left w:val="none" w:sz="0" w:space="0" w:color="auto"/>
        <w:bottom w:val="none" w:sz="0" w:space="0" w:color="auto"/>
        <w:right w:val="none" w:sz="0" w:space="0" w:color="auto"/>
      </w:divBdr>
    </w:div>
    <w:div w:id="1609775860">
      <w:bodyDiv w:val="1"/>
      <w:marLeft w:val="0"/>
      <w:marRight w:val="0"/>
      <w:marTop w:val="0"/>
      <w:marBottom w:val="0"/>
      <w:divBdr>
        <w:top w:val="none" w:sz="0" w:space="0" w:color="auto"/>
        <w:left w:val="none" w:sz="0" w:space="0" w:color="auto"/>
        <w:bottom w:val="none" w:sz="0" w:space="0" w:color="auto"/>
        <w:right w:val="none" w:sz="0" w:space="0" w:color="auto"/>
      </w:divBdr>
      <w:divsChild>
        <w:div w:id="985932525">
          <w:blockQuote w:val="1"/>
          <w:marLeft w:val="720"/>
          <w:marRight w:val="720"/>
          <w:marTop w:val="100"/>
          <w:marBottom w:val="100"/>
          <w:divBdr>
            <w:top w:val="single" w:sz="2" w:space="0" w:color="auto"/>
            <w:left w:val="single" w:sz="12" w:space="0" w:color="auto"/>
            <w:bottom w:val="single" w:sz="2" w:space="0" w:color="auto"/>
            <w:right w:val="single" w:sz="2" w:space="0" w:color="auto"/>
          </w:divBdr>
        </w:div>
      </w:divsChild>
    </w:div>
    <w:div w:id="1610044907">
      <w:bodyDiv w:val="1"/>
      <w:marLeft w:val="0"/>
      <w:marRight w:val="0"/>
      <w:marTop w:val="0"/>
      <w:marBottom w:val="0"/>
      <w:divBdr>
        <w:top w:val="none" w:sz="0" w:space="0" w:color="auto"/>
        <w:left w:val="none" w:sz="0" w:space="0" w:color="auto"/>
        <w:bottom w:val="none" w:sz="0" w:space="0" w:color="auto"/>
        <w:right w:val="none" w:sz="0" w:space="0" w:color="auto"/>
      </w:divBdr>
    </w:div>
    <w:div w:id="1610507205">
      <w:bodyDiv w:val="1"/>
      <w:marLeft w:val="0"/>
      <w:marRight w:val="0"/>
      <w:marTop w:val="0"/>
      <w:marBottom w:val="0"/>
      <w:divBdr>
        <w:top w:val="none" w:sz="0" w:space="0" w:color="auto"/>
        <w:left w:val="none" w:sz="0" w:space="0" w:color="auto"/>
        <w:bottom w:val="none" w:sz="0" w:space="0" w:color="auto"/>
        <w:right w:val="none" w:sz="0" w:space="0" w:color="auto"/>
      </w:divBdr>
    </w:div>
    <w:div w:id="1612005670">
      <w:bodyDiv w:val="1"/>
      <w:marLeft w:val="0"/>
      <w:marRight w:val="0"/>
      <w:marTop w:val="0"/>
      <w:marBottom w:val="0"/>
      <w:divBdr>
        <w:top w:val="none" w:sz="0" w:space="0" w:color="auto"/>
        <w:left w:val="none" w:sz="0" w:space="0" w:color="auto"/>
        <w:bottom w:val="none" w:sz="0" w:space="0" w:color="auto"/>
        <w:right w:val="none" w:sz="0" w:space="0" w:color="auto"/>
      </w:divBdr>
    </w:div>
    <w:div w:id="1613123230">
      <w:bodyDiv w:val="1"/>
      <w:marLeft w:val="0"/>
      <w:marRight w:val="0"/>
      <w:marTop w:val="0"/>
      <w:marBottom w:val="0"/>
      <w:divBdr>
        <w:top w:val="none" w:sz="0" w:space="0" w:color="auto"/>
        <w:left w:val="none" w:sz="0" w:space="0" w:color="auto"/>
        <w:bottom w:val="none" w:sz="0" w:space="0" w:color="auto"/>
        <w:right w:val="none" w:sz="0" w:space="0" w:color="auto"/>
      </w:divBdr>
    </w:div>
    <w:div w:id="1613592370">
      <w:bodyDiv w:val="1"/>
      <w:marLeft w:val="0"/>
      <w:marRight w:val="0"/>
      <w:marTop w:val="0"/>
      <w:marBottom w:val="0"/>
      <w:divBdr>
        <w:top w:val="none" w:sz="0" w:space="0" w:color="auto"/>
        <w:left w:val="none" w:sz="0" w:space="0" w:color="auto"/>
        <w:bottom w:val="none" w:sz="0" w:space="0" w:color="auto"/>
        <w:right w:val="none" w:sz="0" w:space="0" w:color="auto"/>
      </w:divBdr>
      <w:divsChild>
        <w:div w:id="8137167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14048491">
      <w:bodyDiv w:val="1"/>
      <w:marLeft w:val="0"/>
      <w:marRight w:val="0"/>
      <w:marTop w:val="0"/>
      <w:marBottom w:val="0"/>
      <w:divBdr>
        <w:top w:val="none" w:sz="0" w:space="0" w:color="auto"/>
        <w:left w:val="none" w:sz="0" w:space="0" w:color="auto"/>
        <w:bottom w:val="none" w:sz="0" w:space="0" w:color="auto"/>
        <w:right w:val="none" w:sz="0" w:space="0" w:color="auto"/>
      </w:divBdr>
    </w:div>
    <w:div w:id="1614744263">
      <w:bodyDiv w:val="1"/>
      <w:marLeft w:val="0"/>
      <w:marRight w:val="0"/>
      <w:marTop w:val="0"/>
      <w:marBottom w:val="0"/>
      <w:divBdr>
        <w:top w:val="none" w:sz="0" w:space="0" w:color="auto"/>
        <w:left w:val="none" w:sz="0" w:space="0" w:color="auto"/>
        <w:bottom w:val="none" w:sz="0" w:space="0" w:color="auto"/>
        <w:right w:val="none" w:sz="0" w:space="0" w:color="auto"/>
      </w:divBdr>
    </w:div>
    <w:div w:id="1623995756">
      <w:bodyDiv w:val="1"/>
      <w:marLeft w:val="0"/>
      <w:marRight w:val="0"/>
      <w:marTop w:val="0"/>
      <w:marBottom w:val="0"/>
      <w:divBdr>
        <w:top w:val="none" w:sz="0" w:space="0" w:color="auto"/>
        <w:left w:val="none" w:sz="0" w:space="0" w:color="auto"/>
        <w:bottom w:val="none" w:sz="0" w:space="0" w:color="auto"/>
        <w:right w:val="none" w:sz="0" w:space="0" w:color="auto"/>
      </w:divBdr>
    </w:div>
    <w:div w:id="1627201458">
      <w:bodyDiv w:val="1"/>
      <w:marLeft w:val="0"/>
      <w:marRight w:val="0"/>
      <w:marTop w:val="0"/>
      <w:marBottom w:val="0"/>
      <w:divBdr>
        <w:top w:val="none" w:sz="0" w:space="0" w:color="auto"/>
        <w:left w:val="none" w:sz="0" w:space="0" w:color="auto"/>
        <w:bottom w:val="none" w:sz="0" w:space="0" w:color="auto"/>
        <w:right w:val="none" w:sz="0" w:space="0" w:color="auto"/>
      </w:divBdr>
    </w:div>
    <w:div w:id="1627931645">
      <w:bodyDiv w:val="1"/>
      <w:marLeft w:val="0"/>
      <w:marRight w:val="0"/>
      <w:marTop w:val="0"/>
      <w:marBottom w:val="0"/>
      <w:divBdr>
        <w:top w:val="none" w:sz="0" w:space="0" w:color="auto"/>
        <w:left w:val="none" w:sz="0" w:space="0" w:color="auto"/>
        <w:bottom w:val="none" w:sz="0" w:space="0" w:color="auto"/>
        <w:right w:val="none" w:sz="0" w:space="0" w:color="auto"/>
      </w:divBdr>
    </w:div>
    <w:div w:id="1636106396">
      <w:bodyDiv w:val="1"/>
      <w:marLeft w:val="0"/>
      <w:marRight w:val="0"/>
      <w:marTop w:val="0"/>
      <w:marBottom w:val="0"/>
      <w:divBdr>
        <w:top w:val="none" w:sz="0" w:space="0" w:color="auto"/>
        <w:left w:val="none" w:sz="0" w:space="0" w:color="auto"/>
        <w:bottom w:val="none" w:sz="0" w:space="0" w:color="auto"/>
        <w:right w:val="none" w:sz="0" w:space="0" w:color="auto"/>
      </w:divBdr>
    </w:div>
    <w:div w:id="1636332707">
      <w:bodyDiv w:val="1"/>
      <w:marLeft w:val="0"/>
      <w:marRight w:val="0"/>
      <w:marTop w:val="0"/>
      <w:marBottom w:val="0"/>
      <w:divBdr>
        <w:top w:val="none" w:sz="0" w:space="0" w:color="auto"/>
        <w:left w:val="none" w:sz="0" w:space="0" w:color="auto"/>
        <w:bottom w:val="none" w:sz="0" w:space="0" w:color="auto"/>
        <w:right w:val="none" w:sz="0" w:space="0" w:color="auto"/>
      </w:divBdr>
      <w:divsChild>
        <w:div w:id="4404896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36642567">
      <w:bodyDiv w:val="1"/>
      <w:marLeft w:val="0"/>
      <w:marRight w:val="0"/>
      <w:marTop w:val="0"/>
      <w:marBottom w:val="0"/>
      <w:divBdr>
        <w:top w:val="none" w:sz="0" w:space="0" w:color="auto"/>
        <w:left w:val="none" w:sz="0" w:space="0" w:color="auto"/>
        <w:bottom w:val="none" w:sz="0" w:space="0" w:color="auto"/>
        <w:right w:val="none" w:sz="0" w:space="0" w:color="auto"/>
      </w:divBdr>
    </w:div>
    <w:div w:id="1642687738">
      <w:bodyDiv w:val="1"/>
      <w:marLeft w:val="0"/>
      <w:marRight w:val="0"/>
      <w:marTop w:val="0"/>
      <w:marBottom w:val="0"/>
      <w:divBdr>
        <w:top w:val="none" w:sz="0" w:space="0" w:color="auto"/>
        <w:left w:val="none" w:sz="0" w:space="0" w:color="auto"/>
        <w:bottom w:val="none" w:sz="0" w:space="0" w:color="auto"/>
        <w:right w:val="none" w:sz="0" w:space="0" w:color="auto"/>
      </w:divBdr>
    </w:div>
    <w:div w:id="1642999212">
      <w:bodyDiv w:val="1"/>
      <w:marLeft w:val="0"/>
      <w:marRight w:val="0"/>
      <w:marTop w:val="0"/>
      <w:marBottom w:val="0"/>
      <w:divBdr>
        <w:top w:val="none" w:sz="0" w:space="0" w:color="auto"/>
        <w:left w:val="none" w:sz="0" w:space="0" w:color="auto"/>
        <w:bottom w:val="none" w:sz="0" w:space="0" w:color="auto"/>
        <w:right w:val="none" w:sz="0" w:space="0" w:color="auto"/>
      </w:divBdr>
    </w:div>
    <w:div w:id="1649627440">
      <w:bodyDiv w:val="1"/>
      <w:marLeft w:val="0"/>
      <w:marRight w:val="0"/>
      <w:marTop w:val="0"/>
      <w:marBottom w:val="0"/>
      <w:divBdr>
        <w:top w:val="none" w:sz="0" w:space="0" w:color="auto"/>
        <w:left w:val="none" w:sz="0" w:space="0" w:color="auto"/>
        <w:bottom w:val="none" w:sz="0" w:space="0" w:color="auto"/>
        <w:right w:val="none" w:sz="0" w:space="0" w:color="auto"/>
      </w:divBdr>
    </w:div>
    <w:div w:id="1653561147">
      <w:bodyDiv w:val="1"/>
      <w:marLeft w:val="0"/>
      <w:marRight w:val="0"/>
      <w:marTop w:val="0"/>
      <w:marBottom w:val="0"/>
      <w:divBdr>
        <w:top w:val="none" w:sz="0" w:space="0" w:color="auto"/>
        <w:left w:val="none" w:sz="0" w:space="0" w:color="auto"/>
        <w:bottom w:val="none" w:sz="0" w:space="0" w:color="auto"/>
        <w:right w:val="none" w:sz="0" w:space="0" w:color="auto"/>
      </w:divBdr>
      <w:divsChild>
        <w:div w:id="7004717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59723000">
      <w:bodyDiv w:val="1"/>
      <w:marLeft w:val="0"/>
      <w:marRight w:val="0"/>
      <w:marTop w:val="0"/>
      <w:marBottom w:val="0"/>
      <w:divBdr>
        <w:top w:val="none" w:sz="0" w:space="0" w:color="auto"/>
        <w:left w:val="none" w:sz="0" w:space="0" w:color="auto"/>
        <w:bottom w:val="none" w:sz="0" w:space="0" w:color="auto"/>
        <w:right w:val="none" w:sz="0" w:space="0" w:color="auto"/>
      </w:divBdr>
    </w:div>
    <w:div w:id="1660576017">
      <w:bodyDiv w:val="1"/>
      <w:marLeft w:val="0"/>
      <w:marRight w:val="0"/>
      <w:marTop w:val="0"/>
      <w:marBottom w:val="0"/>
      <w:divBdr>
        <w:top w:val="none" w:sz="0" w:space="0" w:color="auto"/>
        <w:left w:val="none" w:sz="0" w:space="0" w:color="auto"/>
        <w:bottom w:val="none" w:sz="0" w:space="0" w:color="auto"/>
        <w:right w:val="none" w:sz="0" w:space="0" w:color="auto"/>
      </w:divBdr>
    </w:div>
    <w:div w:id="1662269947">
      <w:bodyDiv w:val="1"/>
      <w:marLeft w:val="0"/>
      <w:marRight w:val="0"/>
      <w:marTop w:val="0"/>
      <w:marBottom w:val="0"/>
      <w:divBdr>
        <w:top w:val="none" w:sz="0" w:space="0" w:color="auto"/>
        <w:left w:val="none" w:sz="0" w:space="0" w:color="auto"/>
        <w:bottom w:val="none" w:sz="0" w:space="0" w:color="auto"/>
        <w:right w:val="none" w:sz="0" w:space="0" w:color="auto"/>
      </w:divBdr>
    </w:div>
    <w:div w:id="1673873691">
      <w:bodyDiv w:val="1"/>
      <w:marLeft w:val="0"/>
      <w:marRight w:val="0"/>
      <w:marTop w:val="0"/>
      <w:marBottom w:val="0"/>
      <w:divBdr>
        <w:top w:val="none" w:sz="0" w:space="0" w:color="auto"/>
        <w:left w:val="none" w:sz="0" w:space="0" w:color="auto"/>
        <w:bottom w:val="none" w:sz="0" w:space="0" w:color="auto"/>
        <w:right w:val="none" w:sz="0" w:space="0" w:color="auto"/>
      </w:divBdr>
    </w:div>
    <w:div w:id="1687713978">
      <w:bodyDiv w:val="1"/>
      <w:marLeft w:val="0"/>
      <w:marRight w:val="0"/>
      <w:marTop w:val="0"/>
      <w:marBottom w:val="0"/>
      <w:divBdr>
        <w:top w:val="none" w:sz="0" w:space="0" w:color="auto"/>
        <w:left w:val="none" w:sz="0" w:space="0" w:color="auto"/>
        <w:bottom w:val="none" w:sz="0" w:space="0" w:color="auto"/>
        <w:right w:val="none" w:sz="0" w:space="0" w:color="auto"/>
      </w:divBdr>
    </w:div>
    <w:div w:id="1699114349">
      <w:bodyDiv w:val="1"/>
      <w:marLeft w:val="0"/>
      <w:marRight w:val="0"/>
      <w:marTop w:val="0"/>
      <w:marBottom w:val="0"/>
      <w:divBdr>
        <w:top w:val="none" w:sz="0" w:space="0" w:color="auto"/>
        <w:left w:val="none" w:sz="0" w:space="0" w:color="auto"/>
        <w:bottom w:val="none" w:sz="0" w:space="0" w:color="auto"/>
        <w:right w:val="none" w:sz="0" w:space="0" w:color="auto"/>
      </w:divBdr>
    </w:div>
    <w:div w:id="1701708389">
      <w:bodyDiv w:val="1"/>
      <w:marLeft w:val="0"/>
      <w:marRight w:val="0"/>
      <w:marTop w:val="0"/>
      <w:marBottom w:val="0"/>
      <w:divBdr>
        <w:top w:val="none" w:sz="0" w:space="0" w:color="auto"/>
        <w:left w:val="none" w:sz="0" w:space="0" w:color="auto"/>
        <w:bottom w:val="none" w:sz="0" w:space="0" w:color="auto"/>
        <w:right w:val="none" w:sz="0" w:space="0" w:color="auto"/>
      </w:divBdr>
      <w:divsChild>
        <w:div w:id="38903940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06368856">
      <w:bodyDiv w:val="1"/>
      <w:marLeft w:val="0"/>
      <w:marRight w:val="0"/>
      <w:marTop w:val="0"/>
      <w:marBottom w:val="0"/>
      <w:divBdr>
        <w:top w:val="none" w:sz="0" w:space="0" w:color="auto"/>
        <w:left w:val="none" w:sz="0" w:space="0" w:color="auto"/>
        <w:bottom w:val="none" w:sz="0" w:space="0" w:color="auto"/>
        <w:right w:val="none" w:sz="0" w:space="0" w:color="auto"/>
      </w:divBdr>
      <w:divsChild>
        <w:div w:id="104852929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06829840">
      <w:bodyDiv w:val="1"/>
      <w:marLeft w:val="0"/>
      <w:marRight w:val="0"/>
      <w:marTop w:val="0"/>
      <w:marBottom w:val="0"/>
      <w:divBdr>
        <w:top w:val="none" w:sz="0" w:space="0" w:color="auto"/>
        <w:left w:val="none" w:sz="0" w:space="0" w:color="auto"/>
        <w:bottom w:val="none" w:sz="0" w:space="0" w:color="auto"/>
        <w:right w:val="none" w:sz="0" w:space="0" w:color="auto"/>
      </w:divBdr>
      <w:divsChild>
        <w:div w:id="168836301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16150521">
      <w:bodyDiv w:val="1"/>
      <w:marLeft w:val="0"/>
      <w:marRight w:val="0"/>
      <w:marTop w:val="0"/>
      <w:marBottom w:val="0"/>
      <w:divBdr>
        <w:top w:val="none" w:sz="0" w:space="0" w:color="auto"/>
        <w:left w:val="none" w:sz="0" w:space="0" w:color="auto"/>
        <w:bottom w:val="none" w:sz="0" w:space="0" w:color="auto"/>
        <w:right w:val="none" w:sz="0" w:space="0" w:color="auto"/>
      </w:divBdr>
    </w:div>
    <w:div w:id="1716349609">
      <w:bodyDiv w:val="1"/>
      <w:marLeft w:val="0"/>
      <w:marRight w:val="0"/>
      <w:marTop w:val="0"/>
      <w:marBottom w:val="0"/>
      <w:divBdr>
        <w:top w:val="none" w:sz="0" w:space="0" w:color="auto"/>
        <w:left w:val="none" w:sz="0" w:space="0" w:color="auto"/>
        <w:bottom w:val="none" w:sz="0" w:space="0" w:color="auto"/>
        <w:right w:val="none" w:sz="0" w:space="0" w:color="auto"/>
      </w:divBdr>
    </w:div>
    <w:div w:id="1717779152">
      <w:bodyDiv w:val="1"/>
      <w:marLeft w:val="0"/>
      <w:marRight w:val="0"/>
      <w:marTop w:val="0"/>
      <w:marBottom w:val="0"/>
      <w:divBdr>
        <w:top w:val="none" w:sz="0" w:space="0" w:color="auto"/>
        <w:left w:val="none" w:sz="0" w:space="0" w:color="auto"/>
        <w:bottom w:val="none" w:sz="0" w:space="0" w:color="auto"/>
        <w:right w:val="none" w:sz="0" w:space="0" w:color="auto"/>
      </w:divBdr>
    </w:div>
    <w:div w:id="1724788069">
      <w:bodyDiv w:val="1"/>
      <w:marLeft w:val="0"/>
      <w:marRight w:val="0"/>
      <w:marTop w:val="0"/>
      <w:marBottom w:val="0"/>
      <w:divBdr>
        <w:top w:val="none" w:sz="0" w:space="0" w:color="auto"/>
        <w:left w:val="none" w:sz="0" w:space="0" w:color="auto"/>
        <w:bottom w:val="none" w:sz="0" w:space="0" w:color="auto"/>
        <w:right w:val="none" w:sz="0" w:space="0" w:color="auto"/>
      </w:divBdr>
    </w:div>
    <w:div w:id="1726219635">
      <w:bodyDiv w:val="1"/>
      <w:marLeft w:val="0"/>
      <w:marRight w:val="0"/>
      <w:marTop w:val="0"/>
      <w:marBottom w:val="0"/>
      <w:divBdr>
        <w:top w:val="none" w:sz="0" w:space="0" w:color="auto"/>
        <w:left w:val="none" w:sz="0" w:space="0" w:color="auto"/>
        <w:bottom w:val="none" w:sz="0" w:space="0" w:color="auto"/>
        <w:right w:val="none" w:sz="0" w:space="0" w:color="auto"/>
      </w:divBdr>
      <w:divsChild>
        <w:div w:id="2137988067">
          <w:blockQuote w:val="1"/>
          <w:marLeft w:val="720"/>
          <w:marRight w:val="720"/>
          <w:marTop w:val="100"/>
          <w:marBottom w:val="100"/>
          <w:divBdr>
            <w:top w:val="single" w:sz="2" w:space="0" w:color="auto"/>
            <w:left w:val="single" w:sz="12" w:space="0" w:color="auto"/>
            <w:bottom w:val="single" w:sz="2" w:space="0" w:color="auto"/>
            <w:right w:val="single" w:sz="2" w:space="0" w:color="auto"/>
          </w:divBdr>
        </w:div>
      </w:divsChild>
    </w:div>
    <w:div w:id="1726248746">
      <w:bodyDiv w:val="1"/>
      <w:marLeft w:val="0"/>
      <w:marRight w:val="0"/>
      <w:marTop w:val="0"/>
      <w:marBottom w:val="0"/>
      <w:divBdr>
        <w:top w:val="none" w:sz="0" w:space="0" w:color="auto"/>
        <w:left w:val="none" w:sz="0" w:space="0" w:color="auto"/>
        <w:bottom w:val="none" w:sz="0" w:space="0" w:color="auto"/>
        <w:right w:val="none" w:sz="0" w:space="0" w:color="auto"/>
      </w:divBdr>
    </w:div>
    <w:div w:id="1726415124">
      <w:bodyDiv w:val="1"/>
      <w:marLeft w:val="0"/>
      <w:marRight w:val="0"/>
      <w:marTop w:val="0"/>
      <w:marBottom w:val="0"/>
      <w:divBdr>
        <w:top w:val="none" w:sz="0" w:space="0" w:color="auto"/>
        <w:left w:val="none" w:sz="0" w:space="0" w:color="auto"/>
        <w:bottom w:val="none" w:sz="0" w:space="0" w:color="auto"/>
        <w:right w:val="none" w:sz="0" w:space="0" w:color="auto"/>
      </w:divBdr>
      <w:divsChild>
        <w:div w:id="53289094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28799538">
      <w:bodyDiv w:val="1"/>
      <w:marLeft w:val="0"/>
      <w:marRight w:val="0"/>
      <w:marTop w:val="0"/>
      <w:marBottom w:val="0"/>
      <w:divBdr>
        <w:top w:val="none" w:sz="0" w:space="0" w:color="auto"/>
        <w:left w:val="none" w:sz="0" w:space="0" w:color="auto"/>
        <w:bottom w:val="none" w:sz="0" w:space="0" w:color="auto"/>
        <w:right w:val="none" w:sz="0" w:space="0" w:color="auto"/>
      </w:divBdr>
    </w:div>
    <w:div w:id="1737438907">
      <w:bodyDiv w:val="1"/>
      <w:marLeft w:val="0"/>
      <w:marRight w:val="0"/>
      <w:marTop w:val="0"/>
      <w:marBottom w:val="0"/>
      <w:divBdr>
        <w:top w:val="none" w:sz="0" w:space="0" w:color="auto"/>
        <w:left w:val="none" w:sz="0" w:space="0" w:color="auto"/>
        <w:bottom w:val="none" w:sz="0" w:space="0" w:color="auto"/>
        <w:right w:val="none" w:sz="0" w:space="0" w:color="auto"/>
      </w:divBdr>
    </w:div>
    <w:div w:id="1740907267">
      <w:bodyDiv w:val="1"/>
      <w:marLeft w:val="0"/>
      <w:marRight w:val="0"/>
      <w:marTop w:val="0"/>
      <w:marBottom w:val="0"/>
      <w:divBdr>
        <w:top w:val="none" w:sz="0" w:space="0" w:color="auto"/>
        <w:left w:val="none" w:sz="0" w:space="0" w:color="auto"/>
        <w:bottom w:val="none" w:sz="0" w:space="0" w:color="auto"/>
        <w:right w:val="none" w:sz="0" w:space="0" w:color="auto"/>
      </w:divBdr>
    </w:div>
    <w:div w:id="1741251905">
      <w:bodyDiv w:val="1"/>
      <w:marLeft w:val="0"/>
      <w:marRight w:val="0"/>
      <w:marTop w:val="0"/>
      <w:marBottom w:val="0"/>
      <w:divBdr>
        <w:top w:val="none" w:sz="0" w:space="0" w:color="auto"/>
        <w:left w:val="none" w:sz="0" w:space="0" w:color="auto"/>
        <w:bottom w:val="none" w:sz="0" w:space="0" w:color="auto"/>
        <w:right w:val="none" w:sz="0" w:space="0" w:color="auto"/>
      </w:divBdr>
    </w:div>
    <w:div w:id="1742409966">
      <w:bodyDiv w:val="1"/>
      <w:marLeft w:val="0"/>
      <w:marRight w:val="0"/>
      <w:marTop w:val="0"/>
      <w:marBottom w:val="0"/>
      <w:divBdr>
        <w:top w:val="none" w:sz="0" w:space="0" w:color="auto"/>
        <w:left w:val="none" w:sz="0" w:space="0" w:color="auto"/>
        <w:bottom w:val="none" w:sz="0" w:space="0" w:color="auto"/>
        <w:right w:val="none" w:sz="0" w:space="0" w:color="auto"/>
      </w:divBdr>
    </w:div>
    <w:div w:id="1743913842">
      <w:bodyDiv w:val="1"/>
      <w:marLeft w:val="0"/>
      <w:marRight w:val="0"/>
      <w:marTop w:val="0"/>
      <w:marBottom w:val="0"/>
      <w:divBdr>
        <w:top w:val="none" w:sz="0" w:space="0" w:color="auto"/>
        <w:left w:val="none" w:sz="0" w:space="0" w:color="auto"/>
        <w:bottom w:val="none" w:sz="0" w:space="0" w:color="auto"/>
        <w:right w:val="none" w:sz="0" w:space="0" w:color="auto"/>
      </w:divBdr>
    </w:div>
    <w:div w:id="1747458479">
      <w:bodyDiv w:val="1"/>
      <w:marLeft w:val="0"/>
      <w:marRight w:val="0"/>
      <w:marTop w:val="0"/>
      <w:marBottom w:val="0"/>
      <w:divBdr>
        <w:top w:val="none" w:sz="0" w:space="0" w:color="auto"/>
        <w:left w:val="none" w:sz="0" w:space="0" w:color="auto"/>
        <w:bottom w:val="none" w:sz="0" w:space="0" w:color="auto"/>
        <w:right w:val="none" w:sz="0" w:space="0" w:color="auto"/>
      </w:divBdr>
    </w:div>
    <w:div w:id="1756173293">
      <w:bodyDiv w:val="1"/>
      <w:marLeft w:val="0"/>
      <w:marRight w:val="0"/>
      <w:marTop w:val="0"/>
      <w:marBottom w:val="0"/>
      <w:divBdr>
        <w:top w:val="none" w:sz="0" w:space="0" w:color="auto"/>
        <w:left w:val="none" w:sz="0" w:space="0" w:color="auto"/>
        <w:bottom w:val="none" w:sz="0" w:space="0" w:color="auto"/>
        <w:right w:val="none" w:sz="0" w:space="0" w:color="auto"/>
      </w:divBdr>
    </w:div>
    <w:div w:id="1759595915">
      <w:bodyDiv w:val="1"/>
      <w:marLeft w:val="0"/>
      <w:marRight w:val="0"/>
      <w:marTop w:val="0"/>
      <w:marBottom w:val="0"/>
      <w:divBdr>
        <w:top w:val="none" w:sz="0" w:space="0" w:color="auto"/>
        <w:left w:val="none" w:sz="0" w:space="0" w:color="auto"/>
        <w:bottom w:val="none" w:sz="0" w:space="0" w:color="auto"/>
        <w:right w:val="none" w:sz="0" w:space="0" w:color="auto"/>
      </w:divBdr>
    </w:div>
    <w:div w:id="1759787259">
      <w:bodyDiv w:val="1"/>
      <w:marLeft w:val="0"/>
      <w:marRight w:val="0"/>
      <w:marTop w:val="0"/>
      <w:marBottom w:val="0"/>
      <w:divBdr>
        <w:top w:val="none" w:sz="0" w:space="0" w:color="auto"/>
        <w:left w:val="none" w:sz="0" w:space="0" w:color="auto"/>
        <w:bottom w:val="none" w:sz="0" w:space="0" w:color="auto"/>
        <w:right w:val="none" w:sz="0" w:space="0" w:color="auto"/>
      </w:divBdr>
    </w:div>
    <w:div w:id="1765566241">
      <w:bodyDiv w:val="1"/>
      <w:marLeft w:val="0"/>
      <w:marRight w:val="0"/>
      <w:marTop w:val="0"/>
      <w:marBottom w:val="0"/>
      <w:divBdr>
        <w:top w:val="none" w:sz="0" w:space="0" w:color="auto"/>
        <w:left w:val="none" w:sz="0" w:space="0" w:color="auto"/>
        <w:bottom w:val="none" w:sz="0" w:space="0" w:color="auto"/>
        <w:right w:val="none" w:sz="0" w:space="0" w:color="auto"/>
      </w:divBdr>
    </w:div>
    <w:div w:id="1765956342">
      <w:bodyDiv w:val="1"/>
      <w:marLeft w:val="0"/>
      <w:marRight w:val="0"/>
      <w:marTop w:val="0"/>
      <w:marBottom w:val="0"/>
      <w:divBdr>
        <w:top w:val="none" w:sz="0" w:space="0" w:color="auto"/>
        <w:left w:val="none" w:sz="0" w:space="0" w:color="auto"/>
        <w:bottom w:val="none" w:sz="0" w:space="0" w:color="auto"/>
        <w:right w:val="none" w:sz="0" w:space="0" w:color="auto"/>
      </w:divBdr>
    </w:div>
    <w:div w:id="1768770832">
      <w:bodyDiv w:val="1"/>
      <w:marLeft w:val="0"/>
      <w:marRight w:val="0"/>
      <w:marTop w:val="0"/>
      <w:marBottom w:val="0"/>
      <w:divBdr>
        <w:top w:val="none" w:sz="0" w:space="0" w:color="auto"/>
        <w:left w:val="none" w:sz="0" w:space="0" w:color="auto"/>
        <w:bottom w:val="none" w:sz="0" w:space="0" w:color="auto"/>
        <w:right w:val="none" w:sz="0" w:space="0" w:color="auto"/>
      </w:divBdr>
    </w:div>
    <w:div w:id="1770201608">
      <w:bodyDiv w:val="1"/>
      <w:marLeft w:val="0"/>
      <w:marRight w:val="0"/>
      <w:marTop w:val="0"/>
      <w:marBottom w:val="0"/>
      <w:divBdr>
        <w:top w:val="none" w:sz="0" w:space="0" w:color="auto"/>
        <w:left w:val="none" w:sz="0" w:space="0" w:color="auto"/>
        <w:bottom w:val="none" w:sz="0" w:space="0" w:color="auto"/>
        <w:right w:val="none" w:sz="0" w:space="0" w:color="auto"/>
      </w:divBdr>
    </w:div>
    <w:div w:id="1771731965">
      <w:bodyDiv w:val="1"/>
      <w:marLeft w:val="0"/>
      <w:marRight w:val="0"/>
      <w:marTop w:val="0"/>
      <w:marBottom w:val="0"/>
      <w:divBdr>
        <w:top w:val="none" w:sz="0" w:space="0" w:color="auto"/>
        <w:left w:val="none" w:sz="0" w:space="0" w:color="auto"/>
        <w:bottom w:val="none" w:sz="0" w:space="0" w:color="auto"/>
        <w:right w:val="none" w:sz="0" w:space="0" w:color="auto"/>
      </w:divBdr>
    </w:div>
    <w:div w:id="1772159340">
      <w:bodyDiv w:val="1"/>
      <w:marLeft w:val="0"/>
      <w:marRight w:val="0"/>
      <w:marTop w:val="0"/>
      <w:marBottom w:val="0"/>
      <w:divBdr>
        <w:top w:val="none" w:sz="0" w:space="0" w:color="auto"/>
        <w:left w:val="none" w:sz="0" w:space="0" w:color="auto"/>
        <w:bottom w:val="none" w:sz="0" w:space="0" w:color="auto"/>
        <w:right w:val="none" w:sz="0" w:space="0" w:color="auto"/>
      </w:divBdr>
    </w:div>
    <w:div w:id="1772160464">
      <w:bodyDiv w:val="1"/>
      <w:marLeft w:val="0"/>
      <w:marRight w:val="0"/>
      <w:marTop w:val="0"/>
      <w:marBottom w:val="0"/>
      <w:divBdr>
        <w:top w:val="none" w:sz="0" w:space="0" w:color="auto"/>
        <w:left w:val="none" w:sz="0" w:space="0" w:color="auto"/>
        <w:bottom w:val="none" w:sz="0" w:space="0" w:color="auto"/>
        <w:right w:val="none" w:sz="0" w:space="0" w:color="auto"/>
      </w:divBdr>
    </w:div>
    <w:div w:id="1783183774">
      <w:bodyDiv w:val="1"/>
      <w:marLeft w:val="0"/>
      <w:marRight w:val="0"/>
      <w:marTop w:val="0"/>
      <w:marBottom w:val="0"/>
      <w:divBdr>
        <w:top w:val="none" w:sz="0" w:space="0" w:color="auto"/>
        <w:left w:val="none" w:sz="0" w:space="0" w:color="auto"/>
        <w:bottom w:val="none" w:sz="0" w:space="0" w:color="auto"/>
        <w:right w:val="none" w:sz="0" w:space="0" w:color="auto"/>
      </w:divBdr>
    </w:div>
    <w:div w:id="1787120485">
      <w:bodyDiv w:val="1"/>
      <w:marLeft w:val="0"/>
      <w:marRight w:val="0"/>
      <w:marTop w:val="0"/>
      <w:marBottom w:val="0"/>
      <w:divBdr>
        <w:top w:val="none" w:sz="0" w:space="0" w:color="auto"/>
        <w:left w:val="none" w:sz="0" w:space="0" w:color="auto"/>
        <w:bottom w:val="none" w:sz="0" w:space="0" w:color="auto"/>
        <w:right w:val="none" w:sz="0" w:space="0" w:color="auto"/>
      </w:divBdr>
    </w:div>
    <w:div w:id="1789545524">
      <w:bodyDiv w:val="1"/>
      <w:marLeft w:val="0"/>
      <w:marRight w:val="0"/>
      <w:marTop w:val="0"/>
      <w:marBottom w:val="0"/>
      <w:divBdr>
        <w:top w:val="none" w:sz="0" w:space="0" w:color="auto"/>
        <w:left w:val="none" w:sz="0" w:space="0" w:color="auto"/>
        <w:bottom w:val="none" w:sz="0" w:space="0" w:color="auto"/>
        <w:right w:val="none" w:sz="0" w:space="0" w:color="auto"/>
      </w:divBdr>
    </w:div>
    <w:div w:id="1789660737">
      <w:bodyDiv w:val="1"/>
      <w:marLeft w:val="0"/>
      <w:marRight w:val="0"/>
      <w:marTop w:val="0"/>
      <w:marBottom w:val="0"/>
      <w:divBdr>
        <w:top w:val="none" w:sz="0" w:space="0" w:color="auto"/>
        <w:left w:val="none" w:sz="0" w:space="0" w:color="auto"/>
        <w:bottom w:val="none" w:sz="0" w:space="0" w:color="auto"/>
        <w:right w:val="none" w:sz="0" w:space="0" w:color="auto"/>
      </w:divBdr>
    </w:div>
    <w:div w:id="1792165494">
      <w:bodyDiv w:val="1"/>
      <w:marLeft w:val="0"/>
      <w:marRight w:val="0"/>
      <w:marTop w:val="0"/>
      <w:marBottom w:val="0"/>
      <w:divBdr>
        <w:top w:val="none" w:sz="0" w:space="0" w:color="auto"/>
        <w:left w:val="none" w:sz="0" w:space="0" w:color="auto"/>
        <w:bottom w:val="none" w:sz="0" w:space="0" w:color="auto"/>
        <w:right w:val="none" w:sz="0" w:space="0" w:color="auto"/>
      </w:divBdr>
    </w:div>
    <w:div w:id="1801026402">
      <w:bodyDiv w:val="1"/>
      <w:marLeft w:val="0"/>
      <w:marRight w:val="0"/>
      <w:marTop w:val="0"/>
      <w:marBottom w:val="0"/>
      <w:divBdr>
        <w:top w:val="none" w:sz="0" w:space="0" w:color="auto"/>
        <w:left w:val="none" w:sz="0" w:space="0" w:color="auto"/>
        <w:bottom w:val="none" w:sz="0" w:space="0" w:color="auto"/>
        <w:right w:val="none" w:sz="0" w:space="0" w:color="auto"/>
      </w:divBdr>
    </w:div>
    <w:div w:id="1809667530">
      <w:bodyDiv w:val="1"/>
      <w:marLeft w:val="0"/>
      <w:marRight w:val="0"/>
      <w:marTop w:val="0"/>
      <w:marBottom w:val="0"/>
      <w:divBdr>
        <w:top w:val="none" w:sz="0" w:space="0" w:color="auto"/>
        <w:left w:val="none" w:sz="0" w:space="0" w:color="auto"/>
        <w:bottom w:val="none" w:sz="0" w:space="0" w:color="auto"/>
        <w:right w:val="none" w:sz="0" w:space="0" w:color="auto"/>
      </w:divBdr>
    </w:div>
    <w:div w:id="1812094601">
      <w:bodyDiv w:val="1"/>
      <w:marLeft w:val="0"/>
      <w:marRight w:val="0"/>
      <w:marTop w:val="0"/>
      <w:marBottom w:val="0"/>
      <w:divBdr>
        <w:top w:val="none" w:sz="0" w:space="0" w:color="auto"/>
        <w:left w:val="none" w:sz="0" w:space="0" w:color="auto"/>
        <w:bottom w:val="none" w:sz="0" w:space="0" w:color="auto"/>
        <w:right w:val="none" w:sz="0" w:space="0" w:color="auto"/>
      </w:divBdr>
    </w:div>
    <w:div w:id="1815415991">
      <w:bodyDiv w:val="1"/>
      <w:marLeft w:val="0"/>
      <w:marRight w:val="0"/>
      <w:marTop w:val="0"/>
      <w:marBottom w:val="0"/>
      <w:divBdr>
        <w:top w:val="none" w:sz="0" w:space="0" w:color="auto"/>
        <w:left w:val="none" w:sz="0" w:space="0" w:color="auto"/>
        <w:bottom w:val="none" w:sz="0" w:space="0" w:color="auto"/>
        <w:right w:val="none" w:sz="0" w:space="0" w:color="auto"/>
      </w:divBdr>
    </w:div>
    <w:div w:id="1817800099">
      <w:bodyDiv w:val="1"/>
      <w:marLeft w:val="0"/>
      <w:marRight w:val="0"/>
      <w:marTop w:val="0"/>
      <w:marBottom w:val="0"/>
      <w:divBdr>
        <w:top w:val="none" w:sz="0" w:space="0" w:color="auto"/>
        <w:left w:val="none" w:sz="0" w:space="0" w:color="auto"/>
        <w:bottom w:val="none" w:sz="0" w:space="0" w:color="auto"/>
        <w:right w:val="none" w:sz="0" w:space="0" w:color="auto"/>
      </w:divBdr>
    </w:div>
    <w:div w:id="1819109279">
      <w:bodyDiv w:val="1"/>
      <w:marLeft w:val="0"/>
      <w:marRight w:val="0"/>
      <w:marTop w:val="0"/>
      <w:marBottom w:val="0"/>
      <w:divBdr>
        <w:top w:val="none" w:sz="0" w:space="0" w:color="auto"/>
        <w:left w:val="none" w:sz="0" w:space="0" w:color="auto"/>
        <w:bottom w:val="none" w:sz="0" w:space="0" w:color="auto"/>
        <w:right w:val="none" w:sz="0" w:space="0" w:color="auto"/>
      </w:divBdr>
    </w:div>
    <w:div w:id="1824656734">
      <w:bodyDiv w:val="1"/>
      <w:marLeft w:val="0"/>
      <w:marRight w:val="0"/>
      <w:marTop w:val="0"/>
      <w:marBottom w:val="0"/>
      <w:divBdr>
        <w:top w:val="none" w:sz="0" w:space="0" w:color="auto"/>
        <w:left w:val="none" w:sz="0" w:space="0" w:color="auto"/>
        <w:bottom w:val="none" w:sz="0" w:space="0" w:color="auto"/>
        <w:right w:val="none" w:sz="0" w:space="0" w:color="auto"/>
      </w:divBdr>
    </w:div>
    <w:div w:id="1831864151">
      <w:bodyDiv w:val="1"/>
      <w:marLeft w:val="0"/>
      <w:marRight w:val="0"/>
      <w:marTop w:val="0"/>
      <w:marBottom w:val="0"/>
      <w:divBdr>
        <w:top w:val="none" w:sz="0" w:space="0" w:color="auto"/>
        <w:left w:val="none" w:sz="0" w:space="0" w:color="auto"/>
        <w:bottom w:val="none" w:sz="0" w:space="0" w:color="auto"/>
        <w:right w:val="none" w:sz="0" w:space="0" w:color="auto"/>
      </w:divBdr>
    </w:div>
    <w:div w:id="1835413152">
      <w:bodyDiv w:val="1"/>
      <w:marLeft w:val="0"/>
      <w:marRight w:val="0"/>
      <w:marTop w:val="0"/>
      <w:marBottom w:val="0"/>
      <w:divBdr>
        <w:top w:val="none" w:sz="0" w:space="0" w:color="auto"/>
        <w:left w:val="none" w:sz="0" w:space="0" w:color="auto"/>
        <w:bottom w:val="none" w:sz="0" w:space="0" w:color="auto"/>
        <w:right w:val="none" w:sz="0" w:space="0" w:color="auto"/>
      </w:divBdr>
    </w:div>
    <w:div w:id="1836921437">
      <w:bodyDiv w:val="1"/>
      <w:marLeft w:val="0"/>
      <w:marRight w:val="0"/>
      <w:marTop w:val="0"/>
      <w:marBottom w:val="0"/>
      <w:divBdr>
        <w:top w:val="none" w:sz="0" w:space="0" w:color="auto"/>
        <w:left w:val="none" w:sz="0" w:space="0" w:color="auto"/>
        <w:bottom w:val="none" w:sz="0" w:space="0" w:color="auto"/>
        <w:right w:val="none" w:sz="0" w:space="0" w:color="auto"/>
      </w:divBdr>
    </w:div>
    <w:div w:id="1842819338">
      <w:bodyDiv w:val="1"/>
      <w:marLeft w:val="0"/>
      <w:marRight w:val="0"/>
      <w:marTop w:val="0"/>
      <w:marBottom w:val="0"/>
      <w:divBdr>
        <w:top w:val="none" w:sz="0" w:space="0" w:color="auto"/>
        <w:left w:val="none" w:sz="0" w:space="0" w:color="auto"/>
        <w:bottom w:val="none" w:sz="0" w:space="0" w:color="auto"/>
        <w:right w:val="none" w:sz="0" w:space="0" w:color="auto"/>
      </w:divBdr>
    </w:div>
    <w:div w:id="1847943429">
      <w:bodyDiv w:val="1"/>
      <w:marLeft w:val="0"/>
      <w:marRight w:val="0"/>
      <w:marTop w:val="0"/>
      <w:marBottom w:val="0"/>
      <w:divBdr>
        <w:top w:val="none" w:sz="0" w:space="0" w:color="auto"/>
        <w:left w:val="none" w:sz="0" w:space="0" w:color="auto"/>
        <w:bottom w:val="none" w:sz="0" w:space="0" w:color="auto"/>
        <w:right w:val="none" w:sz="0" w:space="0" w:color="auto"/>
      </w:divBdr>
    </w:div>
    <w:div w:id="1848906527">
      <w:bodyDiv w:val="1"/>
      <w:marLeft w:val="0"/>
      <w:marRight w:val="0"/>
      <w:marTop w:val="0"/>
      <w:marBottom w:val="0"/>
      <w:divBdr>
        <w:top w:val="none" w:sz="0" w:space="0" w:color="auto"/>
        <w:left w:val="none" w:sz="0" w:space="0" w:color="auto"/>
        <w:bottom w:val="none" w:sz="0" w:space="0" w:color="auto"/>
        <w:right w:val="none" w:sz="0" w:space="0" w:color="auto"/>
      </w:divBdr>
      <w:divsChild>
        <w:div w:id="78376622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59733288">
      <w:bodyDiv w:val="1"/>
      <w:marLeft w:val="0"/>
      <w:marRight w:val="0"/>
      <w:marTop w:val="0"/>
      <w:marBottom w:val="0"/>
      <w:divBdr>
        <w:top w:val="none" w:sz="0" w:space="0" w:color="auto"/>
        <w:left w:val="none" w:sz="0" w:space="0" w:color="auto"/>
        <w:bottom w:val="none" w:sz="0" w:space="0" w:color="auto"/>
        <w:right w:val="none" w:sz="0" w:space="0" w:color="auto"/>
      </w:divBdr>
    </w:div>
    <w:div w:id="1863476407">
      <w:bodyDiv w:val="1"/>
      <w:marLeft w:val="0"/>
      <w:marRight w:val="0"/>
      <w:marTop w:val="0"/>
      <w:marBottom w:val="0"/>
      <w:divBdr>
        <w:top w:val="none" w:sz="0" w:space="0" w:color="auto"/>
        <w:left w:val="none" w:sz="0" w:space="0" w:color="auto"/>
        <w:bottom w:val="none" w:sz="0" w:space="0" w:color="auto"/>
        <w:right w:val="none" w:sz="0" w:space="0" w:color="auto"/>
      </w:divBdr>
    </w:div>
    <w:div w:id="1868525202">
      <w:bodyDiv w:val="1"/>
      <w:marLeft w:val="0"/>
      <w:marRight w:val="0"/>
      <w:marTop w:val="0"/>
      <w:marBottom w:val="0"/>
      <w:divBdr>
        <w:top w:val="none" w:sz="0" w:space="0" w:color="auto"/>
        <w:left w:val="none" w:sz="0" w:space="0" w:color="auto"/>
        <w:bottom w:val="none" w:sz="0" w:space="0" w:color="auto"/>
        <w:right w:val="none" w:sz="0" w:space="0" w:color="auto"/>
      </w:divBdr>
    </w:div>
    <w:div w:id="1870291016">
      <w:bodyDiv w:val="1"/>
      <w:marLeft w:val="0"/>
      <w:marRight w:val="0"/>
      <w:marTop w:val="0"/>
      <w:marBottom w:val="0"/>
      <w:divBdr>
        <w:top w:val="none" w:sz="0" w:space="0" w:color="auto"/>
        <w:left w:val="none" w:sz="0" w:space="0" w:color="auto"/>
        <w:bottom w:val="none" w:sz="0" w:space="0" w:color="auto"/>
        <w:right w:val="none" w:sz="0" w:space="0" w:color="auto"/>
      </w:divBdr>
    </w:div>
    <w:div w:id="1870992355">
      <w:bodyDiv w:val="1"/>
      <w:marLeft w:val="0"/>
      <w:marRight w:val="0"/>
      <w:marTop w:val="0"/>
      <w:marBottom w:val="0"/>
      <w:divBdr>
        <w:top w:val="none" w:sz="0" w:space="0" w:color="auto"/>
        <w:left w:val="none" w:sz="0" w:space="0" w:color="auto"/>
        <w:bottom w:val="none" w:sz="0" w:space="0" w:color="auto"/>
        <w:right w:val="none" w:sz="0" w:space="0" w:color="auto"/>
      </w:divBdr>
    </w:div>
    <w:div w:id="1872036901">
      <w:bodyDiv w:val="1"/>
      <w:marLeft w:val="0"/>
      <w:marRight w:val="0"/>
      <w:marTop w:val="0"/>
      <w:marBottom w:val="0"/>
      <w:divBdr>
        <w:top w:val="none" w:sz="0" w:space="0" w:color="auto"/>
        <w:left w:val="none" w:sz="0" w:space="0" w:color="auto"/>
        <w:bottom w:val="none" w:sz="0" w:space="0" w:color="auto"/>
        <w:right w:val="none" w:sz="0" w:space="0" w:color="auto"/>
      </w:divBdr>
    </w:div>
    <w:div w:id="1874028645">
      <w:bodyDiv w:val="1"/>
      <w:marLeft w:val="0"/>
      <w:marRight w:val="0"/>
      <w:marTop w:val="0"/>
      <w:marBottom w:val="0"/>
      <w:divBdr>
        <w:top w:val="none" w:sz="0" w:space="0" w:color="auto"/>
        <w:left w:val="none" w:sz="0" w:space="0" w:color="auto"/>
        <w:bottom w:val="none" w:sz="0" w:space="0" w:color="auto"/>
        <w:right w:val="none" w:sz="0" w:space="0" w:color="auto"/>
      </w:divBdr>
    </w:div>
    <w:div w:id="1880629917">
      <w:bodyDiv w:val="1"/>
      <w:marLeft w:val="0"/>
      <w:marRight w:val="0"/>
      <w:marTop w:val="0"/>
      <w:marBottom w:val="0"/>
      <w:divBdr>
        <w:top w:val="none" w:sz="0" w:space="0" w:color="auto"/>
        <w:left w:val="none" w:sz="0" w:space="0" w:color="auto"/>
        <w:bottom w:val="none" w:sz="0" w:space="0" w:color="auto"/>
        <w:right w:val="none" w:sz="0" w:space="0" w:color="auto"/>
      </w:divBdr>
    </w:div>
    <w:div w:id="1884125818">
      <w:bodyDiv w:val="1"/>
      <w:marLeft w:val="0"/>
      <w:marRight w:val="0"/>
      <w:marTop w:val="0"/>
      <w:marBottom w:val="0"/>
      <w:divBdr>
        <w:top w:val="none" w:sz="0" w:space="0" w:color="auto"/>
        <w:left w:val="none" w:sz="0" w:space="0" w:color="auto"/>
        <w:bottom w:val="none" w:sz="0" w:space="0" w:color="auto"/>
        <w:right w:val="none" w:sz="0" w:space="0" w:color="auto"/>
      </w:divBdr>
    </w:div>
    <w:div w:id="1885173873">
      <w:bodyDiv w:val="1"/>
      <w:marLeft w:val="0"/>
      <w:marRight w:val="0"/>
      <w:marTop w:val="0"/>
      <w:marBottom w:val="0"/>
      <w:divBdr>
        <w:top w:val="none" w:sz="0" w:space="0" w:color="auto"/>
        <w:left w:val="none" w:sz="0" w:space="0" w:color="auto"/>
        <w:bottom w:val="none" w:sz="0" w:space="0" w:color="auto"/>
        <w:right w:val="none" w:sz="0" w:space="0" w:color="auto"/>
      </w:divBdr>
    </w:div>
    <w:div w:id="1886598978">
      <w:bodyDiv w:val="1"/>
      <w:marLeft w:val="0"/>
      <w:marRight w:val="0"/>
      <w:marTop w:val="0"/>
      <w:marBottom w:val="0"/>
      <w:divBdr>
        <w:top w:val="none" w:sz="0" w:space="0" w:color="auto"/>
        <w:left w:val="none" w:sz="0" w:space="0" w:color="auto"/>
        <w:bottom w:val="none" w:sz="0" w:space="0" w:color="auto"/>
        <w:right w:val="none" w:sz="0" w:space="0" w:color="auto"/>
      </w:divBdr>
    </w:div>
    <w:div w:id="1891259339">
      <w:bodyDiv w:val="1"/>
      <w:marLeft w:val="0"/>
      <w:marRight w:val="0"/>
      <w:marTop w:val="0"/>
      <w:marBottom w:val="0"/>
      <w:divBdr>
        <w:top w:val="none" w:sz="0" w:space="0" w:color="auto"/>
        <w:left w:val="none" w:sz="0" w:space="0" w:color="auto"/>
        <w:bottom w:val="none" w:sz="0" w:space="0" w:color="auto"/>
        <w:right w:val="none" w:sz="0" w:space="0" w:color="auto"/>
      </w:divBdr>
    </w:div>
    <w:div w:id="1894384176">
      <w:bodyDiv w:val="1"/>
      <w:marLeft w:val="0"/>
      <w:marRight w:val="0"/>
      <w:marTop w:val="0"/>
      <w:marBottom w:val="0"/>
      <w:divBdr>
        <w:top w:val="none" w:sz="0" w:space="0" w:color="auto"/>
        <w:left w:val="none" w:sz="0" w:space="0" w:color="auto"/>
        <w:bottom w:val="none" w:sz="0" w:space="0" w:color="auto"/>
        <w:right w:val="none" w:sz="0" w:space="0" w:color="auto"/>
      </w:divBdr>
      <w:divsChild>
        <w:div w:id="123033745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895652981">
      <w:bodyDiv w:val="1"/>
      <w:marLeft w:val="0"/>
      <w:marRight w:val="0"/>
      <w:marTop w:val="0"/>
      <w:marBottom w:val="0"/>
      <w:divBdr>
        <w:top w:val="none" w:sz="0" w:space="0" w:color="auto"/>
        <w:left w:val="none" w:sz="0" w:space="0" w:color="auto"/>
        <w:bottom w:val="none" w:sz="0" w:space="0" w:color="auto"/>
        <w:right w:val="none" w:sz="0" w:space="0" w:color="auto"/>
      </w:divBdr>
    </w:div>
    <w:div w:id="1896968505">
      <w:bodyDiv w:val="1"/>
      <w:marLeft w:val="0"/>
      <w:marRight w:val="0"/>
      <w:marTop w:val="0"/>
      <w:marBottom w:val="0"/>
      <w:divBdr>
        <w:top w:val="none" w:sz="0" w:space="0" w:color="auto"/>
        <w:left w:val="none" w:sz="0" w:space="0" w:color="auto"/>
        <w:bottom w:val="none" w:sz="0" w:space="0" w:color="auto"/>
        <w:right w:val="none" w:sz="0" w:space="0" w:color="auto"/>
      </w:divBdr>
      <w:divsChild>
        <w:div w:id="123431446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4674340">
      <w:bodyDiv w:val="1"/>
      <w:marLeft w:val="0"/>
      <w:marRight w:val="0"/>
      <w:marTop w:val="0"/>
      <w:marBottom w:val="0"/>
      <w:divBdr>
        <w:top w:val="none" w:sz="0" w:space="0" w:color="auto"/>
        <w:left w:val="none" w:sz="0" w:space="0" w:color="auto"/>
        <w:bottom w:val="none" w:sz="0" w:space="0" w:color="auto"/>
        <w:right w:val="none" w:sz="0" w:space="0" w:color="auto"/>
      </w:divBdr>
      <w:divsChild>
        <w:div w:id="64516322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07256963">
      <w:bodyDiv w:val="1"/>
      <w:marLeft w:val="0"/>
      <w:marRight w:val="0"/>
      <w:marTop w:val="0"/>
      <w:marBottom w:val="0"/>
      <w:divBdr>
        <w:top w:val="none" w:sz="0" w:space="0" w:color="auto"/>
        <w:left w:val="none" w:sz="0" w:space="0" w:color="auto"/>
        <w:bottom w:val="none" w:sz="0" w:space="0" w:color="auto"/>
        <w:right w:val="none" w:sz="0" w:space="0" w:color="auto"/>
      </w:divBdr>
    </w:div>
    <w:div w:id="1907911994">
      <w:bodyDiv w:val="1"/>
      <w:marLeft w:val="0"/>
      <w:marRight w:val="0"/>
      <w:marTop w:val="0"/>
      <w:marBottom w:val="0"/>
      <w:divBdr>
        <w:top w:val="none" w:sz="0" w:space="0" w:color="auto"/>
        <w:left w:val="none" w:sz="0" w:space="0" w:color="auto"/>
        <w:bottom w:val="none" w:sz="0" w:space="0" w:color="auto"/>
        <w:right w:val="none" w:sz="0" w:space="0" w:color="auto"/>
      </w:divBdr>
    </w:div>
    <w:div w:id="1911231849">
      <w:bodyDiv w:val="1"/>
      <w:marLeft w:val="0"/>
      <w:marRight w:val="0"/>
      <w:marTop w:val="0"/>
      <w:marBottom w:val="0"/>
      <w:divBdr>
        <w:top w:val="none" w:sz="0" w:space="0" w:color="auto"/>
        <w:left w:val="none" w:sz="0" w:space="0" w:color="auto"/>
        <w:bottom w:val="none" w:sz="0" w:space="0" w:color="auto"/>
        <w:right w:val="none" w:sz="0" w:space="0" w:color="auto"/>
      </w:divBdr>
    </w:div>
    <w:div w:id="1912110317">
      <w:bodyDiv w:val="1"/>
      <w:marLeft w:val="0"/>
      <w:marRight w:val="0"/>
      <w:marTop w:val="0"/>
      <w:marBottom w:val="0"/>
      <w:divBdr>
        <w:top w:val="none" w:sz="0" w:space="0" w:color="auto"/>
        <w:left w:val="none" w:sz="0" w:space="0" w:color="auto"/>
        <w:bottom w:val="none" w:sz="0" w:space="0" w:color="auto"/>
        <w:right w:val="none" w:sz="0" w:space="0" w:color="auto"/>
      </w:divBdr>
    </w:div>
    <w:div w:id="1912499312">
      <w:bodyDiv w:val="1"/>
      <w:marLeft w:val="0"/>
      <w:marRight w:val="0"/>
      <w:marTop w:val="0"/>
      <w:marBottom w:val="0"/>
      <w:divBdr>
        <w:top w:val="none" w:sz="0" w:space="0" w:color="auto"/>
        <w:left w:val="none" w:sz="0" w:space="0" w:color="auto"/>
        <w:bottom w:val="none" w:sz="0" w:space="0" w:color="auto"/>
        <w:right w:val="none" w:sz="0" w:space="0" w:color="auto"/>
      </w:divBdr>
    </w:div>
    <w:div w:id="1913927584">
      <w:bodyDiv w:val="1"/>
      <w:marLeft w:val="0"/>
      <w:marRight w:val="0"/>
      <w:marTop w:val="0"/>
      <w:marBottom w:val="0"/>
      <w:divBdr>
        <w:top w:val="none" w:sz="0" w:space="0" w:color="auto"/>
        <w:left w:val="none" w:sz="0" w:space="0" w:color="auto"/>
        <w:bottom w:val="none" w:sz="0" w:space="0" w:color="auto"/>
        <w:right w:val="none" w:sz="0" w:space="0" w:color="auto"/>
      </w:divBdr>
    </w:div>
    <w:div w:id="1915386730">
      <w:bodyDiv w:val="1"/>
      <w:marLeft w:val="0"/>
      <w:marRight w:val="0"/>
      <w:marTop w:val="0"/>
      <w:marBottom w:val="0"/>
      <w:divBdr>
        <w:top w:val="none" w:sz="0" w:space="0" w:color="auto"/>
        <w:left w:val="none" w:sz="0" w:space="0" w:color="auto"/>
        <w:bottom w:val="none" w:sz="0" w:space="0" w:color="auto"/>
        <w:right w:val="none" w:sz="0" w:space="0" w:color="auto"/>
      </w:divBdr>
    </w:div>
    <w:div w:id="1921401029">
      <w:bodyDiv w:val="1"/>
      <w:marLeft w:val="0"/>
      <w:marRight w:val="0"/>
      <w:marTop w:val="0"/>
      <w:marBottom w:val="0"/>
      <w:divBdr>
        <w:top w:val="none" w:sz="0" w:space="0" w:color="auto"/>
        <w:left w:val="none" w:sz="0" w:space="0" w:color="auto"/>
        <w:bottom w:val="none" w:sz="0" w:space="0" w:color="auto"/>
        <w:right w:val="none" w:sz="0" w:space="0" w:color="auto"/>
      </w:divBdr>
      <w:divsChild>
        <w:div w:id="186459293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27033827">
      <w:bodyDiv w:val="1"/>
      <w:marLeft w:val="0"/>
      <w:marRight w:val="0"/>
      <w:marTop w:val="0"/>
      <w:marBottom w:val="0"/>
      <w:divBdr>
        <w:top w:val="none" w:sz="0" w:space="0" w:color="auto"/>
        <w:left w:val="none" w:sz="0" w:space="0" w:color="auto"/>
        <w:bottom w:val="none" w:sz="0" w:space="0" w:color="auto"/>
        <w:right w:val="none" w:sz="0" w:space="0" w:color="auto"/>
      </w:divBdr>
    </w:div>
    <w:div w:id="1927179363">
      <w:bodyDiv w:val="1"/>
      <w:marLeft w:val="0"/>
      <w:marRight w:val="0"/>
      <w:marTop w:val="0"/>
      <w:marBottom w:val="0"/>
      <w:divBdr>
        <w:top w:val="none" w:sz="0" w:space="0" w:color="auto"/>
        <w:left w:val="none" w:sz="0" w:space="0" w:color="auto"/>
        <w:bottom w:val="none" w:sz="0" w:space="0" w:color="auto"/>
        <w:right w:val="none" w:sz="0" w:space="0" w:color="auto"/>
      </w:divBdr>
    </w:div>
    <w:div w:id="1929726652">
      <w:bodyDiv w:val="1"/>
      <w:marLeft w:val="0"/>
      <w:marRight w:val="0"/>
      <w:marTop w:val="0"/>
      <w:marBottom w:val="0"/>
      <w:divBdr>
        <w:top w:val="none" w:sz="0" w:space="0" w:color="auto"/>
        <w:left w:val="none" w:sz="0" w:space="0" w:color="auto"/>
        <w:bottom w:val="none" w:sz="0" w:space="0" w:color="auto"/>
        <w:right w:val="none" w:sz="0" w:space="0" w:color="auto"/>
      </w:divBdr>
    </w:div>
    <w:div w:id="1933470059">
      <w:bodyDiv w:val="1"/>
      <w:marLeft w:val="0"/>
      <w:marRight w:val="0"/>
      <w:marTop w:val="0"/>
      <w:marBottom w:val="0"/>
      <w:divBdr>
        <w:top w:val="none" w:sz="0" w:space="0" w:color="auto"/>
        <w:left w:val="none" w:sz="0" w:space="0" w:color="auto"/>
        <w:bottom w:val="none" w:sz="0" w:space="0" w:color="auto"/>
        <w:right w:val="none" w:sz="0" w:space="0" w:color="auto"/>
      </w:divBdr>
    </w:div>
    <w:div w:id="1938443315">
      <w:bodyDiv w:val="1"/>
      <w:marLeft w:val="0"/>
      <w:marRight w:val="0"/>
      <w:marTop w:val="0"/>
      <w:marBottom w:val="0"/>
      <w:divBdr>
        <w:top w:val="none" w:sz="0" w:space="0" w:color="auto"/>
        <w:left w:val="none" w:sz="0" w:space="0" w:color="auto"/>
        <w:bottom w:val="none" w:sz="0" w:space="0" w:color="auto"/>
        <w:right w:val="none" w:sz="0" w:space="0" w:color="auto"/>
      </w:divBdr>
    </w:div>
    <w:div w:id="1940526647">
      <w:bodyDiv w:val="1"/>
      <w:marLeft w:val="0"/>
      <w:marRight w:val="0"/>
      <w:marTop w:val="0"/>
      <w:marBottom w:val="0"/>
      <w:divBdr>
        <w:top w:val="none" w:sz="0" w:space="0" w:color="auto"/>
        <w:left w:val="none" w:sz="0" w:space="0" w:color="auto"/>
        <w:bottom w:val="none" w:sz="0" w:space="0" w:color="auto"/>
        <w:right w:val="none" w:sz="0" w:space="0" w:color="auto"/>
      </w:divBdr>
    </w:div>
    <w:div w:id="1940675260">
      <w:bodyDiv w:val="1"/>
      <w:marLeft w:val="0"/>
      <w:marRight w:val="0"/>
      <w:marTop w:val="0"/>
      <w:marBottom w:val="0"/>
      <w:divBdr>
        <w:top w:val="none" w:sz="0" w:space="0" w:color="auto"/>
        <w:left w:val="none" w:sz="0" w:space="0" w:color="auto"/>
        <w:bottom w:val="none" w:sz="0" w:space="0" w:color="auto"/>
        <w:right w:val="none" w:sz="0" w:space="0" w:color="auto"/>
      </w:divBdr>
    </w:div>
    <w:div w:id="1946648186">
      <w:bodyDiv w:val="1"/>
      <w:marLeft w:val="0"/>
      <w:marRight w:val="0"/>
      <w:marTop w:val="0"/>
      <w:marBottom w:val="0"/>
      <w:divBdr>
        <w:top w:val="none" w:sz="0" w:space="0" w:color="auto"/>
        <w:left w:val="none" w:sz="0" w:space="0" w:color="auto"/>
        <w:bottom w:val="none" w:sz="0" w:space="0" w:color="auto"/>
        <w:right w:val="none" w:sz="0" w:space="0" w:color="auto"/>
      </w:divBdr>
    </w:div>
    <w:div w:id="1950500765">
      <w:bodyDiv w:val="1"/>
      <w:marLeft w:val="0"/>
      <w:marRight w:val="0"/>
      <w:marTop w:val="0"/>
      <w:marBottom w:val="0"/>
      <w:divBdr>
        <w:top w:val="none" w:sz="0" w:space="0" w:color="auto"/>
        <w:left w:val="none" w:sz="0" w:space="0" w:color="auto"/>
        <w:bottom w:val="none" w:sz="0" w:space="0" w:color="auto"/>
        <w:right w:val="none" w:sz="0" w:space="0" w:color="auto"/>
      </w:divBdr>
    </w:div>
    <w:div w:id="1953976193">
      <w:bodyDiv w:val="1"/>
      <w:marLeft w:val="0"/>
      <w:marRight w:val="0"/>
      <w:marTop w:val="0"/>
      <w:marBottom w:val="0"/>
      <w:divBdr>
        <w:top w:val="none" w:sz="0" w:space="0" w:color="auto"/>
        <w:left w:val="none" w:sz="0" w:space="0" w:color="auto"/>
        <w:bottom w:val="none" w:sz="0" w:space="0" w:color="auto"/>
        <w:right w:val="none" w:sz="0" w:space="0" w:color="auto"/>
      </w:divBdr>
    </w:div>
    <w:div w:id="1963340583">
      <w:bodyDiv w:val="1"/>
      <w:marLeft w:val="0"/>
      <w:marRight w:val="0"/>
      <w:marTop w:val="0"/>
      <w:marBottom w:val="0"/>
      <w:divBdr>
        <w:top w:val="none" w:sz="0" w:space="0" w:color="auto"/>
        <w:left w:val="none" w:sz="0" w:space="0" w:color="auto"/>
        <w:bottom w:val="none" w:sz="0" w:space="0" w:color="auto"/>
        <w:right w:val="none" w:sz="0" w:space="0" w:color="auto"/>
      </w:divBdr>
    </w:div>
    <w:div w:id="1963421135">
      <w:bodyDiv w:val="1"/>
      <w:marLeft w:val="0"/>
      <w:marRight w:val="0"/>
      <w:marTop w:val="0"/>
      <w:marBottom w:val="0"/>
      <w:divBdr>
        <w:top w:val="none" w:sz="0" w:space="0" w:color="auto"/>
        <w:left w:val="none" w:sz="0" w:space="0" w:color="auto"/>
        <w:bottom w:val="none" w:sz="0" w:space="0" w:color="auto"/>
        <w:right w:val="none" w:sz="0" w:space="0" w:color="auto"/>
      </w:divBdr>
      <w:divsChild>
        <w:div w:id="135314106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63728695">
      <w:bodyDiv w:val="1"/>
      <w:marLeft w:val="0"/>
      <w:marRight w:val="0"/>
      <w:marTop w:val="0"/>
      <w:marBottom w:val="0"/>
      <w:divBdr>
        <w:top w:val="none" w:sz="0" w:space="0" w:color="auto"/>
        <w:left w:val="none" w:sz="0" w:space="0" w:color="auto"/>
        <w:bottom w:val="none" w:sz="0" w:space="0" w:color="auto"/>
        <w:right w:val="none" w:sz="0" w:space="0" w:color="auto"/>
      </w:divBdr>
    </w:div>
    <w:div w:id="1965229611">
      <w:bodyDiv w:val="1"/>
      <w:marLeft w:val="0"/>
      <w:marRight w:val="0"/>
      <w:marTop w:val="0"/>
      <w:marBottom w:val="0"/>
      <w:divBdr>
        <w:top w:val="none" w:sz="0" w:space="0" w:color="auto"/>
        <w:left w:val="none" w:sz="0" w:space="0" w:color="auto"/>
        <w:bottom w:val="none" w:sz="0" w:space="0" w:color="auto"/>
        <w:right w:val="none" w:sz="0" w:space="0" w:color="auto"/>
      </w:divBdr>
    </w:div>
    <w:div w:id="1965883618">
      <w:bodyDiv w:val="1"/>
      <w:marLeft w:val="0"/>
      <w:marRight w:val="0"/>
      <w:marTop w:val="0"/>
      <w:marBottom w:val="0"/>
      <w:divBdr>
        <w:top w:val="none" w:sz="0" w:space="0" w:color="auto"/>
        <w:left w:val="none" w:sz="0" w:space="0" w:color="auto"/>
        <w:bottom w:val="none" w:sz="0" w:space="0" w:color="auto"/>
        <w:right w:val="none" w:sz="0" w:space="0" w:color="auto"/>
      </w:divBdr>
    </w:div>
    <w:div w:id="1968967243">
      <w:bodyDiv w:val="1"/>
      <w:marLeft w:val="0"/>
      <w:marRight w:val="0"/>
      <w:marTop w:val="0"/>
      <w:marBottom w:val="0"/>
      <w:divBdr>
        <w:top w:val="none" w:sz="0" w:space="0" w:color="auto"/>
        <w:left w:val="none" w:sz="0" w:space="0" w:color="auto"/>
        <w:bottom w:val="none" w:sz="0" w:space="0" w:color="auto"/>
        <w:right w:val="none" w:sz="0" w:space="0" w:color="auto"/>
      </w:divBdr>
    </w:div>
    <w:div w:id="1971593499">
      <w:bodyDiv w:val="1"/>
      <w:marLeft w:val="0"/>
      <w:marRight w:val="0"/>
      <w:marTop w:val="0"/>
      <w:marBottom w:val="0"/>
      <w:divBdr>
        <w:top w:val="none" w:sz="0" w:space="0" w:color="auto"/>
        <w:left w:val="none" w:sz="0" w:space="0" w:color="auto"/>
        <w:bottom w:val="none" w:sz="0" w:space="0" w:color="auto"/>
        <w:right w:val="none" w:sz="0" w:space="0" w:color="auto"/>
      </w:divBdr>
    </w:div>
    <w:div w:id="1972861758">
      <w:bodyDiv w:val="1"/>
      <w:marLeft w:val="0"/>
      <w:marRight w:val="0"/>
      <w:marTop w:val="0"/>
      <w:marBottom w:val="0"/>
      <w:divBdr>
        <w:top w:val="none" w:sz="0" w:space="0" w:color="auto"/>
        <w:left w:val="none" w:sz="0" w:space="0" w:color="auto"/>
        <w:bottom w:val="none" w:sz="0" w:space="0" w:color="auto"/>
        <w:right w:val="none" w:sz="0" w:space="0" w:color="auto"/>
      </w:divBdr>
    </w:div>
    <w:div w:id="1978879703">
      <w:bodyDiv w:val="1"/>
      <w:marLeft w:val="0"/>
      <w:marRight w:val="0"/>
      <w:marTop w:val="0"/>
      <w:marBottom w:val="0"/>
      <w:divBdr>
        <w:top w:val="none" w:sz="0" w:space="0" w:color="auto"/>
        <w:left w:val="none" w:sz="0" w:space="0" w:color="auto"/>
        <w:bottom w:val="none" w:sz="0" w:space="0" w:color="auto"/>
        <w:right w:val="none" w:sz="0" w:space="0" w:color="auto"/>
      </w:divBdr>
    </w:div>
    <w:div w:id="1982687532">
      <w:bodyDiv w:val="1"/>
      <w:marLeft w:val="0"/>
      <w:marRight w:val="0"/>
      <w:marTop w:val="0"/>
      <w:marBottom w:val="0"/>
      <w:divBdr>
        <w:top w:val="none" w:sz="0" w:space="0" w:color="auto"/>
        <w:left w:val="none" w:sz="0" w:space="0" w:color="auto"/>
        <w:bottom w:val="none" w:sz="0" w:space="0" w:color="auto"/>
        <w:right w:val="none" w:sz="0" w:space="0" w:color="auto"/>
      </w:divBdr>
      <w:divsChild>
        <w:div w:id="56769354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83466321">
      <w:bodyDiv w:val="1"/>
      <w:marLeft w:val="0"/>
      <w:marRight w:val="0"/>
      <w:marTop w:val="0"/>
      <w:marBottom w:val="0"/>
      <w:divBdr>
        <w:top w:val="none" w:sz="0" w:space="0" w:color="auto"/>
        <w:left w:val="none" w:sz="0" w:space="0" w:color="auto"/>
        <w:bottom w:val="none" w:sz="0" w:space="0" w:color="auto"/>
        <w:right w:val="none" w:sz="0" w:space="0" w:color="auto"/>
      </w:divBdr>
    </w:div>
    <w:div w:id="1984235715">
      <w:bodyDiv w:val="1"/>
      <w:marLeft w:val="0"/>
      <w:marRight w:val="0"/>
      <w:marTop w:val="0"/>
      <w:marBottom w:val="0"/>
      <w:divBdr>
        <w:top w:val="none" w:sz="0" w:space="0" w:color="auto"/>
        <w:left w:val="none" w:sz="0" w:space="0" w:color="auto"/>
        <w:bottom w:val="none" w:sz="0" w:space="0" w:color="auto"/>
        <w:right w:val="none" w:sz="0" w:space="0" w:color="auto"/>
      </w:divBdr>
    </w:div>
    <w:div w:id="1986816174">
      <w:bodyDiv w:val="1"/>
      <w:marLeft w:val="0"/>
      <w:marRight w:val="0"/>
      <w:marTop w:val="0"/>
      <w:marBottom w:val="0"/>
      <w:divBdr>
        <w:top w:val="none" w:sz="0" w:space="0" w:color="auto"/>
        <w:left w:val="none" w:sz="0" w:space="0" w:color="auto"/>
        <w:bottom w:val="none" w:sz="0" w:space="0" w:color="auto"/>
        <w:right w:val="none" w:sz="0" w:space="0" w:color="auto"/>
      </w:divBdr>
      <w:divsChild>
        <w:div w:id="138340388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986936220">
      <w:bodyDiv w:val="1"/>
      <w:marLeft w:val="0"/>
      <w:marRight w:val="0"/>
      <w:marTop w:val="0"/>
      <w:marBottom w:val="0"/>
      <w:divBdr>
        <w:top w:val="none" w:sz="0" w:space="0" w:color="auto"/>
        <w:left w:val="none" w:sz="0" w:space="0" w:color="auto"/>
        <w:bottom w:val="none" w:sz="0" w:space="0" w:color="auto"/>
        <w:right w:val="none" w:sz="0" w:space="0" w:color="auto"/>
      </w:divBdr>
    </w:div>
    <w:div w:id="2000692474">
      <w:bodyDiv w:val="1"/>
      <w:marLeft w:val="0"/>
      <w:marRight w:val="0"/>
      <w:marTop w:val="0"/>
      <w:marBottom w:val="0"/>
      <w:divBdr>
        <w:top w:val="none" w:sz="0" w:space="0" w:color="auto"/>
        <w:left w:val="none" w:sz="0" w:space="0" w:color="auto"/>
        <w:bottom w:val="none" w:sz="0" w:space="0" w:color="auto"/>
        <w:right w:val="none" w:sz="0" w:space="0" w:color="auto"/>
      </w:divBdr>
    </w:div>
    <w:div w:id="2003392292">
      <w:bodyDiv w:val="1"/>
      <w:marLeft w:val="0"/>
      <w:marRight w:val="0"/>
      <w:marTop w:val="0"/>
      <w:marBottom w:val="0"/>
      <w:divBdr>
        <w:top w:val="none" w:sz="0" w:space="0" w:color="auto"/>
        <w:left w:val="none" w:sz="0" w:space="0" w:color="auto"/>
        <w:bottom w:val="none" w:sz="0" w:space="0" w:color="auto"/>
        <w:right w:val="none" w:sz="0" w:space="0" w:color="auto"/>
      </w:divBdr>
    </w:div>
    <w:div w:id="2015954319">
      <w:bodyDiv w:val="1"/>
      <w:marLeft w:val="0"/>
      <w:marRight w:val="0"/>
      <w:marTop w:val="0"/>
      <w:marBottom w:val="0"/>
      <w:divBdr>
        <w:top w:val="none" w:sz="0" w:space="0" w:color="auto"/>
        <w:left w:val="none" w:sz="0" w:space="0" w:color="auto"/>
        <w:bottom w:val="none" w:sz="0" w:space="0" w:color="auto"/>
        <w:right w:val="none" w:sz="0" w:space="0" w:color="auto"/>
      </w:divBdr>
    </w:div>
    <w:div w:id="2017802686">
      <w:bodyDiv w:val="1"/>
      <w:marLeft w:val="0"/>
      <w:marRight w:val="0"/>
      <w:marTop w:val="0"/>
      <w:marBottom w:val="0"/>
      <w:divBdr>
        <w:top w:val="none" w:sz="0" w:space="0" w:color="auto"/>
        <w:left w:val="none" w:sz="0" w:space="0" w:color="auto"/>
        <w:bottom w:val="none" w:sz="0" w:space="0" w:color="auto"/>
        <w:right w:val="none" w:sz="0" w:space="0" w:color="auto"/>
      </w:divBdr>
    </w:div>
    <w:div w:id="2018537072">
      <w:bodyDiv w:val="1"/>
      <w:marLeft w:val="0"/>
      <w:marRight w:val="0"/>
      <w:marTop w:val="0"/>
      <w:marBottom w:val="0"/>
      <w:divBdr>
        <w:top w:val="none" w:sz="0" w:space="0" w:color="auto"/>
        <w:left w:val="none" w:sz="0" w:space="0" w:color="auto"/>
        <w:bottom w:val="none" w:sz="0" w:space="0" w:color="auto"/>
        <w:right w:val="none" w:sz="0" w:space="0" w:color="auto"/>
      </w:divBdr>
    </w:div>
    <w:div w:id="2043047692">
      <w:bodyDiv w:val="1"/>
      <w:marLeft w:val="0"/>
      <w:marRight w:val="0"/>
      <w:marTop w:val="0"/>
      <w:marBottom w:val="0"/>
      <w:divBdr>
        <w:top w:val="none" w:sz="0" w:space="0" w:color="auto"/>
        <w:left w:val="none" w:sz="0" w:space="0" w:color="auto"/>
        <w:bottom w:val="none" w:sz="0" w:space="0" w:color="auto"/>
        <w:right w:val="none" w:sz="0" w:space="0" w:color="auto"/>
      </w:divBdr>
    </w:div>
    <w:div w:id="2043820560">
      <w:bodyDiv w:val="1"/>
      <w:marLeft w:val="0"/>
      <w:marRight w:val="0"/>
      <w:marTop w:val="0"/>
      <w:marBottom w:val="0"/>
      <w:divBdr>
        <w:top w:val="none" w:sz="0" w:space="0" w:color="auto"/>
        <w:left w:val="none" w:sz="0" w:space="0" w:color="auto"/>
        <w:bottom w:val="none" w:sz="0" w:space="0" w:color="auto"/>
        <w:right w:val="none" w:sz="0" w:space="0" w:color="auto"/>
      </w:divBdr>
    </w:div>
    <w:div w:id="2044477392">
      <w:bodyDiv w:val="1"/>
      <w:marLeft w:val="0"/>
      <w:marRight w:val="0"/>
      <w:marTop w:val="0"/>
      <w:marBottom w:val="0"/>
      <w:divBdr>
        <w:top w:val="none" w:sz="0" w:space="0" w:color="auto"/>
        <w:left w:val="none" w:sz="0" w:space="0" w:color="auto"/>
        <w:bottom w:val="none" w:sz="0" w:space="0" w:color="auto"/>
        <w:right w:val="none" w:sz="0" w:space="0" w:color="auto"/>
      </w:divBdr>
    </w:div>
    <w:div w:id="2049257828">
      <w:bodyDiv w:val="1"/>
      <w:marLeft w:val="0"/>
      <w:marRight w:val="0"/>
      <w:marTop w:val="0"/>
      <w:marBottom w:val="0"/>
      <w:divBdr>
        <w:top w:val="none" w:sz="0" w:space="0" w:color="auto"/>
        <w:left w:val="none" w:sz="0" w:space="0" w:color="auto"/>
        <w:bottom w:val="none" w:sz="0" w:space="0" w:color="auto"/>
        <w:right w:val="none" w:sz="0" w:space="0" w:color="auto"/>
      </w:divBdr>
    </w:div>
    <w:div w:id="2050375343">
      <w:bodyDiv w:val="1"/>
      <w:marLeft w:val="0"/>
      <w:marRight w:val="0"/>
      <w:marTop w:val="0"/>
      <w:marBottom w:val="0"/>
      <w:divBdr>
        <w:top w:val="none" w:sz="0" w:space="0" w:color="auto"/>
        <w:left w:val="none" w:sz="0" w:space="0" w:color="auto"/>
        <w:bottom w:val="none" w:sz="0" w:space="0" w:color="auto"/>
        <w:right w:val="none" w:sz="0" w:space="0" w:color="auto"/>
      </w:divBdr>
    </w:div>
    <w:div w:id="2059082115">
      <w:bodyDiv w:val="1"/>
      <w:marLeft w:val="0"/>
      <w:marRight w:val="0"/>
      <w:marTop w:val="0"/>
      <w:marBottom w:val="0"/>
      <w:divBdr>
        <w:top w:val="none" w:sz="0" w:space="0" w:color="auto"/>
        <w:left w:val="none" w:sz="0" w:space="0" w:color="auto"/>
        <w:bottom w:val="none" w:sz="0" w:space="0" w:color="auto"/>
        <w:right w:val="none" w:sz="0" w:space="0" w:color="auto"/>
      </w:divBdr>
    </w:div>
    <w:div w:id="2062242472">
      <w:bodyDiv w:val="1"/>
      <w:marLeft w:val="0"/>
      <w:marRight w:val="0"/>
      <w:marTop w:val="0"/>
      <w:marBottom w:val="0"/>
      <w:divBdr>
        <w:top w:val="none" w:sz="0" w:space="0" w:color="auto"/>
        <w:left w:val="none" w:sz="0" w:space="0" w:color="auto"/>
        <w:bottom w:val="none" w:sz="0" w:space="0" w:color="auto"/>
        <w:right w:val="none" w:sz="0" w:space="0" w:color="auto"/>
      </w:divBdr>
    </w:div>
    <w:div w:id="2078241922">
      <w:bodyDiv w:val="1"/>
      <w:marLeft w:val="0"/>
      <w:marRight w:val="0"/>
      <w:marTop w:val="0"/>
      <w:marBottom w:val="0"/>
      <w:divBdr>
        <w:top w:val="none" w:sz="0" w:space="0" w:color="auto"/>
        <w:left w:val="none" w:sz="0" w:space="0" w:color="auto"/>
        <w:bottom w:val="none" w:sz="0" w:space="0" w:color="auto"/>
        <w:right w:val="none" w:sz="0" w:space="0" w:color="auto"/>
      </w:divBdr>
      <w:divsChild>
        <w:div w:id="1866070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79551817">
      <w:bodyDiv w:val="1"/>
      <w:marLeft w:val="0"/>
      <w:marRight w:val="0"/>
      <w:marTop w:val="0"/>
      <w:marBottom w:val="0"/>
      <w:divBdr>
        <w:top w:val="none" w:sz="0" w:space="0" w:color="auto"/>
        <w:left w:val="none" w:sz="0" w:space="0" w:color="auto"/>
        <w:bottom w:val="none" w:sz="0" w:space="0" w:color="auto"/>
        <w:right w:val="none" w:sz="0" w:space="0" w:color="auto"/>
      </w:divBdr>
    </w:div>
    <w:div w:id="2082949402">
      <w:bodyDiv w:val="1"/>
      <w:marLeft w:val="0"/>
      <w:marRight w:val="0"/>
      <w:marTop w:val="0"/>
      <w:marBottom w:val="0"/>
      <w:divBdr>
        <w:top w:val="none" w:sz="0" w:space="0" w:color="auto"/>
        <w:left w:val="none" w:sz="0" w:space="0" w:color="auto"/>
        <w:bottom w:val="none" w:sz="0" w:space="0" w:color="auto"/>
        <w:right w:val="none" w:sz="0" w:space="0" w:color="auto"/>
      </w:divBdr>
      <w:divsChild>
        <w:div w:id="111367161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3485092">
      <w:bodyDiv w:val="1"/>
      <w:marLeft w:val="0"/>
      <w:marRight w:val="0"/>
      <w:marTop w:val="0"/>
      <w:marBottom w:val="0"/>
      <w:divBdr>
        <w:top w:val="none" w:sz="0" w:space="0" w:color="auto"/>
        <w:left w:val="none" w:sz="0" w:space="0" w:color="auto"/>
        <w:bottom w:val="none" w:sz="0" w:space="0" w:color="auto"/>
        <w:right w:val="none" w:sz="0" w:space="0" w:color="auto"/>
      </w:divBdr>
    </w:div>
    <w:div w:id="2086954163">
      <w:bodyDiv w:val="1"/>
      <w:marLeft w:val="0"/>
      <w:marRight w:val="0"/>
      <w:marTop w:val="0"/>
      <w:marBottom w:val="0"/>
      <w:divBdr>
        <w:top w:val="none" w:sz="0" w:space="0" w:color="auto"/>
        <w:left w:val="none" w:sz="0" w:space="0" w:color="auto"/>
        <w:bottom w:val="none" w:sz="0" w:space="0" w:color="auto"/>
        <w:right w:val="none" w:sz="0" w:space="0" w:color="auto"/>
      </w:divBdr>
    </w:div>
    <w:div w:id="2091123366">
      <w:bodyDiv w:val="1"/>
      <w:marLeft w:val="0"/>
      <w:marRight w:val="0"/>
      <w:marTop w:val="0"/>
      <w:marBottom w:val="0"/>
      <w:divBdr>
        <w:top w:val="none" w:sz="0" w:space="0" w:color="auto"/>
        <w:left w:val="none" w:sz="0" w:space="0" w:color="auto"/>
        <w:bottom w:val="none" w:sz="0" w:space="0" w:color="auto"/>
        <w:right w:val="none" w:sz="0" w:space="0" w:color="auto"/>
      </w:divBdr>
    </w:div>
    <w:div w:id="2092506521">
      <w:bodyDiv w:val="1"/>
      <w:marLeft w:val="0"/>
      <w:marRight w:val="0"/>
      <w:marTop w:val="0"/>
      <w:marBottom w:val="0"/>
      <w:divBdr>
        <w:top w:val="none" w:sz="0" w:space="0" w:color="auto"/>
        <w:left w:val="none" w:sz="0" w:space="0" w:color="auto"/>
        <w:bottom w:val="none" w:sz="0" w:space="0" w:color="auto"/>
        <w:right w:val="none" w:sz="0" w:space="0" w:color="auto"/>
      </w:divBdr>
    </w:div>
    <w:div w:id="2093887442">
      <w:bodyDiv w:val="1"/>
      <w:marLeft w:val="0"/>
      <w:marRight w:val="0"/>
      <w:marTop w:val="0"/>
      <w:marBottom w:val="0"/>
      <w:divBdr>
        <w:top w:val="none" w:sz="0" w:space="0" w:color="auto"/>
        <w:left w:val="none" w:sz="0" w:space="0" w:color="auto"/>
        <w:bottom w:val="none" w:sz="0" w:space="0" w:color="auto"/>
        <w:right w:val="none" w:sz="0" w:space="0" w:color="auto"/>
      </w:divBdr>
    </w:div>
    <w:div w:id="2094350566">
      <w:bodyDiv w:val="1"/>
      <w:marLeft w:val="0"/>
      <w:marRight w:val="0"/>
      <w:marTop w:val="0"/>
      <w:marBottom w:val="0"/>
      <w:divBdr>
        <w:top w:val="none" w:sz="0" w:space="0" w:color="auto"/>
        <w:left w:val="none" w:sz="0" w:space="0" w:color="auto"/>
        <w:bottom w:val="none" w:sz="0" w:space="0" w:color="auto"/>
        <w:right w:val="none" w:sz="0" w:space="0" w:color="auto"/>
      </w:divBdr>
    </w:div>
    <w:div w:id="2101757211">
      <w:bodyDiv w:val="1"/>
      <w:marLeft w:val="0"/>
      <w:marRight w:val="0"/>
      <w:marTop w:val="0"/>
      <w:marBottom w:val="0"/>
      <w:divBdr>
        <w:top w:val="none" w:sz="0" w:space="0" w:color="auto"/>
        <w:left w:val="none" w:sz="0" w:space="0" w:color="auto"/>
        <w:bottom w:val="none" w:sz="0" w:space="0" w:color="auto"/>
        <w:right w:val="none" w:sz="0" w:space="0" w:color="auto"/>
      </w:divBdr>
    </w:div>
    <w:div w:id="2106226283">
      <w:bodyDiv w:val="1"/>
      <w:marLeft w:val="0"/>
      <w:marRight w:val="0"/>
      <w:marTop w:val="0"/>
      <w:marBottom w:val="0"/>
      <w:divBdr>
        <w:top w:val="none" w:sz="0" w:space="0" w:color="auto"/>
        <w:left w:val="none" w:sz="0" w:space="0" w:color="auto"/>
        <w:bottom w:val="none" w:sz="0" w:space="0" w:color="auto"/>
        <w:right w:val="none" w:sz="0" w:space="0" w:color="auto"/>
      </w:divBdr>
    </w:div>
    <w:div w:id="2106530972">
      <w:bodyDiv w:val="1"/>
      <w:marLeft w:val="0"/>
      <w:marRight w:val="0"/>
      <w:marTop w:val="0"/>
      <w:marBottom w:val="0"/>
      <w:divBdr>
        <w:top w:val="none" w:sz="0" w:space="0" w:color="auto"/>
        <w:left w:val="none" w:sz="0" w:space="0" w:color="auto"/>
        <w:bottom w:val="none" w:sz="0" w:space="0" w:color="auto"/>
        <w:right w:val="none" w:sz="0" w:space="0" w:color="auto"/>
      </w:divBdr>
    </w:div>
    <w:div w:id="2106998228">
      <w:bodyDiv w:val="1"/>
      <w:marLeft w:val="0"/>
      <w:marRight w:val="0"/>
      <w:marTop w:val="0"/>
      <w:marBottom w:val="0"/>
      <w:divBdr>
        <w:top w:val="none" w:sz="0" w:space="0" w:color="auto"/>
        <w:left w:val="none" w:sz="0" w:space="0" w:color="auto"/>
        <w:bottom w:val="none" w:sz="0" w:space="0" w:color="auto"/>
        <w:right w:val="none" w:sz="0" w:space="0" w:color="auto"/>
      </w:divBdr>
    </w:div>
    <w:div w:id="2123762611">
      <w:bodyDiv w:val="1"/>
      <w:marLeft w:val="0"/>
      <w:marRight w:val="0"/>
      <w:marTop w:val="0"/>
      <w:marBottom w:val="0"/>
      <w:divBdr>
        <w:top w:val="none" w:sz="0" w:space="0" w:color="auto"/>
        <w:left w:val="none" w:sz="0" w:space="0" w:color="auto"/>
        <w:bottom w:val="none" w:sz="0" w:space="0" w:color="auto"/>
        <w:right w:val="none" w:sz="0" w:space="0" w:color="auto"/>
      </w:divBdr>
      <w:divsChild>
        <w:div w:id="28562825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4766407">
      <w:bodyDiv w:val="1"/>
      <w:marLeft w:val="0"/>
      <w:marRight w:val="0"/>
      <w:marTop w:val="0"/>
      <w:marBottom w:val="0"/>
      <w:divBdr>
        <w:top w:val="none" w:sz="0" w:space="0" w:color="auto"/>
        <w:left w:val="none" w:sz="0" w:space="0" w:color="auto"/>
        <w:bottom w:val="none" w:sz="0" w:space="0" w:color="auto"/>
        <w:right w:val="none" w:sz="0" w:space="0" w:color="auto"/>
      </w:divBdr>
    </w:div>
    <w:div w:id="2125880401">
      <w:bodyDiv w:val="1"/>
      <w:marLeft w:val="0"/>
      <w:marRight w:val="0"/>
      <w:marTop w:val="0"/>
      <w:marBottom w:val="0"/>
      <w:divBdr>
        <w:top w:val="none" w:sz="0" w:space="0" w:color="auto"/>
        <w:left w:val="none" w:sz="0" w:space="0" w:color="auto"/>
        <w:bottom w:val="none" w:sz="0" w:space="0" w:color="auto"/>
        <w:right w:val="none" w:sz="0" w:space="0" w:color="auto"/>
      </w:divBdr>
      <w:divsChild>
        <w:div w:id="202755482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26078817">
      <w:bodyDiv w:val="1"/>
      <w:marLeft w:val="0"/>
      <w:marRight w:val="0"/>
      <w:marTop w:val="0"/>
      <w:marBottom w:val="0"/>
      <w:divBdr>
        <w:top w:val="none" w:sz="0" w:space="0" w:color="auto"/>
        <w:left w:val="none" w:sz="0" w:space="0" w:color="auto"/>
        <w:bottom w:val="none" w:sz="0" w:space="0" w:color="auto"/>
        <w:right w:val="none" w:sz="0" w:space="0" w:color="auto"/>
      </w:divBdr>
    </w:div>
    <w:div w:id="2134591439">
      <w:bodyDiv w:val="1"/>
      <w:marLeft w:val="0"/>
      <w:marRight w:val="0"/>
      <w:marTop w:val="0"/>
      <w:marBottom w:val="0"/>
      <w:divBdr>
        <w:top w:val="none" w:sz="0" w:space="0" w:color="auto"/>
        <w:left w:val="none" w:sz="0" w:space="0" w:color="auto"/>
        <w:bottom w:val="none" w:sz="0" w:space="0" w:color="auto"/>
        <w:right w:val="none" w:sz="0" w:space="0" w:color="auto"/>
      </w:divBdr>
    </w:div>
    <w:div w:id="2135561275">
      <w:bodyDiv w:val="1"/>
      <w:marLeft w:val="0"/>
      <w:marRight w:val="0"/>
      <w:marTop w:val="0"/>
      <w:marBottom w:val="0"/>
      <w:divBdr>
        <w:top w:val="none" w:sz="0" w:space="0" w:color="auto"/>
        <w:left w:val="none" w:sz="0" w:space="0" w:color="auto"/>
        <w:bottom w:val="none" w:sz="0" w:space="0" w:color="auto"/>
        <w:right w:val="none" w:sz="0" w:space="0" w:color="auto"/>
      </w:divBdr>
    </w:div>
    <w:div w:id="2135708565">
      <w:bodyDiv w:val="1"/>
      <w:marLeft w:val="0"/>
      <w:marRight w:val="0"/>
      <w:marTop w:val="0"/>
      <w:marBottom w:val="0"/>
      <w:divBdr>
        <w:top w:val="none" w:sz="0" w:space="0" w:color="auto"/>
        <w:left w:val="none" w:sz="0" w:space="0" w:color="auto"/>
        <w:bottom w:val="none" w:sz="0" w:space="0" w:color="auto"/>
        <w:right w:val="none" w:sz="0" w:space="0" w:color="auto"/>
      </w:divBdr>
    </w:div>
    <w:div w:id="2138719031">
      <w:bodyDiv w:val="1"/>
      <w:marLeft w:val="0"/>
      <w:marRight w:val="0"/>
      <w:marTop w:val="0"/>
      <w:marBottom w:val="0"/>
      <w:divBdr>
        <w:top w:val="none" w:sz="0" w:space="0" w:color="auto"/>
        <w:left w:val="none" w:sz="0" w:space="0" w:color="auto"/>
        <w:bottom w:val="none" w:sz="0" w:space="0" w:color="auto"/>
        <w:right w:val="none" w:sz="0" w:space="0" w:color="auto"/>
      </w:divBdr>
    </w:div>
    <w:div w:id="2139685401">
      <w:bodyDiv w:val="1"/>
      <w:marLeft w:val="0"/>
      <w:marRight w:val="0"/>
      <w:marTop w:val="0"/>
      <w:marBottom w:val="0"/>
      <w:divBdr>
        <w:top w:val="none" w:sz="0" w:space="0" w:color="auto"/>
        <w:left w:val="none" w:sz="0" w:space="0" w:color="auto"/>
        <w:bottom w:val="none" w:sz="0" w:space="0" w:color="auto"/>
        <w:right w:val="none" w:sz="0" w:space="0" w:color="auto"/>
      </w:divBdr>
    </w:div>
    <w:div w:id="214303907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41</Pages>
  <Words>38937</Words>
  <Characters>221943</Characters>
  <Application>Microsoft Office Word</Application>
  <DocSecurity>0</DocSecurity>
  <Lines>1849</Lines>
  <Paragraphs>520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260360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Yunman</cp:lastModifiedBy>
  <cp:revision>24</cp:revision>
  <cp:lastPrinted>2026-02-27T08:49:00Z</cp:lastPrinted>
  <dcterms:created xsi:type="dcterms:W3CDTF">2026-09-26T21:56:00Z</dcterms:created>
  <dcterms:modified xsi:type="dcterms:W3CDTF">2026-09-29T16:01:00Z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id="TYpNCDSl"/&gt;&lt;style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