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78CF6" w14:textId="77777777" w:rsidR="00A234B6" w:rsidRDefault="00322BF0">
      <w:pPr>
        <w:pStyle w:val="Title"/>
        <w:jc w:val="center"/>
      </w:pPr>
      <w:r>
        <w:rPr>
          <w:rFonts w:ascii="Times New Roman" w:hAnsi="Times New Roman"/>
          <w:b/>
          <w:color w:val="1F497D"/>
          <w:sz w:val="32"/>
        </w:rPr>
        <w:t>HarmonAIze: A Multi-Source Geocoding and Validation Framework for Spatially Precise Health Research in Sub-Saharan Africa</w:t>
      </w:r>
    </w:p>
    <w:p w14:paraId="5DF77AEE" w14:textId="77777777" w:rsidR="00A234B6" w:rsidRDefault="00A234B6"/>
    <w:p w14:paraId="7A33D3D3" w14:textId="77777777" w:rsidR="00A234B6" w:rsidRDefault="00322BF0">
      <w:pPr>
        <w:jc w:val="center"/>
      </w:pPr>
      <w:r>
        <w:rPr>
          <w:rFonts w:ascii="Times New Roman" w:hAnsi="Times New Roman"/>
        </w:rPr>
        <w:t>Rutendo Sibanda¹*, Zororo Chinwadzimba¹, Pierre Kloppers², Natasha Lallo², Nicholas Brink², Perkins Watanbwa¹, Craig Parker², Tatenda Makanga¹²</w:t>
      </w:r>
    </w:p>
    <w:p w14:paraId="31523DEA" w14:textId="77777777" w:rsidR="00A234B6" w:rsidRDefault="00322BF0">
      <w:pPr>
        <w:jc w:val="center"/>
      </w:pPr>
      <w:r>
        <w:rPr>
          <w:rFonts w:ascii="Times New Roman" w:hAnsi="Times New Roman"/>
          <w:sz w:val="20"/>
        </w:rPr>
        <w:t>¹ Centre for Sexual Health and HIV/AIDS Research (CeSHHAR Zimbabwe), Harare, Zimbabwe</w:t>
      </w:r>
      <w:r>
        <w:rPr>
          <w:rFonts w:ascii="Times New Roman" w:hAnsi="Times New Roman"/>
          <w:sz w:val="20"/>
        </w:rPr>
        <w:br/>
        <w:t>² [Co-author affiliations - please confirm]</w:t>
      </w:r>
      <w:r>
        <w:rPr>
          <w:rFonts w:ascii="Times New Roman" w:hAnsi="Times New Roman"/>
          <w:sz w:val="20"/>
        </w:rPr>
        <w:br/>
      </w:r>
      <w:r>
        <w:rPr>
          <w:rFonts w:ascii="Times New Roman" w:hAnsi="Times New Roman"/>
          <w:sz w:val="20"/>
        </w:rPr>
        <w:br/>
        <w:t>*Corresponding author: rutendo.sibanda@ceshhar.org</w:t>
      </w:r>
      <w:r>
        <w:rPr>
          <w:rFonts w:ascii="Times New Roman" w:hAnsi="Times New Roman"/>
          <w:sz w:val="20"/>
        </w:rPr>
        <w:br/>
      </w:r>
      <w:r>
        <w:rPr>
          <w:rFonts w:ascii="Times New Roman" w:hAnsi="Times New Roman"/>
          <w:sz w:val="20"/>
        </w:rPr>
        <w:br/>
        <w:t>Target journal: International Journal of Health Geographics</w:t>
      </w:r>
      <w:r>
        <w:rPr>
          <w:rFonts w:ascii="Times New Roman" w:hAnsi="Times New Roman"/>
          <w:sz w:val="20"/>
        </w:rPr>
        <w:br/>
        <w:t>Manuscript type: Methodology</w:t>
      </w:r>
    </w:p>
    <w:p w14:paraId="3B1E0204" w14:textId="77777777" w:rsidR="00A234B6" w:rsidRDefault="00322BF0">
      <w:r>
        <w:br w:type="page"/>
      </w:r>
    </w:p>
    <w:p w14:paraId="09401C49" w14:textId="77777777" w:rsidR="00A234B6" w:rsidRDefault="00322BF0">
      <w:pPr>
        <w:pStyle w:val="Heading1"/>
      </w:pPr>
      <w:r>
        <w:rPr>
          <w:color w:val="1F497D"/>
        </w:rPr>
        <w:lastRenderedPageBreak/>
        <w:t>Abstract</w:t>
      </w:r>
    </w:p>
    <w:p w14:paraId="7B89E546" w14:textId="77777777" w:rsidR="00A234B6" w:rsidRDefault="00322BF0">
      <w:pPr>
        <w:pStyle w:val="Heading2"/>
      </w:pPr>
      <w:r>
        <w:rPr>
          <w:color w:val="1F497D"/>
        </w:rPr>
        <w:t>Background</w:t>
      </w:r>
    </w:p>
    <w:p w14:paraId="742D9694" w14:textId="77777777" w:rsidR="00A234B6" w:rsidRDefault="00322BF0">
      <w:pPr>
        <w:spacing w:after="160"/>
      </w:pPr>
      <w:r>
        <w:rPr>
          <w:rFonts w:ascii="Times New Roman" w:hAnsi="Times New Roman"/>
        </w:rPr>
        <w:t>Spatial epidemiology in sub-Saharan Africa is systematically constrained by the absence of geographic coordinates in secondary health datasets, where study locations are routinely recorded as free-text facility names or administrative unit labels without associated latitude and longitude values. Existing geocoding approaches either rely on a single commercial application programming interface (API) without systematic validation, or require manual coordinate assignment that is prohibitively time-consuming for studies spanning multiple countries and hundreds of locations. Neither approach provides researchers with a quantified measure of coordinate reliability, leaving the spatial precision of downstream environmental exposure assignments and disease mapping analyses unverified.</w:t>
      </w:r>
    </w:p>
    <w:p w14:paraId="13F69831" w14:textId="77777777" w:rsidR="00A234B6" w:rsidRDefault="00322BF0">
      <w:pPr>
        <w:pStyle w:val="Heading2"/>
      </w:pPr>
      <w:r>
        <w:rPr>
          <w:color w:val="1F497D"/>
        </w:rPr>
        <w:t>Methods</w:t>
      </w:r>
    </w:p>
    <w:p w14:paraId="76393CFB" w14:textId="77777777" w:rsidR="00A234B6" w:rsidRDefault="00322BF0">
      <w:pPr>
        <w:spacing w:after="160"/>
      </w:pPr>
      <w:r>
        <w:rPr>
          <w:rFonts w:ascii="Times New Roman" w:hAnsi="Times New Roman"/>
        </w:rPr>
        <w:t>We developed HarmonAIze, an open-source web-based geocoding platform that simultaneously queries six complementary geocoding sources: the Humanitarian Data Exchange (HDX) health facilities database, Google Maps, ArcGIS, OpenStreetMap via Nominatim, local administrative boundary datasets, and researcher-supplied field coordinates. Results are integrated through a two-component confidence scoring framework combining reverse geocoding name similarity analysis (70% weight) and inter-source coordinate proximity clustering (30% weight). Large language model (LLM)-enhanced parsing using the Claude API extracts structured components from free-text African location strings to optimise queries for each source. Additional validation layers include administrative boundary containment checking, LLM-based conflict resolution when sources disagree by more than 5 km, and contextual sanity checking. Validated coordinates are retained in a persistent learning dataset to eliminate redundant processing across studies.</w:t>
      </w:r>
    </w:p>
    <w:p w14:paraId="0CE55755" w14:textId="77777777" w:rsidR="00A234B6" w:rsidRDefault="00322BF0">
      <w:pPr>
        <w:pStyle w:val="Heading2"/>
      </w:pPr>
      <w:r>
        <w:rPr>
          <w:color w:val="1F497D"/>
        </w:rPr>
        <w:t>Results</w:t>
      </w:r>
    </w:p>
    <w:p w14:paraId="55540BF4" w14:textId="7DCAC798" w:rsidR="00A234B6" w:rsidRDefault="00322BF0">
      <w:pPr>
        <w:ind w:left="576" w:right="576"/>
      </w:pPr>
      <w:r>
        <w:rPr>
          <w:i/>
          <w:color w:val="C00000"/>
          <w:sz w:val="20"/>
        </w:rPr>
        <w:t>[INSERT AFTER EXPERIMENT: e.g. "Applied to [N] locations from [N] health studies across N countries in sub-Saharan Africa, multi-source consensus geocoding achieved [</w:t>
      </w:r>
      <w:proofErr w:type="gramStart"/>
      <w:r>
        <w:rPr>
          <w:i/>
          <w:color w:val="C00000"/>
          <w:sz w:val="20"/>
        </w:rPr>
        <w:t>X]%</w:t>
      </w:r>
      <w:proofErr w:type="gramEnd"/>
      <w:r>
        <w:rPr>
          <w:i/>
          <w:color w:val="C00000"/>
          <w:sz w:val="20"/>
        </w:rPr>
        <w:t xml:space="preserve"> greater accuracy than single-source Google Maps geocoding alone (median error [X] km vs [X] km, p&lt;0.001). Coordinate discrepancies exceeding 5 km across sources were identified in [X]% of locations. The persistent validated dataset reduced API calls by [X]% across repeated studies. Mean processing time for a 200-location list was [X] minutes compared to an estimated [X] hours for manual geocoding."]</w:t>
      </w:r>
    </w:p>
    <w:p w14:paraId="145B72B3" w14:textId="77777777" w:rsidR="00A234B6" w:rsidRDefault="00322BF0">
      <w:pPr>
        <w:pStyle w:val="Heading2"/>
      </w:pPr>
      <w:r>
        <w:rPr>
          <w:color w:val="1F497D"/>
        </w:rPr>
        <w:t>Conclusions</w:t>
      </w:r>
    </w:p>
    <w:p w14:paraId="134BF574" w14:textId="77777777" w:rsidR="00A234B6" w:rsidRDefault="00322BF0">
      <w:pPr>
        <w:spacing w:after="160"/>
      </w:pPr>
      <w:r>
        <w:rPr>
          <w:rFonts w:ascii="Times New Roman" w:hAnsi="Times New Roman"/>
        </w:rPr>
        <w:t>HarmonAIze addresses a critical and underappreciated methodological gap in African health research by providing open, validated, multi-source geocoding infrastructure accessible to research teams without GIS or programming expertise. The platform is freely available at www.harmonaize.uk. By quantifying coordinate reliability through calibrated confidence scoring and AI-assisted validation, HarmonAIze reduces the risk of spatial misassignment errors that would otherwise compromise the validity of environmental exposure characterisation, disease mapping, and healthcare accessibility analyses in low- and middle-income country settings.</w:t>
      </w:r>
    </w:p>
    <w:p w14:paraId="64140DFF" w14:textId="77777777" w:rsidR="00A234B6" w:rsidRDefault="00322BF0">
      <w:r>
        <w:rPr>
          <w:rFonts w:ascii="Times New Roman" w:hAnsi="Times New Roman"/>
          <w:b/>
        </w:rPr>
        <w:lastRenderedPageBreak/>
        <w:t xml:space="preserve">Keywords: </w:t>
      </w:r>
      <w:r>
        <w:t>geocoding; spatial epidemiology; sub-Saharan Africa; health geography; multi-source validation; open-source software; geolocation; health data science; large language models; confidence scoring; low- and middle-income countries</w:t>
      </w:r>
    </w:p>
    <w:p w14:paraId="7069EBF1" w14:textId="77777777" w:rsidR="00A234B6" w:rsidRDefault="00322BF0">
      <w:r>
        <w:br w:type="page"/>
      </w:r>
    </w:p>
    <w:p w14:paraId="2A8D6381" w14:textId="77777777" w:rsidR="00A234B6" w:rsidRDefault="00322BF0">
      <w:pPr>
        <w:pStyle w:val="Heading1"/>
      </w:pPr>
      <w:r>
        <w:rPr>
          <w:color w:val="1F497D"/>
        </w:rPr>
        <w:lastRenderedPageBreak/>
        <w:t>1. Background</w:t>
      </w:r>
    </w:p>
    <w:p w14:paraId="0D2F1585" w14:textId="77777777" w:rsidR="00A234B6" w:rsidRDefault="00322BF0">
      <w:pPr>
        <w:spacing w:after="160"/>
      </w:pPr>
      <w:r>
        <w:rPr>
          <w:rFonts w:ascii="Times New Roman" w:hAnsi="Times New Roman"/>
        </w:rPr>
        <w:t>The ability to link health outcomes with their geographic context is foundational to modern epidemiology. Geographic coordinates enable the assignment of satellite-derived environmental exposures, including land surface temperature, fine particulate matter concentrations, normalised difference vegetation index, and precipitation accumulation, to study participants and health facilities [1,2]. They underpin the calculation of travel times and physical distances to health services, which are primary determinants of healthcare utilisation and health outcomes across low- and middle-income country settings [3,4]. They are indispensable for modelling the spatial transmission dynamics of infectious diseases, for characterising population exposure gradients along environmental risk axes, and for identifying geographic clusters of disease burden or unmet health need [5,6].</w:t>
      </w:r>
    </w:p>
    <w:p w14:paraId="625957FF" w14:textId="77777777" w:rsidR="00A234B6" w:rsidRDefault="00322BF0">
      <w:pPr>
        <w:spacing w:after="160"/>
      </w:pPr>
      <w:r>
        <w:rPr>
          <w:rFonts w:ascii="Times New Roman" w:hAnsi="Times New Roman"/>
        </w:rPr>
        <w:t>In sub-Saharan Africa, however, the practical execution of spatially explicit health research is routinely impeded by a fundamental data quality problem: secondary health datasets, which provide the empirical foundation for the majority of African health research, encode study locations as free-text facility names or administrative unit designations rather than geographic coordinates [7,8]. Multi-site HIV treatment cohorts, health facility assessments, maternal and child health programme evaluations, and climate-health linkage studies each accumulate location lists spanning dozens to hundreds of clinics, hospitals, community sites, and administrative areas across multiple countries, none with coordinates directly available in the dataset.</w:t>
      </w:r>
    </w:p>
    <w:p w14:paraId="1891B2D2" w14:textId="77777777" w:rsidR="00A234B6" w:rsidRDefault="00322BF0">
      <w:pPr>
        <w:spacing w:after="160"/>
      </w:pPr>
      <w:r>
        <w:rPr>
          <w:rFonts w:ascii="Times New Roman" w:hAnsi="Times New Roman"/>
        </w:rPr>
        <w:t>The consequences of inadequate geocoding extend beyond inconvenience. A health facility geocoded to a location 10 km from its true position will be assigned systematically incorrect temperature exposures, incorrect proximity to pollution sources, and incorrect travel time estimates. These spatial misassignments do not manifest as detectable outliers in subsequent analyses; they propagate as latent systematic bias through regression models and exposure characterisation procedures, generating associations that may be artefactual rather than causal [9,10]. The magnitude of bias introduced by geocoding error in health research has been demonstrated in high-income country contexts [11,12] but remains substantially undercharacterised for sub-Saharan African settings, where the combination of data sparsity and geographic complexity creates conditions for more frequent and more severe geocoding errors.</w:t>
      </w:r>
    </w:p>
    <w:p w14:paraId="2885EC52" w14:textId="77777777" w:rsidR="00A234B6" w:rsidRDefault="00322BF0">
      <w:pPr>
        <w:spacing w:after="160"/>
      </w:pPr>
      <w:r>
        <w:rPr>
          <w:rFonts w:ascii="Times New Roman" w:hAnsi="Times New Roman"/>
        </w:rPr>
        <w:t>Three geocoding strategies are available to health researchers in practice. Manual geocoding, the individual assignment of coordinates by searching each location in online mapping tools, can achieve high accuracy but scales poorly: a list of 200 clinic names across five countries may require weeks of research assistant time, with associated labour costs, transcription errors, and introduction of inter-operator variability [7]. Batch geocoding via a single commercial API, most commonly the Google Maps Geocoding API or the ESRI ArcGIS World Geocoding Service, offers computational efficiency but provides no validation mechanism. Commercial APIs return a coordinate for nearly every query, including queries where the correct facility is absent from the database, generating false-positive results that are indistinguishable from correct results without independent verification [13,14]. The third strategy, abandoning spatial analysis entirely because coordinate assignment is considered too uncertain or too laborious, sacrifices the geospatial insights that motivate such analyses in the first place.</w:t>
      </w:r>
    </w:p>
    <w:p w14:paraId="34C7CAF3" w14:textId="77777777" w:rsidR="00A234B6" w:rsidRDefault="00322BF0">
      <w:pPr>
        <w:spacing w:after="160"/>
      </w:pPr>
      <w:r>
        <w:rPr>
          <w:rFonts w:ascii="Times New Roman" w:hAnsi="Times New Roman"/>
        </w:rPr>
        <w:lastRenderedPageBreak/>
        <w:t>The inadequacy of these approaches reflects a broader gap in research infrastructure for African health data science. While geocoding validation methods have received attention in North American and European contexts [11,12,15], no comparable open-source tooling exists for the specific challenges of sub-Saharan African health research: heterogeneous local-language facility naming conventions, sparse coverage in commercial mapping databases, multi-country datasets spanning diverse administrative systems, and limited access to proprietary GIS software and expertise [7,16].</w:t>
      </w:r>
    </w:p>
    <w:p w14:paraId="6FC198DA" w14:textId="77777777" w:rsidR="00A234B6" w:rsidRDefault="00322BF0">
      <w:pPr>
        <w:spacing w:after="160"/>
      </w:pPr>
      <w:r>
        <w:rPr>
          <w:rFonts w:ascii="Times New Roman" w:hAnsi="Times New Roman"/>
        </w:rPr>
        <w:t>We present HarmonAIze, an open-source geocoding and validation platform designed to fill this gap. The platform integrates six complementary geocoding sources through a parallel processing architecture, applies a quantified confidence scoring framework to each returned result, incorporates large language model (LLM) capabilities for semantic location parsing and validation, and provides an interactive AI-assisted visual inspection interface for researcher review. This paper describes the system design, implementation, and evaluation across a multi-country corpus of sub-Saharan African health study locations.</w:t>
      </w:r>
    </w:p>
    <w:p w14:paraId="7111D575" w14:textId="77777777" w:rsidR="00A234B6" w:rsidRDefault="00322BF0">
      <w:r>
        <w:br w:type="page"/>
      </w:r>
    </w:p>
    <w:p w14:paraId="5436E9DB" w14:textId="77777777" w:rsidR="00A234B6" w:rsidRDefault="00322BF0">
      <w:pPr>
        <w:pStyle w:val="Heading1"/>
      </w:pPr>
      <w:r>
        <w:rPr>
          <w:color w:val="1F497D"/>
        </w:rPr>
        <w:lastRenderedPageBreak/>
        <w:t>2. Related Work</w:t>
      </w:r>
    </w:p>
    <w:p w14:paraId="59B6563E" w14:textId="77777777" w:rsidR="00A234B6" w:rsidRDefault="00322BF0">
      <w:pPr>
        <w:pStyle w:val="Heading2"/>
      </w:pPr>
      <w:r>
        <w:rPr>
          <w:color w:val="1F497D"/>
        </w:rPr>
        <w:t>2.1 Geocoding Methods in Health Research</w:t>
      </w:r>
    </w:p>
    <w:p w14:paraId="431760A4" w14:textId="77777777" w:rsidR="00A234B6" w:rsidRDefault="00322BF0">
      <w:pPr>
        <w:spacing w:after="160"/>
      </w:pPr>
      <w:r>
        <w:rPr>
          <w:rFonts w:ascii="Times New Roman" w:hAnsi="Times New Roman"/>
        </w:rPr>
        <w:t>Geocoding in health research has been studied primarily in North American and European contexts, where the focus has been on address-level precision and the health effects of geocoding error on small-area analyses [11,12,15,17]. Zandbergen (2009) demonstrated that geocoding method choice significantly affects the accuracy of proximity-based exposure assignments in environmental health studies [11]. Cayo and Talbot (2003) showed that interpolation-based address geocoding introduces systematic positional error that varies by urban/rural classification [12]. These findings establish the methodological stakes of geocoding quality but were developed for settings with comprehensive address databases and dense road networks, conditions that do not generalise to sub-Saharan African environments.</w:t>
      </w:r>
    </w:p>
    <w:p w14:paraId="72E33E6E" w14:textId="77777777" w:rsidR="00A234B6" w:rsidRDefault="00322BF0">
      <w:pPr>
        <w:spacing w:after="160"/>
      </w:pPr>
      <w:r>
        <w:rPr>
          <w:rFonts w:ascii="Times New Roman" w:hAnsi="Times New Roman"/>
        </w:rPr>
        <w:t>In low- and middle-income country contexts, Friesen et al. (2018) documented substantial geocoding challenges in health facility datasets for sub-Saharan Africa, noting inconsistent naming conventions, missing coordinates, and coordinate errors in existing facility registries [7]. Stauber et al. (2019) evaluated OpenStreetMap coverage for health facility locations across African countries, finding highly variable completeness that correlates with humanitarian activity rather than health system strength [16]. Despite these documented challenges, no systematic multi-source geocoding validation framework targeting African health research has been previously described in the peer-reviewed literature.</w:t>
      </w:r>
    </w:p>
    <w:p w14:paraId="12DEED69" w14:textId="77777777" w:rsidR="00A234B6" w:rsidRDefault="00322BF0">
      <w:pPr>
        <w:pStyle w:val="Heading2"/>
      </w:pPr>
      <w:r>
        <w:rPr>
          <w:color w:val="1F497D"/>
        </w:rPr>
        <w:t>2.2 Multi-Source Geocoding Approaches</w:t>
      </w:r>
    </w:p>
    <w:p w14:paraId="0D469AE8" w14:textId="77777777" w:rsidR="00A234B6" w:rsidRDefault="00322BF0">
      <w:pPr>
        <w:spacing w:after="160"/>
      </w:pPr>
      <w:r>
        <w:rPr>
          <w:rFonts w:ascii="Times New Roman" w:hAnsi="Times New Roman"/>
        </w:rPr>
        <w:t>The use of multiple geocoding sources to improve accuracy through consensus has been explored in address geocoding literature. Roongpiboonsopit and Karimi (2010) compared seven geocoding services for US address data and demonstrated that no single service achieved optimal accuracy across all address types, motivating multi-service approaches [13]. Jacquez (2012) proposed uncertainty quantification frameworks for geocoded health data but focussed on address-level precision rather than facility-name matching in data-sparse environments [18].</w:t>
      </w:r>
    </w:p>
    <w:p w14:paraId="68B16DE0" w14:textId="77777777" w:rsidR="00A234B6" w:rsidRDefault="00322BF0">
      <w:pPr>
        <w:spacing w:after="160"/>
      </w:pPr>
      <w:r>
        <w:rPr>
          <w:rFonts w:ascii="Times New Roman" w:hAnsi="Times New Roman"/>
        </w:rPr>
        <w:t>The integration of domain-specific databases with general-purpose geocoding APIs has received limited attention. The HDX health facilities dataset has been used as a coordinate reference for humanitarian health planning [19] but has not previously been integrated into an automated multi-source geocoding validation workflow. Administrative boundary datasets from OpenStreetMap have been applied to administrative-level geocoding in global health contexts [20] but without systematic integration with point-based geocoding sources.</w:t>
      </w:r>
    </w:p>
    <w:p w14:paraId="79D12208" w14:textId="77777777" w:rsidR="00A234B6" w:rsidRDefault="00322BF0">
      <w:pPr>
        <w:pStyle w:val="Heading2"/>
      </w:pPr>
      <w:r>
        <w:rPr>
          <w:color w:val="1F497D"/>
        </w:rPr>
        <w:t>2.3 AI and LLM Applications in Geocoding</w:t>
      </w:r>
    </w:p>
    <w:p w14:paraId="6713902E" w14:textId="77777777" w:rsidR="00A234B6" w:rsidRDefault="00322BF0">
      <w:pPr>
        <w:spacing w:after="160"/>
      </w:pPr>
      <w:r>
        <w:rPr>
          <w:rFonts w:ascii="Times New Roman" w:hAnsi="Times New Roman"/>
        </w:rPr>
        <w:t xml:space="preserve">The application of machine learning to geocoding has concentrated on address parsing and standardisation [21,22], toponym disambiguation [23], and geographic information retrieval [24]. Large language models have recently demonstrated strong performance on geographic entity extraction and spatial reasoning tasks [25,26], suggesting their potential utility for the complex location string parsing challenges characteristic of African health research datasets. To our knowledge, the integration of LLM-based semantic matching, conflict resolution, and contextual </w:t>
      </w:r>
      <w:r>
        <w:rPr>
          <w:rFonts w:ascii="Times New Roman" w:hAnsi="Times New Roman"/>
        </w:rPr>
        <w:lastRenderedPageBreak/>
        <w:t>sanity checking into a geocoding validation pipeline has not been previously described in the health informatics literature.</w:t>
      </w:r>
    </w:p>
    <w:p w14:paraId="748F178A" w14:textId="77777777" w:rsidR="00A234B6" w:rsidRDefault="00322BF0">
      <w:pPr>
        <w:pStyle w:val="Heading2"/>
      </w:pPr>
      <w:r>
        <w:rPr>
          <w:color w:val="1F497D"/>
        </w:rPr>
        <w:t>2.4 Open-Source Geocoding Tools for Global Health</w:t>
      </w:r>
    </w:p>
    <w:p w14:paraId="3086F960" w14:textId="77777777" w:rsidR="00A234B6" w:rsidRDefault="00322BF0">
      <w:pPr>
        <w:spacing w:after="160"/>
      </w:pPr>
      <w:r>
        <w:rPr>
          <w:rFonts w:ascii="Times New Roman" w:hAnsi="Times New Roman"/>
        </w:rPr>
        <w:t>Several open-source geocoding tools have been developed for global health applications. The WHO Facility Registry supports health facility data management but does not provide automated geocoding [27]. GeoPandas and related Python geospatial libraries provide geocoding functionality through API wrappers but do not implement validation, confidence scoring, or user interfaces accessible to non-programmers [28]. The DHIS2 platform includes basic geocoding features for health information systems but is not designed for the research geocoding workflow of converting location name lists from secondary datasets [29]. HarmonAIze is distinguished from these tools by its combination of multi-source integration, quantified validation, AI-assisted review, and accessibility for non-technical researchers.</w:t>
      </w:r>
    </w:p>
    <w:p w14:paraId="4519B59C" w14:textId="77777777" w:rsidR="00A234B6" w:rsidRDefault="00322BF0">
      <w:r>
        <w:br w:type="page"/>
      </w:r>
    </w:p>
    <w:p w14:paraId="0659046E" w14:textId="77777777" w:rsidR="00A234B6" w:rsidRDefault="00322BF0">
      <w:pPr>
        <w:pStyle w:val="Heading1"/>
      </w:pPr>
      <w:r>
        <w:rPr>
          <w:color w:val="1F497D"/>
        </w:rPr>
        <w:lastRenderedPageBreak/>
        <w:t>3. Methods</w:t>
      </w:r>
    </w:p>
    <w:p w14:paraId="200BB2E0" w14:textId="77777777" w:rsidR="00A234B6" w:rsidRDefault="00322BF0">
      <w:pPr>
        <w:pStyle w:val="Heading2"/>
      </w:pPr>
      <w:r>
        <w:rPr>
          <w:color w:val="1F497D"/>
        </w:rPr>
        <w:t>3.1 System Architecture</w:t>
      </w:r>
    </w:p>
    <w:p w14:paraId="7BD9F6B7" w14:textId="77777777" w:rsidR="00A234B6" w:rsidRDefault="00322BF0">
      <w:pPr>
        <w:spacing w:after="160"/>
      </w:pPr>
      <w:r>
        <w:rPr>
          <w:rFonts w:ascii="Times New Roman" w:hAnsi="Times New Roman"/>
        </w:rPr>
        <w:t>HarmonAIze is implemented as a Django 5.0 web application with a PostgreSQL relational database backend, Redis in-memory cache, and Celery distributed task queue. The application is containerised using Docker, providing reproducible deployment across server environments. The geocoding pipeline is modular, comprising four independent service classes: GeocodingService (multi-source geocoding), SmartGeocodingValidator (validation and scoring), GeocodingLLMEnhancer (AI-assisted parsing and analysis), and AdminBoundaryGeocoder (boundary matching and polygon operations). Each service can be invoked via the web interface, the Celery task queue for batch operations, or directly via REST API endpoints, supporting integration into existing research data pipelines.</w:t>
      </w:r>
    </w:p>
    <w:p w14:paraId="73DAC549" w14:textId="77777777" w:rsidR="00A234B6" w:rsidRDefault="00322BF0">
      <w:pPr>
        <w:spacing w:after="160"/>
      </w:pPr>
      <w:r>
        <w:rPr>
          <w:rFonts w:ascii="Times New Roman" w:hAnsi="Times New Roman"/>
        </w:rPr>
        <w:t>The platform exposes 15 REST API endpoints covering geocoding execution, validation actions, batch progress monitoring, administrative boundary geometry retrieval, and export operations. All data is user-scoped through Django's authentication system: each user's geocoding results, validated datasets, and uploaded files are isolated from other users, enabling multi-team deployment without data leakage between research groups. The platform is deployed and publicly accessible at www.harmonaize.uk under an open-source licence.</w:t>
      </w:r>
    </w:p>
    <w:p w14:paraId="2ACF76A2" w14:textId="77777777" w:rsidR="00A234B6" w:rsidRDefault="00322BF0">
      <w:pPr>
        <w:pStyle w:val="Heading2"/>
      </w:pPr>
      <w:r>
        <w:rPr>
          <w:color w:val="1F497D"/>
        </w:rPr>
        <w:t>3.2 Data Ingestion and Column Detection</w:t>
      </w:r>
    </w:p>
    <w:p w14:paraId="7406FB17" w14:textId="77777777" w:rsidR="00A234B6" w:rsidRDefault="00322BF0">
      <w:pPr>
        <w:spacing w:after="160"/>
      </w:pPr>
      <w:r>
        <w:rPr>
          <w:rFonts w:ascii="Times New Roman" w:hAnsi="Times New Roman"/>
        </w:rPr>
        <w:t>Users upload location data in CSV, Microsoft Excel (XLSX, XLS), or JSON format. A SHA-256 checksum is computed on each uploaded file to detect and prevent duplicate processing. The system analyses the first 100 rows of each file using the pandas data analysis library to infer column data types and detect probable location name, latitude, and longitude columns through three heuristic algorithms:</w:t>
      </w:r>
    </w:p>
    <w:p w14:paraId="4ADBA42E" w14:textId="77777777" w:rsidR="00A234B6" w:rsidRDefault="00322BF0">
      <w:pPr>
        <w:pStyle w:val="ListNumber"/>
      </w:pPr>
      <w:r>
        <w:rPr>
          <w:rFonts w:ascii="Times New Roman" w:hAnsi="Times New Roman"/>
        </w:rPr>
        <w:t>Location name detection evaluates column names against a vocabulary of location-relevant keywords and assesses data characteristics, accepting columns with text data types and uniqueness ratios exceeding 30%.</w:t>
      </w:r>
    </w:p>
    <w:p w14:paraId="6736583E" w14:textId="77777777" w:rsidR="00A234B6" w:rsidRDefault="00322BF0">
      <w:pPr>
        <w:pStyle w:val="ListNumber"/>
      </w:pPr>
      <w:r>
        <w:rPr>
          <w:rFonts w:ascii="Times New Roman" w:hAnsi="Times New Roman"/>
        </w:rPr>
        <w:t>Latitude detection matches column names against latitude-related keywords (lat, latitude, y_coord, northing) and validates that numeric values fall within the valid range of -90 to 90 degrees.</w:t>
      </w:r>
    </w:p>
    <w:p w14:paraId="2AE43311" w14:textId="77777777" w:rsidR="00A234B6" w:rsidRDefault="00322BF0">
      <w:pPr>
        <w:pStyle w:val="ListNumber"/>
      </w:pPr>
      <w:r>
        <w:rPr>
          <w:rFonts w:ascii="Times New Roman" w:hAnsi="Times New Roman"/>
        </w:rPr>
        <w:t>Longitude detection applies equivalent logic for longitude columns, validating numeric values within the range of -180 to 180 degrees.</w:t>
      </w:r>
    </w:p>
    <w:p w14:paraId="0F87E646" w14:textId="77777777" w:rsidR="00A234B6" w:rsidRDefault="00322BF0">
      <w:pPr>
        <w:spacing w:after="160"/>
      </w:pPr>
      <w:r>
        <w:rPr>
          <w:rFonts w:ascii="Times New Roman" w:hAnsi="Times New Roman"/>
        </w:rPr>
        <w:t>Columns detected as probable coordinate columns are presented in the mapping interface regardless of their inferred data type, addressing the common situation in which spreadsheet applications store coordinate values as text strings rather than numeric types. Coordinate values outside valid ranges are rejected with a warning log during ingestion, preventing coordinate format errors from entering the analysis pipeline.</w:t>
      </w:r>
    </w:p>
    <w:p w14:paraId="6B99CFC3" w14:textId="77777777" w:rsidR="00A234B6" w:rsidRDefault="00322BF0">
      <w:pPr>
        <w:pStyle w:val="Heading2"/>
      </w:pPr>
      <w:r>
        <w:rPr>
          <w:color w:val="1F497D"/>
        </w:rPr>
        <w:t>3.3 Location Name Parsing with Large Language Models</w:t>
      </w:r>
    </w:p>
    <w:p w14:paraId="06C45EDC" w14:textId="77777777" w:rsidR="00A234B6" w:rsidRDefault="00322BF0">
      <w:pPr>
        <w:spacing w:after="160"/>
      </w:pPr>
      <w:r>
        <w:rPr>
          <w:rFonts w:ascii="Times New Roman" w:hAnsi="Times New Roman"/>
        </w:rPr>
        <w:t xml:space="preserve">Free-text location strings in African health datasets resist reliable parsing by rule-based methods owing to variable field ordering, multi-language content, inconsistent abbreviation conventions, </w:t>
      </w:r>
      <w:r>
        <w:rPr>
          <w:rFonts w:ascii="Times New Roman" w:hAnsi="Times New Roman"/>
        </w:rPr>
        <w:lastRenderedPageBreak/>
        <w:t>and facility naming patterns specific to individual countries and health system contexts. HarmonAIze employs the Claude Haiku model (Anthropic, Inc.) as the primary parser, selected for its balance of speed, cost, and accuracy on structured extraction tasks. For each location name, the model returns a structured JSON object containing: facility name (with abbreviations expanded: Gen to General, Hosp to Hospital, St to Saint), facility type, city or district name, province or state, country name, and ISO 3166-1 alpha-2 country code. Parsing results are cached for one hour to avoid redundant API calls across repeated queries.</w:t>
      </w:r>
    </w:p>
    <w:p w14:paraId="3677CA81" w14:textId="77777777" w:rsidR="00A234B6" w:rsidRDefault="00322BF0">
      <w:pPr>
        <w:spacing w:after="160"/>
      </w:pPr>
      <w:r>
        <w:rPr>
          <w:rFonts w:ascii="Times New Roman" w:hAnsi="Times New Roman"/>
        </w:rPr>
        <w:t>The structured output enables source-specific query construction. Google Maps and ArcGIS queries are constructed as structured address strings (facility name, city, country) to leverage each service's address parsing capabilities. Nominatim queries use facility name and city as the search term with country passed as a separate countrycodes filter parameter, and facility type is passed as an amenity hint where available. HDX matching uses the facility name alone after stripping facility type suffixes to maximise recall against the database's facility-centric naming conventions. When LLM parsing is unavailable, the system falls back to a rule-based parser using the pycountry library and regular expression patterns, ensuring uninterrupted operation.</w:t>
      </w:r>
    </w:p>
    <w:p w14:paraId="2CA093A0" w14:textId="77777777" w:rsidR="00A234B6" w:rsidRDefault="00322BF0">
      <w:pPr>
        <w:pStyle w:val="Heading2"/>
      </w:pPr>
      <w:r>
        <w:rPr>
          <w:color w:val="1F497D"/>
        </w:rPr>
        <w:t>3.4 Multi-Source Parallel Geocoding</w:t>
      </w:r>
    </w:p>
    <w:p w14:paraId="274C3605" w14:textId="77777777" w:rsidR="00A234B6" w:rsidRDefault="00322BF0">
      <w:pPr>
        <w:spacing w:after="160"/>
      </w:pPr>
      <w:r>
        <w:rPr>
          <w:rFonts w:ascii="Times New Roman" w:hAnsi="Times New Roman"/>
        </w:rPr>
        <w:t>Following query construction, HarmonAIze submits requests to all six geocoding sources simultaneously using Python's concurrent.futures.ThreadPoolExecutor with a 30-second collective timeout and 10-second individual timeouts per source. Each source is implemented as a dedicated callable incorporating source-specific retry logic: structured query failure triggers an automatic retry with the original unstructured location name for Google Maps, ArcGIS, and Nominatim. The six sources and their primary characteristics are summarised in Table 1.</w:t>
      </w:r>
    </w:p>
    <w:tbl>
      <w:tblPr>
        <w:tblStyle w:val="TableGrid"/>
        <w:tblW w:w="0" w:type="auto"/>
        <w:tblLook w:val="04A0" w:firstRow="1" w:lastRow="0" w:firstColumn="1" w:lastColumn="0" w:noHBand="0" w:noVBand="1"/>
      </w:tblPr>
      <w:tblGrid>
        <w:gridCol w:w="1727"/>
        <w:gridCol w:w="1726"/>
        <w:gridCol w:w="1727"/>
        <w:gridCol w:w="1726"/>
        <w:gridCol w:w="1724"/>
      </w:tblGrid>
      <w:tr w:rsidR="00A234B6" w14:paraId="2D29D00B" w14:textId="77777777">
        <w:tc>
          <w:tcPr>
            <w:tcW w:w="1728" w:type="dxa"/>
          </w:tcPr>
          <w:p w14:paraId="31C12FF0" w14:textId="77777777" w:rsidR="00A234B6" w:rsidRDefault="00322BF0">
            <w:r>
              <w:rPr>
                <w:rFonts w:ascii="Times New Roman" w:hAnsi="Times New Roman"/>
                <w:b/>
                <w:sz w:val="20"/>
              </w:rPr>
              <w:t>Source</w:t>
            </w:r>
          </w:p>
        </w:tc>
        <w:tc>
          <w:tcPr>
            <w:tcW w:w="1728" w:type="dxa"/>
          </w:tcPr>
          <w:p w14:paraId="5B58E706" w14:textId="77777777" w:rsidR="00A234B6" w:rsidRDefault="00322BF0">
            <w:r>
              <w:rPr>
                <w:rFonts w:ascii="Times New Roman" w:hAnsi="Times New Roman"/>
                <w:b/>
                <w:sz w:val="20"/>
              </w:rPr>
              <w:t>Type</w:t>
            </w:r>
          </w:p>
        </w:tc>
        <w:tc>
          <w:tcPr>
            <w:tcW w:w="1728" w:type="dxa"/>
          </w:tcPr>
          <w:p w14:paraId="7CA3AD0A" w14:textId="77777777" w:rsidR="00A234B6" w:rsidRDefault="00322BF0">
            <w:r>
              <w:rPr>
                <w:rFonts w:ascii="Times New Roman" w:hAnsi="Times New Roman"/>
                <w:b/>
                <w:sz w:val="20"/>
              </w:rPr>
              <w:t>Coverage Profile</w:t>
            </w:r>
          </w:p>
        </w:tc>
        <w:tc>
          <w:tcPr>
            <w:tcW w:w="1728" w:type="dxa"/>
          </w:tcPr>
          <w:p w14:paraId="2E324CFF" w14:textId="77777777" w:rsidR="00A234B6" w:rsidRDefault="00322BF0">
            <w:r>
              <w:rPr>
                <w:rFonts w:ascii="Times New Roman" w:hAnsi="Times New Roman"/>
                <w:b/>
                <w:sz w:val="20"/>
              </w:rPr>
              <w:t>Query Method</w:t>
            </w:r>
          </w:p>
        </w:tc>
        <w:tc>
          <w:tcPr>
            <w:tcW w:w="1728" w:type="dxa"/>
          </w:tcPr>
          <w:p w14:paraId="5AC0AFEC" w14:textId="77777777" w:rsidR="00A234B6" w:rsidRDefault="00322BF0">
            <w:r>
              <w:rPr>
                <w:rFonts w:ascii="Times New Roman" w:hAnsi="Times New Roman"/>
                <w:b/>
                <w:sz w:val="20"/>
              </w:rPr>
              <w:t>Cost</w:t>
            </w:r>
          </w:p>
        </w:tc>
      </w:tr>
      <w:tr w:rsidR="00A234B6" w14:paraId="04C90BE1" w14:textId="77777777">
        <w:tc>
          <w:tcPr>
            <w:tcW w:w="1728" w:type="dxa"/>
          </w:tcPr>
          <w:p w14:paraId="381F11A2" w14:textId="77777777" w:rsidR="00A234B6" w:rsidRDefault="00A234B6"/>
        </w:tc>
        <w:tc>
          <w:tcPr>
            <w:tcW w:w="1728" w:type="dxa"/>
          </w:tcPr>
          <w:p w14:paraId="1AF45350" w14:textId="77777777" w:rsidR="00A234B6" w:rsidRDefault="00A234B6"/>
        </w:tc>
        <w:tc>
          <w:tcPr>
            <w:tcW w:w="1728" w:type="dxa"/>
          </w:tcPr>
          <w:p w14:paraId="2A2CE746" w14:textId="77777777" w:rsidR="00A234B6" w:rsidRDefault="00A234B6"/>
        </w:tc>
        <w:tc>
          <w:tcPr>
            <w:tcW w:w="1728" w:type="dxa"/>
          </w:tcPr>
          <w:p w14:paraId="17B13FA6" w14:textId="77777777" w:rsidR="00A234B6" w:rsidRDefault="00A234B6"/>
        </w:tc>
        <w:tc>
          <w:tcPr>
            <w:tcW w:w="1728" w:type="dxa"/>
          </w:tcPr>
          <w:p w14:paraId="05E38745" w14:textId="77777777" w:rsidR="00A234B6" w:rsidRDefault="00A234B6"/>
        </w:tc>
      </w:tr>
      <w:tr w:rsidR="00A234B6" w14:paraId="74B93EE4" w14:textId="77777777">
        <w:tc>
          <w:tcPr>
            <w:tcW w:w="1728" w:type="dxa"/>
          </w:tcPr>
          <w:p w14:paraId="2FD977DA" w14:textId="77777777" w:rsidR="00A234B6" w:rsidRDefault="00A234B6"/>
        </w:tc>
        <w:tc>
          <w:tcPr>
            <w:tcW w:w="1728" w:type="dxa"/>
          </w:tcPr>
          <w:p w14:paraId="44D7BA1D" w14:textId="77777777" w:rsidR="00A234B6" w:rsidRDefault="00A234B6"/>
        </w:tc>
        <w:tc>
          <w:tcPr>
            <w:tcW w:w="1728" w:type="dxa"/>
          </w:tcPr>
          <w:p w14:paraId="230BD529" w14:textId="77777777" w:rsidR="00A234B6" w:rsidRDefault="00A234B6"/>
        </w:tc>
        <w:tc>
          <w:tcPr>
            <w:tcW w:w="1728" w:type="dxa"/>
          </w:tcPr>
          <w:p w14:paraId="17FD4B95" w14:textId="77777777" w:rsidR="00A234B6" w:rsidRDefault="00A234B6"/>
        </w:tc>
        <w:tc>
          <w:tcPr>
            <w:tcW w:w="1728" w:type="dxa"/>
          </w:tcPr>
          <w:p w14:paraId="6B4943C1" w14:textId="77777777" w:rsidR="00A234B6" w:rsidRDefault="00A234B6"/>
        </w:tc>
      </w:tr>
      <w:tr w:rsidR="00A234B6" w14:paraId="04FAF5D9" w14:textId="77777777">
        <w:tc>
          <w:tcPr>
            <w:tcW w:w="1728" w:type="dxa"/>
          </w:tcPr>
          <w:p w14:paraId="01AEB3BB" w14:textId="77777777" w:rsidR="00A234B6" w:rsidRDefault="00A234B6"/>
        </w:tc>
        <w:tc>
          <w:tcPr>
            <w:tcW w:w="1728" w:type="dxa"/>
          </w:tcPr>
          <w:p w14:paraId="2631CD00" w14:textId="77777777" w:rsidR="00A234B6" w:rsidRDefault="00A234B6"/>
        </w:tc>
        <w:tc>
          <w:tcPr>
            <w:tcW w:w="1728" w:type="dxa"/>
          </w:tcPr>
          <w:p w14:paraId="5F923817" w14:textId="77777777" w:rsidR="00A234B6" w:rsidRDefault="00A234B6"/>
        </w:tc>
        <w:tc>
          <w:tcPr>
            <w:tcW w:w="1728" w:type="dxa"/>
          </w:tcPr>
          <w:p w14:paraId="077EB8F4" w14:textId="77777777" w:rsidR="00A234B6" w:rsidRDefault="00A234B6"/>
        </w:tc>
        <w:tc>
          <w:tcPr>
            <w:tcW w:w="1728" w:type="dxa"/>
          </w:tcPr>
          <w:p w14:paraId="238A2004" w14:textId="77777777" w:rsidR="00A234B6" w:rsidRDefault="00A234B6"/>
        </w:tc>
      </w:tr>
      <w:tr w:rsidR="00A234B6" w14:paraId="7F269D9B" w14:textId="77777777">
        <w:tc>
          <w:tcPr>
            <w:tcW w:w="1728" w:type="dxa"/>
          </w:tcPr>
          <w:p w14:paraId="2AB648BF" w14:textId="77777777" w:rsidR="00A234B6" w:rsidRDefault="00A234B6"/>
        </w:tc>
        <w:tc>
          <w:tcPr>
            <w:tcW w:w="1728" w:type="dxa"/>
          </w:tcPr>
          <w:p w14:paraId="2E1182BB" w14:textId="77777777" w:rsidR="00A234B6" w:rsidRDefault="00A234B6"/>
        </w:tc>
        <w:tc>
          <w:tcPr>
            <w:tcW w:w="1728" w:type="dxa"/>
          </w:tcPr>
          <w:p w14:paraId="70D11460" w14:textId="77777777" w:rsidR="00A234B6" w:rsidRDefault="00A234B6"/>
        </w:tc>
        <w:tc>
          <w:tcPr>
            <w:tcW w:w="1728" w:type="dxa"/>
          </w:tcPr>
          <w:p w14:paraId="20079BEA" w14:textId="77777777" w:rsidR="00A234B6" w:rsidRDefault="00A234B6"/>
        </w:tc>
        <w:tc>
          <w:tcPr>
            <w:tcW w:w="1728" w:type="dxa"/>
          </w:tcPr>
          <w:p w14:paraId="5EF52F5B" w14:textId="77777777" w:rsidR="00A234B6" w:rsidRDefault="00A234B6"/>
        </w:tc>
      </w:tr>
      <w:tr w:rsidR="00A234B6" w14:paraId="78762957" w14:textId="77777777">
        <w:tc>
          <w:tcPr>
            <w:tcW w:w="1728" w:type="dxa"/>
          </w:tcPr>
          <w:p w14:paraId="07794490" w14:textId="77777777" w:rsidR="00A234B6" w:rsidRDefault="00A234B6"/>
        </w:tc>
        <w:tc>
          <w:tcPr>
            <w:tcW w:w="1728" w:type="dxa"/>
          </w:tcPr>
          <w:p w14:paraId="52480886" w14:textId="77777777" w:rsidR="00A234B6" w:rsidRDefault="00A234B6"/>
        </w:tc>
        <w:tc>
          <w:tcPr>
            <w:tcW w:w="1728" w:type="dxa"/>
          </w:tcPr>
          <w:p w14:paraId="307BF012" w14:textId="77777777" w:rsidR="00A234B6" w:rsidRDefault="00A234B6"/>
        </w:tc>
        <w:tc>
          <w:tcPr>
            <w:tcW w:w="1728" w:type="dxa"/>
          </w:tcPr>
          <w:p w14:paraId="1DB5B1E4" w14:textId="77777777" w:rsidR="00A234B6" w:rsidRDefault="00A234B6"/>
        </w:tc>
        <w:tc>
          <w:tcPr>
            <w:tcW w:w="1728" w:type="dxa"/>
          </w:tcPr>
          <w:p w14:paraId="5E763904" w14:textId="77777777" w:rsidR="00A234B6" w:rsidRDefault="00A234B6"/>
        </w:tc>
      </w:tr>
      <w:tr w:rsidR="00A234B6" w14:paraId="5E3369BB" w14:textId="77777777">
        <w:tc>
          <w:tcPr>
            <w:tcW w:w="1728" w:type="dxa"/>
          </w:tcPr>
          <w:p w14:paraId="681CD51B" w14:textId="77777777" w:rsidR="00A234B6" w:rsidRDefault="00A234B6"/>
        </w:tc>
        <w:tc>
          <w:tcPr>
            <w:tcW w:w="1728" w:type="dxa"/>
          </w:tcPr>
          <w:p w14:paraId="3528593B" w14:textId="77777777" w:rsidR="00A234B6" w:rsidRDefault="00A234B6"/>
        </w:tc>
        <w:tc>
          <w:tcPr>
            <w:tcW w:w="1728" w:type="dxa"/>
          </w:tcPr>
          <w:p w14:paraId="67F3FFE7" w14:textId="77777777" w:rsidR="00A234B6" w:rsidRDefault="00A234B6"/>
        </w:tc>
        <w:tc>
          <w:tcPr>
            <w:tcW w:w="1728" w:type="dxa"/>
          </w:tcPr>
          <w:p w14:paraId="16AD2819" w14:textId="77777777" w:rsidR="00A234B6" w:rsidRDefault="00A234B6"/>
        </w:tc>
        <w:tc>
          <w:tcPr>
            <w:tcW w:w="1728" w:type="dxa"/>
          </w:tcPr>
          <w:p w14:paraId="0BE7FF22" w14:textId="77777777" w:rsidR="00A234B6" w:rsidRDefault="00A234B6"/>
        </w:tc>
      </w:tr>
      <w:tr w:rsidR="00A234B6" w14:paraId="7ED260A5" w14:textId="77777777">
        <w:tc>
          <w:tcPr>
            <w:tcW w:w="1728" w:type="dxa"/>
          </w:tcPr>
          <w:p w14:paraId="756C157B" w14:textId="77777777" w:rsidR="00A234B6" w:rsidRDefault="00322BF0">
            <w:r>
              <w:rPr>
                <w:rFonts w:ascii="Times New Roman" w:hAnsi="Times New Roman"/>
                <w:sz w:val="20"/>
              </w:rPr>
              <w:t>HDX Health Facilities</w:t>
            </w:r>
          </w:p>
        </w:tc>
        <w:tc>
          <w:tcPr>
            <w:tcW w:w="1728" w:type="dxa"/>
          </w:tcPr>
          <w:p w14:paraId="4E80F4C3" w14:textId="77777777" w:rsidR="00A234B6" w:rsidRDefault="00322BF0">
            <w:r>
              <w:rPr>
                <w:rFonts w:ascii="Times New Roman" w:hAnsi="Times New Roman"/>
                <w:sz w:val="20"/>
              </w:rPr>
              <w:t>Domain-specific database</w:t>
            </w:r>
          </w:p>
        </w:tc>
        <w:tc>
          <w:tcPr>
            <w:tcW w:w="1728" w:type="dxa"/>
          </w:tcPr>
          <w:p w14:paraId="443AB807" w14:textId="77777777" w:rsidR="00A234B6" w:rsidRDefault="00322BF0">
            <w:r>
              <w:rPr>
                <w:rFonts w:ascii="Times New Roman" w:hAnsi="Times New Roman"/>
                <w:sz w:val="20"/>
              </w:rPr>
              <w:t>African health facilities; strongest in humanitarian-active countries</w:t>
            </w:r>
          </w:p>
        </w:tc>
        <w:tc>
          <w:tcPr>
            <w:tcW w:w="1728" w:type="dxa"/>
          </w:tcPr>
          <w:p w14:paraId="1BB2C08F" w14:textId="77777777" w:rsidR="00A234B6" w:rsidRDefault="00322BF0">
            <w:r>
              <w:rPr>
                <w:rFonts w:ascii="Times New Roman" w:hAnsi="Times New Roman"/>
                <w:sz w:val="20"/>
              </w:rPr>
              <w:t>6-step hierarchical fuzzy + LLM matching against local DB</w:t>
            </w:r>
          </w:p>
        </w:tc>
        <w:tc>
          <w:tcPr>
            <w:tcW w:w="1728" w:type="dxa"/>
          </w:tcPr>
          <w:p w14:paraId="3391E386" w14:textId="77777777" w:rsidR="00A234B6" w:rsidRDefault="00322BF0">
            <w:r>
              <w:rPr>
                <w:rFonts w:ascii="Times New Roman" w:hAnsi="Times New Roman"/>
                <w:sz w:val="20"/>
              </w:rPr>
              <w:t>Free</w:t>
            </w:r>
          </w:p>
        </w:tc>
      </w:tr>
      <w:tr w:rsidR="00A234B6" w14:paraId="01500FB8" w14:textId="77777777">
        <w:tc>
          <w:tcPr>
            <w:tcW w:w="1728" w:type="dxa"/>
          </w:tcPr>
          <w:p w14:paraId="67D29964" w14:textId="77777777" w:rsidR="00A234B6" w:rsidRDefault="00322BF0">
            <w:r>
              <w:rPr>
                <w:rFonts w:ascii="Times New Roman" w:hAnsi="Times New Roman"/>
                <w:sz w:val="20"/>
              </w:rPr>
              <w:t>Google Maps</w:t>
            </w:r>
          </w:p>
        </w:tc>
        <w:tc>
          <w:tcPr>
            <w:tcW w:w="1728" w:type="dxa"/>
          </w:tcPr>
          <w:p w14:paraId="1553907C" w14:textId="77777777" w:rsidR="00A234B6" w:rsidRDefault="00322BF0">
            <w:r>
              <w:rPr>
                <w:rFonts w:ascii="Times New Roman" w:hAnsi="Times New Roman"/>
                <w:sz w:val="20"/>
              </w:rPr>
              <w:t>Commercial API</w:t>
            </w:r>
          </w:p>
        </w:tc>
        <w:tc>
          <w:tcPr>
            <w:tcW w:w="1728" w:type="dxa"/>
          </w:tcPr>
          <w:p w14:paraId="41DAA1E4" w14:textId="77777777" w:rsidR="00A234B6" w:rsidRDefault="00322BF0">
            <w:r>
              <w:rPr>
                <w:rFonts w:ascii="Times New Roman" w:hAnsi="Times New Roman"/>
                <w:sz w:val="20"/>
              </w:rPr>
              <w:t>Global; strong urban and formally addressed facilities</w:t>
            </w:r>
          </w:p>
        </w:tc>
        <w:tc>
          <w:tcPr>
            <w:tcW w:w="1728" w:type="dxa"/>
          </w:tcPr>
          <w:p w14:paraId="7B816E2F" w14:textId="77777777" w:rsidR="00A234B6" w:rsidRDefault="00322BF0">
            <w:r>
              <w:rPr>
                <w:rFonts w:ascii="Times New Roman" w:hAnsi="Times New Roman"/>
                <w:sz w:val="20"/>
              </w:rPr>
              <w:t>Structured address string with country region hint</w:t>
            </w:r>
          </w:p>
        </w:tc>
        <w:tc>
          <w:tcPr>
            <w:tcW w:w="1728" w:type="dxa"/>
          </w:tcPr>
          <w:p w14:paraId="2F6CF06B" w14:textId="77777777" w:rsidR="00A234B6" w:rsidRDefault="00322BF0">
            <w:r>
              <w:rPr>
                <w:rFonts w:ascii="Times New Roman" w:hAnsi="Times New Roman"/>
                <w:sz w:val="20"/>
              </w:rPr>
              <w:t>Per-query fee</w:t>
            </w:r>
          </w:p>
        </w:tc>
      </w:tr>
      <w:tr w:rsidR="00A234B6" w14:paraId="605D4545" w14:textId="77777777">
        <w:tc>
          <w:tcPr>
            <w:tcW w:w="1728" w:type="dxa"/>
          </w:tcPr>
          <w:p w14:paraId="7777A6F6" w14:textId="77777777" w:rsidR="00A234B6" w:rsidRDefault="00322BF0">
            <w:r>
              <w:rPr>
                <w:rFonts w:ascii="Times New Roman" w:hAnsi="Times New Roman"/>
                <w:sz w:val="20"/>
              </w:rPr>
              <w:t>ArcGIS</w:t>
            </w:r>
          </w:p>
        </w:tc>
        <w:tc>
          <w:tcPr>
            <w:tcW w:w="1728" w:type="dxa"/>
          </w:tcPr>
          <w:p w14:paraId="444D1026" w14:textId="77777777" w:rsidR="00A234B6" w:rsidRDefault="00322BF0">
            <w:r>
              <w:rPr>
                <w:rFonts w:ascii="Times New Roman" w:hAnsi="Times New Roman"/>
                <w:sz w:val="20"/>
              </w:rPr>
              <w:t>Commercial API</w:t>
            </w:r>
          </w:p>
        </w:tc>
        <w:tc>
          <w:tcPr>
            <w:tcW w:w="1728" w:type="dxa"/>
          </w:tcPr>
          <w:p w14:paraId="5B714CA8" w14:textId="77777777" w:rsidR="00A234B6" w:rsidRDefault="00322BF0">
            <w:r>
              <w:rPr>
                <w:rFonts w:ascii="Times New Roman" w:hAnsi="Times New Roman"/>
                <w:sz w:val="20"/>
              </w:rPr>
              <w:t>Global; independent of Google data sources</w:t>
            </w:r>
          </w:p>
        </w:tc>
        <w:tc>
          <w:tcPr>
            <w:tcW w:w="1728" w:type="dxa"/>
          </w:tcPr>
          <w:p w14:paraId="2496B47B" w14:textId="77777777" w:rsidR="00A234B6" w:rsidRDefault="00322BF0">
            <w:r>
              <w:rPr>
                <w:rFonts w:ascii="Times New Roman" w:hAnsi="Times New Roman"/>
                <w:sz w:val="20"/>
              </w:rPr>
              <w:t>Structured address string with country filter</w:t>
            </w:r>
          </w:p>
        </w:tc>
        <w:tc>
          <w:tcPr>
            <w:tcW w:w="1728" w:type="dxa"/>
          </w:tcPr>
          <w:p w14:paraId="4496984B" w14:textId="77777777" w:rsidR="00A234B6" w:rsidRDefault="00322BF0">
            <w:r>
              <w:rPr>
                <w:rFonts w:ascii="Times New Roman" w:hAnsi="Times New Roman"/>
                <w:sz w:val="20"/>
              </w:rPr>
              <w:t>Per-query fee</w:t>
            </w:r>
          </w:p>
        </w:tc>
      </w:tr>
      <w:tr w:rsidR="00A234B6" w14:paraId="0E99EDA5" w14:textId="77777777">
        <w:tc>
          <w:tcPr>
            <w:tcW w:w="1728" w:type="dxa"/>
          </w:tcPr>
          <w:p w14:paraId="7537419A" w14:textId="77777777" w:rsidR="00A234B6" w:rsidRDefault="00322BF0">
            <w:r>
              <w:rPr>
                <w:rFonts w:ascii="Times New Roman" w:hAnsi="Times New Roman"/>
                <w:sz w:val="20"/>
              </w:rPr>
              <w:t>Nominatim/OSM</w:t>
            </w:r>
          </w:p>
        </w:tc>
        <w:tc>
          <w:tcPr>
            <w:tcW w:w="1728" w:type="dxa"/>
          </w:tcPr>
          <w:p w14:paraId="63DCB378" w14:textId="77777777" w:rsidR="00A234B6" w:rsidRDefault="00322BF0">
            <w:r>
              <w:rPr>
                <w:rFonts w:ascii="Times New Roman" w:hAnsi="Times New Roman"/>
                <w:sz w:val="20"/>
              </w:rPr>
              <w:t>Open API</w:t>
            </w:r>
          </w:p>
        </w:tc>
        <w:tc>
          <w:tcPr>
            <w:tcW w:w="1728" w:type="dxa"/>
          </w:tcPr>
          <w:p w14:paraId="24DDEC9F" w14:textId="77777777" w:rsidR="00A234B6" w:rsidRDefault="00322BF0">
            <w:r>
              <w:rPr>
                <w:rFonts w:ascii="Times New Roman" w:hAnsi="Times New Roman"/>
                <w:sz w:val="20"/>
              </w:rPr>
              <w:t xml:space="preserve">Global; community-maintained; </w:t>
            </w:r>
            <w:r>
              <w:rPr>
                <w:rFonts w:ascii="Times New Roman" w:hAnsi="Times New Roman"/>
                <w:sz w:val="20"/>
              </w:rPr>
              <w:lastRenderedPageBreak/>
              <w:t>variable African coverage</w:t>
            </w:r>
          </w:p>
        </w:tc>
        <w:tc>
          <w:tcPr>
            <w:tcW w:w="1728" w:type="dxa"/>
          </w:tcPr>
          <w:p w14:paraId="70CB440F" w14:textId="77777777" w:rsidR="00A234B6" w:rsidRDefault="00322BF0">
            <w:r>
              <w:rPr>
                <w:rFonts w:ascii="Times New Roman" w:hAnsi="Times New Roman"/>
                <w:sz w:val="20"/>
              </w:rPr>
              <w:lastRenderedPageBreak/>
              <w:t xml:space="preserve">Facility + city with countrycodes </w:t>
            </w:r>
            <w:r>
              <w:rPr>
                <w:rFonts w:ascii="Times New Roman" w:hAnsi="Times New Roman"/>
                <w:sz w:val="20"/>
              </w:rPr>
              <w:lastRenderedPageBreak/>
              <w:t>filter and amenity hint</w:t>
            </w:r>
          </w:p>
        </w:tc>
        <w:tc>
          <w:tcPr>
            <w:tcW w:w="1728" w:type="dxa"/>
          </w:tcPr>
          <w:p w14:paraId="40FEEB69" w14:textId="77777777" w:rsidR="00A234B6" w:rsidRDefault="00322BF0">
            <w:r>
              <w:rPr>
                <w:rFonts w:ascii="Times New Roman" w:hAnsi="Times New Roman"/>
                <w:sz w:val="20"/>
              </w:rPr>
              <w:lastRenderedPageBreak/>
              <w:t>Free (rate-limited)</w:t>
            </w:r>
          </w:p>
        </w:tc>
      </w:tr>
      <w:tr w:rsidR="00A234B6" w14:paraId="056FF981" w14:textId="77777777">
        <w:tc>
          <w:tcPr>
            <w:tcW w:w="1728" w:type="dxa"/>
          </w:tcPr>
          <w:p w14:paraId="423E85E5" w14:textId="77777777" w:rsidR="00A234B6" w:rsidRDefault="00322BF0">
            <w:r>
              <w:rPr>
                <w:rFonts w:ascii="Times New Roman" w:hAnsi="Times New Roman"/>
                <w:sz w:val="20"/>
              </w:rPr>
              <w:t>Admin Boundary Dataset</w:t>
            </w:r>
          </w:p>
        </w:tc>
        <w:tc>
          <w:tcPr>
            <w:tcW w:w="1728" w:type="dxa"/>
          </w:tcPr>
          <w:p w14:paraId="73A36972" w14:textId="77777777" w:rsidR="00A234B6" w:rsidRDefault="00322BF0">
            <w:r>
              <w:rPr>
                <w:rFonts w:ascii="Times New Roman" w:hAnsi="Times New Roman"/>
                <w:sz w:val="20"/>
              </w:rPr>
              <w:t>Local GeoJSON files</w:t>
            </w:r>
          </w:p>
        </w:tc>
        <w:tc>
          <w:tcPr>
            <w:tcW w:w="1728" w:type="dxa"/>
          </w:tcPr>
          <w:p w14:paraId="5F1130A6" w14:textId="77777777" w:rsidR="00A234B6" w:rsidRDefault="00322BF0">
            <w:r>
              <w:rPr>
                <w:rFonts w:ascii="Times New Roman" w:hAnsi="Times New Roman"/>
                <w:sz w:val="20"/>
              </w:rPr>
              <w:t>Administrative units; polygon centroids</w:t>
            </w:r>
          </w:p>
        </w:tc>
        <w:tc>
          <w:tcPr>
            <w:tcW w:w="1728" w:type="dxa"/>
          </w:tcPr>
          <w:p w14:paraId="3184426C" w14:textId="77777777" w:rsidR="00A234B6" w:rsidRDefault="00322BF0">
            <w:r>
              <w:rPr>
                <w:rFonts w:ascii="Times New Roman" w:hAnsi="Times New Roman"/>
                <w:sz w:val="20"/>
              </w:rPr>
              <w:t>Fuzzy name matching against indexed boundary features</w:t>
            </w:r>
          </w:p>
        </w:tc>
        <w:tc>
          <w:tcPr>
            <w:tcW w:w="1728" w:type="dxa"/>
          </w:tcPr>
          <w:p w14:paraId="39F4F536" w14:textId="77777777" w:rsidR="00A234B6" w:rsidRDefault="00322BF0">
            <w:r>
              <w:rPr>
                <w:rFonts w:ascii="Times New Roman" w:hAnsi="Times New Roman"/>
                <w:sz w:val="20"/>
              </w:rPr>
              <w:t>Free</w:t>
            </w:r>
          </w:p>
        </w:tc>
      </w:tr>
      <w:tr w:rsidR="00A234B6" w14:paraId="69B807D7" w14:textId="77777777">
        <w:tc>
          <w:tcPr>
            <w:tcW w:w="1728" w:type="dxa"/>
          </w:tcPr>
          <w:p w14:paraId="33C37805" w14:textId="77777777" w:rsidR="00A234B6" w:rsidRDefault="00322BF0">
            <w:r>
              <w:rPr>
                <w:rFonts w:ascii="Times New Roman" w:hAnsi="Times New Roman"/>
                <w:sz w:val="20"/>
              </w:rPr>
              <w:t>User-Provided (CSV)</w:t>
            </w:r>
          </w:p>
        </w:tc>
        <w:tc>
          <w:tcPr>
            <w:tcW w:w="1728" w:type="dxa"/>
          </w:tcPr>
          <w:p w14:paraId="6CE02D75" w14:textId="77777777" w:rsidR="00A234B6" w:rsidRDefault="00322BF0">
            <w:r>
              <w:rPr>
                <w:rFonts w:ascii="Times New Roman" w:hAnsi="Times New Roman"/>
                <w:sz w:val="20"/>
              </w:rPr>
              <w:t>Researcher upload</w:t>
            </w:r>
          </w:p>
        </w:tc>
        <w:tc>
          <w:tcPr>
            <w:tcW w:w="1728" w:type="dxa"/>
          </w:tcPr>
          <w:p w14:paraId="6F3CD2F1" w14:textId="77777777" w:rsidR="00A234B6" w:rsidRDefault="00322BF0">
            <w:r>
              <w:rPr>
                <w:rFonts w:ascii="Times New Roman" w:hAnsi="Times New Roman"/>
                <w:sz w:val="20"/>
              </w:rPr>
              <w:t>Field-collected GPS coordinates</w:t>
            </w:r>
          </w:p>
        </w:tc>
        <w:tc>
          <w:tcPr>
            <w:tcW w:w="1728" w:type="dxa"/>
          </w:tcPr>
          <w:p w14:paraId="0B75680E" w14:textId="77777777" w:rsidR="00A234B6" w:rsidRDefault="00322BF0">
            <w:r>
              <w:rPr>
                <w:rFonts w:ascii="Times New Roman" w:hAnsi="Times New Roman"/>
                <w:sz w:val="20"/>
              </w:rPr>
              <w:t>Direct injection as independent source</w:t>
            </w:r>
          </w:p>
        </w:tc>
        <w:tc>
          <w:tcPr>
            <w:tcW w:w="1728" w:type="dxa"/>
          </w:tcPr>
          <w:p w14:paraId="3225A858" w14:textId="77777777" w:rsidR="00A234B6" w:rsidRDefault="00322BF0">
            <w:r>
              <w:rPr>
                <w:rFonts w:ascii="Times New Roman" w:hAnsi="Times New Roman"/>
                <w:sz w:val="20"/>
              </w:rPr>
              <w:t>Free</w:t>
            </w:r>
          </w:p>
        </w:tc>
      </w:tr>
    </w:tbl>
    <w:p w14:paraId="5411B512" w14:textId="77777777" w:rsidR="00A234B6" w:rsidRDefault="00A234B6"/>
    <w:p w14:paraId="465C57F1" w14:textId="77777777" w:rsidR="00A234B6" w:rsidRDefault="00322BF0">
      <w:pPr>
        <w:pStyle w:val="Heading3"/>
      </w:pPr>
      <w:r>
        <w:rPr>
          <w:color w:val="2E75B6"/>
        </w:rPr>
        <w:t>3.4.1 HDX Health Facilities Matching</w:t>
      </w:r>
    </w:p>
    <w:p w14:paraId="5FA6A1AC" w14:textId="77777777" w:rsidR="00A234B6" w:rsidRDefault="00322BF0">
      <w:pPr>
        <w:spacing w:after="160"/>
      </w:pPr>
      <w:r>
        <w:rPr>
          <w:rFonts w:ascii="Times New Roman" w:hAnsi="Times New Roman"/>
        </w:rPr>
        <w:t>The HDX source implements a six-step hierarchical matching algorithm against locally stored facility records, proceeding from most to least specific and returning at the first successful match: (1) exact case-insensitive full name match; (2) exact match on core name after stripping facility type suffixes (hospital, clinic, health centre, dispensary, and 15 additional variants); (3) LLM-assisted semantic matching, in which fuzzy pre-filtering identifies candidates above a 65% similarity threshold and the Claude Haiku model assesses semantic equivalence for up to 10 candidates, combining fuzzy score (30% weight) and LLM confidence (70% weight) against a combined threshold of 0.75; (4) partial string containment; (5) multi-strategy fuzzy matching using token sort ratio, token set ratio, and character ratio with an 80% acceptance threshold; and (6) country bounding box validation applied to all matches regardless of matching step. The LLM matching step handles synonymous facility names, expanded abbreviations, and name variants that confound purely string-based matching.</w:t>
      </w:r>
    </w:p>
    <w:p w14:paraId="16953D9F" w14:textId="77777777" w:rsidR="00A234B6" w:rsidRDefault="00322BF0">
      <w:pPr>
        <w:pStyle w:val="Heading3"/>
      </w:pPr>
      <w:r>
        <w:rPr>
          <w:color w:val="2E75B6"/>
        </w:rPr>
        <w:t>3.4.2 Administrative Boundary Matching</w:t>
      </w:r>
    </w:p>
    <w:p w14:paraId="7669B315" w14:textId="77777777" w:rsidR="00A234B6" w:rsidRDefault="00322BF0">
      <w:pPr>
        <w:spacing w:after="160"/>
      </w:pPr>
      <w:r>
        <w:rPr>
          <w:rFonts w:ascii="Times New Roman" w:hAnsi="Times New Roman"/>
        </w:rPr>
        <w:t>The administrative boundary service matches location names against locally stored GeoJSON polygon boundary files using a lightweight name index cached in Redis and application memory. The index maps normalised name variants (supporting multiple language variants per feature) to boundary metadata including centroid coordinates, administrative level, country, and OpenStreetMap identifier. The index is built once using a streaming parser for large files and cached for 24 hours, enabling rapid name lookup without loading full polygon geometries. Centroids are returned as coordinates for matched administrative units; full polygon geometries are loaded on demand for export and boundary validation operations.</w:t>
      </w:r>
    </w:p>
    <w:p w14:paraId="500820EB" w14:textId="77777777" w:rsidR="00A234B6" w:rsidRDefault="00322BF0">
      <w:pPr>
        <w:pStyle w:val="Heading3"/>
      </w:pPr>
      <w:r>
        <w:rPr>
          <w:color w:val="2E75B6"/>
        </w:rPr>
        <w:t>3.4.3 User-Provided Coordinate Handling</w:t>
      </w:r>
    </w:p>
    <w:p w14:paraId="62E3AD9D" w14:textId="77777777" w:rsidR="00A234B6" w:rsidRDefault="00322BF0">
      <w:pPr>
        <w:spacing w:after="160"/>
      </w:pPr>
      <w:r>
        <w:rPr>
          <w:rFonts w:ascii="Times New Roman" w:hAnsi="Times New Roman"/>
        </w:rPr>
        <w:t>Researcher-uploaded field coordinates are injected into the multi-source results as the sixth geocoding source and subjected to the same confidence scoring and validation workflow as API-derived coordinates. This design decision reflects documented sources of error in field-collected GPS coordinates including coordinate system mismatches, GPS device drift, decimal degree format confusion, and transcription errors during data entry. By comparing uploaded coordinates against independent geocoding sources and flagging substantial disagreements for researcher review, the system surfaces potential field data quality issues that would otherwise propagate undetected into spatial analyses.</w:t>
      </w:r>
    </w:p>
    <w:p w14:paraId="53883C7F" w14:textId="77777777" w:rsidR="00A234B6" w:rsidRDefault="00322BF0">
      <w:pPr>
        <w:pStyle w:val="Heading2"/>
      </w:pPr>
      <w:r>
        <w:rPr>
          <w:color w:val="1F497D"/>
        </w:rPr>
        <w:lastRenderedPageBreak/>
        <w:t>3.5 Validation Framework</w:t>
      </w:r>
    </w:p>
    <w:p w14:paraId="2C85B386" w14:textId="77777777" w:rsidR="00A234B6" w:rsidRDefault="00322BF0">
      <w:pPr>
        <w:pStyle w:val="Heading3"/>
      </w:pPr>
      <w:r>
        <w:rPr>
          <w:color w:val="2E75B6"/>
        </w:rPr>
        <w:t>3.5.1 Two-Component Confidence Scoring</w:t>
      </w:r>
    </w:p>
    <w:p w14:paraId="2044D7ED" w14:textId="77777777" w:rsidR="00A234B6" w:rsidRDefault="00322BF0">
      <w:pPr>
        <w:spacing w:after="160"/>
      </w:pPr>
      <w:r>
        <w:rPr>
          <w:rFonts w:ascii="Times New Roman" w:hAnsi="Times New Roman"/>
        </w:rPr>
        <w:t>The central analytical contribution of the validation framework is a two-component confidence scoring model that assigns each geocoding source an individual confidence score on a normalised scale of 0.0 to 1.0:</w:t>
      </w:r>
    </w:p>
    <w:p w14:paraId="0C1C5413" w14:textId="77777777" w:rsidR="00A234B6" w:rsidRDefault="00322BF0">
      <w:pPr>
        <w:spacing w:after="160"/>
      </w:pPr>
      <w:r>
        <w:rPr>
          <w:rFonts w:ascii="Times New Roman" w:hAnsi="Times New Roman"/>
        </w:rPr>
        <w:t>Individual confidence = (Reverse geocoding similarity x 0.70) + (Inter-source proximity x 0.30)</w:t>
      </w:r>
    </w:p>
    <w:p w14:paraId="35D2207D" w14:textId="77777777" w:rsidR="00A234B6" w:rsidRDefault="00322BF0">
      <w:pPr>
        <w:spacing w:after="160"/>
      </w:pPr>
      <w:r>
        <w:rPr>
          <w:rFonts w:ascii="Times New Roman" w:hAnsi="Times New Roman"/>
        </w:rPr>
        <w:t>Component weights were determined by the relative discriminative power of each component: reverse geocoding name similarity directly tests whether a set of coordinates corresponds to the correct named location, providing the strongest available discriminative signal between correct and incorrect geocoding results. Inter-source proximity provides a complementary consensus signal that is informative when multiple independent sources agree on a location but is necessarily weaker when used in isolation, as multiple sources may be equally wrong.</w:t>
      </w:r>
    </w:p>
    <w:p w14:paraId="59352F1B" w14:textId="77777777" w:rsidR="00A234B6" w:rsidRDefault="00322BF0">
      <w:pPr>
        <w:pStyle w:val="Heading3"/>
      </w:pPr>
      <w:r>
        <w:rPr>
          <w:color w:val="2E75B6"/>
        </w:rPr>
        <w:t>3.5.2 Reverse Geocoding Name Similarity</w:t>
      </w:r>
    </w:p>
    <w:p w14:paraId="685CF486" w14:textId="77777777" w:rsidR="00A234B6" w:rsidRDefault="00322BF0">
      <w:pPr>
        <w:spacing w:after="160"/>
      </w:pPr>
      <w:r>
        <w:rPr>
          <w:rFonts w:ascii="Times New Roman" w:hAnsi="Times New Roman"/>
        </w:rPr>
        <w:t>For each geocoding source returning coordinates, HarmonAIze performs reverse geocoding by submitting the coordinates to the Nominatim, Google, and ArcGIS reverse geocoding APIs in parallel. The returned address names are compared to the original input location name using five complementary string similarity strategies: token sort ratio (handles word order variation), token set ratio (handles additional descriptors), partial ratio (handles abbreviated names against full formal names), simple character ratio, and core name matching after facility type suffix removal. The maximum similarity score across all reverse geocoders and all strategies is used as the source's reverse geocoding component score. HDX and administrative boundary matches bypass the reverse geocoding API call, using the matched facility or boundary name directly as the reverse geocoding result.</w:t>
      </w:r>
    </w:p>
    <w:p w14:paraId="511DB117" w14:textId="77777777" w:rsidR="00A234B6" w:rsidRDefault="00322BF0">
      <w:pPr>
        <w:pStyle w:val="Heading3"/>
      </w:pPr>
      <w:r>
        <w:rPr>
          <w:color w:val="2E75B6"/>
        </w:rPr>
        <w:t>3.5.3 Inter-Source Proximity Scoring</w:t>
      </w:r>
    </w:p>
    <w:p w14:paraId="7B1F9538" w14:textId="77777777" w:rsidR="00A234B6" w:rsidRDefault="00322BF0">
      <w:pPr>
        <w:spacing w:after="160"/>
      </w:pPr>
      <w:r>
        <w:rPr>
          <w:rFonts w:ascii="Times New Roman" w:hAnsi="Times New Roman"/>
        </w:rPr>
        <w:t>The proximity component assigns each source a score based on the mean geodetic distance (in kilometres) between that source's coordinates and all other successful sources, using a stepped scoring function: less than 0.5 km yields a score of 1.0; 0.5-1.0 km yields 0.9; 1.0-2.0 km yields 0.8; 2.0-5.0 km yields 0.6; 5.0-10.0 km yields 0.4; and greater than 10.0 km yields 0.2. Sources that are outliers relative to the consensus cluster receive substantially penalised proximity scores regardless of their reverse geocoding similarity, enabling the framework to downweight systematically erroneous results that may achieve superficially plausible reverse geocoding matches.</w:t>
      </w:r>
    </w:p>
    <w:p w14:paraId="05AC8BB2" w14:textId="77777777" w:rsidR="00A234B6" w:rsidRDefault="00322BF0">
      <w:pPr>
        <w:pStyle w:val="Heading3"/>
      </w:pPr>
      <w:r>
        <w:rPr>
          <w:color w:val="2E75B6"/>
        </w:rPr>
        <w:t>3.5.4 Administrative Boundary Validation</w:t>
      </w:r>
    </w:p>
    <w:p w14:paraId="4777D300" w14:textId="77777777" w:rsidR="00A234B6" w:rsidRDefault="00322BF0">
      <w:pPr>
        <w:spacing w:after="160"/>
      </w:pPr>
      <w:r>
        <w:rPr>
          <w:rFonts w:ascii="Times New Roman" w:hAnsi="Times New Roman"/>
        </w:rPr>
        <w:t xml:space="preserve">Each source's coordinates are validated against administrative boundary polygons using point-in-polygon containment tests implemented with the Shapely geometry library. Validation checks whether coordinates fall within the expected country and, where available, expected province or district polygon. Boundary validation failures are classified by severity and translated into multiplicative penalties applied to individual confidence scores: critical severity (wrong country) applies a 70% penalty; major severity (wrong province) applies a 40% penalty. Boundary </w:t>
      </w:r>
      <w:r>
        <w:rPr>
          <w:rFonts w:ascii="Times New Roman" w:hAnsi="Times New Roman"/>
        </w:rPr>
        <w:lastRenderedPageBreak/>
        <w:t>validation results with failure warnings are stored in the geocoding result record and surfaced in the validation interface as structured alerts.</w:t>
      </w:r>
    </w:p>
    <w:p w14:paraId="5AE68EB3" w14:textId="77777777" w:rsidR="00A234B6" w:rsidRDefault="00322BF0">
      <w:pPr>
        <w:pStyle w:val="Heading3"/>
      </w:pPr>
      <w:r>
        <w:rPr>
          <w:color w:val="2E75B6"/>
        </w:rPr>
        <w:t>3.5.5 LLM-Assisted Conflict Resolution</w:t>
      </w:r>
    </w:p>
    <w:p w14:paraId="59FD51DA" w14:textId="77777777" w:rsidR="00A234B6" w:rsidRDefault="00322BF0">
      <w:pPr>
        <w:spacing w:after="160"/>
      </w:pPr>
      <w:r>
        <w:rPr>
          <w:rFonts w:ascii="Times New Roman" w:hAnsi="Times New Roman"/>
        </w:rPr>
        <w:t>When the maximum geodetic distance between any two successful sources exceeds 5 km, HarmonAIze invokes conflict resolution using the Claude Sonnet model, selected for its contextual reasoning capabilities. The model receives the original location name, parsed components, coordinates from all sources with inter-source distances, reverse geocoding address results, and any boundary validation warnings. It returns a structured recommendation identifying the most reliable source with a confidence score and human-readable reasoning. Recommendations with confidence at or above 0.70 are incorporated into the composite scoring by boosting the recommended source's score; the reasoning text is stored and displayed in the validation interface AI notes panel.</w:t>
      </w:r>
    </w:p>
    <w:p w14:paraId="6639F674" w14:textId="77777777" w:rsidR="00A234B6" w:rsidRDefault="00322BF0">
      <w:pPr>
        <w:pStyle w:val="Heading3"/>
      </w:pPr>
      <w:r>
        <w:rPr>
          <w:color w:val="2E75B6"/>
        </w:rPr>
        <w:t>3.5.6 Contextual Sanity Checking</w:t>
      </w:r>
    </w:p>
    <w:p w14:paraId="58B0AD4F" w14:textId="77777777" w:rsidR="00A234B6" w:rsidRDefault="00322BF0">
      <w:pPr>
        <w:spacing w:after="160"/>
      </w:pPr>
      <w:r>
        <w:rPr>
          <w:rFonts w:ascii="Times New Roman" w:hAnsi="Times New Roman"/>
        </w:rPr>
        <w:t>A final validation layer applies LLM-based contextual sanity checking using Claude Haiku. The model receives the location name, parsed country and city context, recommended coordinates, and reverse geocoding address, and assesses whether the placement is contextually plausible. The check is designed to detect errors that pass all quantitative validation tests but are contextually implausible: a rural health post with urban centre coordinates, a paediatric clinic placed in an industrial zone, or a district hospital placed in a different district from its name. Findings are classified as critical, major, or minor and displayed as prominently styled alerts in the validation interface.</w:t>
      </w:r>
    </w:p>
    <w:p w14:paraId="0CF5A27E" w14:textId="77777777" w:rsidR="00A234B6" w:rsidRDefault="00322BF0">
      <w:pPr>
        <w:pStyle w:val="Heading3"/>
      </w:pPr>
      <w:r>
        <w:rPr>
          <w:color w:val="2E75B6"/>
        </w:rPr>
        <w:t>3.5.7 Confidence Thresholds and Validation Status Assignment</w:t>
      </w:r>
    </w:p>
    <w:p w14:paraId="466779BD" w14:textId="77777777" w:rsidR="00A234B6" w:rsidRDefault="00322BF0">
      <w:pPr>
        <w:spacing w:after="160"/>
      </w:pPr>
      <w:r>
        <w:rPr>
          <w:rFonts w:ascii="Times New Roman" w:hAnsi="Times New Roman"/>
        </w:rPr>
        <w:t>Locations are assigned a validation status based on their overall confidence score (mean individual score weighted by source agreement):</w:t>
      </w:r>
    </w:p>
    <w:tbl>
      <w:tblPr>
        <w:tblStyle w:val="TableGrid"/>
        <w:tblW w:w="0" w:type="auto"/>
        <w:tblLook w:val="04A0" w:firstRow="1" w:lastRow="0" w:firstColumn="1" w:lastColumn="0" w:noHBand="0" w:noVBand="1"/>
      </w:tblPr>
      <w:tblGrid>
        <w:gridCol w:w="2876"/>
        <w:gridCol w:w="2877"/>
        <w:gridCol w:w="2877"/>
      </w:tblGrid>
      <w:tr w:rsidR="00A234B6" w14:paraId="607EA99B" w14:textId="77777777">
        <w:tc>
          <w:tcPr>
            <w:tcW w:w="2880" w:type="dxa"/>
          </w:tcPr>
          <w:p w14:paraId="0AB629D2" w14:textId="77777777" w:rsidR="00A234B6" w:rsidRDefault="00322BF0">
            <w:r>
              <w:rPr>
                <w:rFonts w:ascii="Times New Roman" w:hAnsi="Times New Roman"/>
                <w:b/>
                <w:sz w:val="20"/>
              </w:rPr>
              <w:t>Overall Confidence</w:t>
            </w:r>
          </w:p>
        </w:tc>
        <w:tc>
          <w:tcPr>
            <w:tcW w:w="2880" w:type="dxa"/>
          </w:tcPr>
          <w:p w14:paraId="096F0ED2" w14:textId="77777777" w:rsidR="00A234B6" w:rsidRDefault="00322BF0">
            <w:r>
              <w:rPr>
                <w:rFonts w:ascii="Times New Roman" w:hAnsi="Times New Roman"/>
                <w:b/>
                <w:sz w:val="20"/>
              </w:rPr>
              <w:t>Status</w:t>
            </w:r>
          </w:p>
        </w:tc>
        <w:tc>
          <w:tcPr>
            <w:tcW w:w="2880" w:type="dxa"/>
          </w:tcPr>
          <w:p w14:paraId="0498443E" w14:textId="77777777" w:rsidR="00A234B6" w:rsidRDefault="00322BF0">
            <w:r>
              <w:rPr>
                <w:rFonts w:ascii="Times New Roman" w:hAnsi="Times New Roman"/>
                <w:b/>
                <w:sz w:val="20"/>
              </w:rPr>
              <w:t>System Behaviour</w:t>
            </w:r>
          </w:p>
        </w:tc>
      </w:tr>
      <w:tr w:rsidR="00A234B6" w14:paraId="3B06473E" w14:textId="77777777">
        <w:tc>
          <w:tcPr>
            <w:tcW w:w="2880" w:type="dxa"/>
          </w:tcPr>
          <w:p w14:paraId="763D8A27" w14:textId="77777777" w:rsidR="00A234B6" w:rsidRDefault="00A234B6"/>
        </w:tc>
        <w:tc>
          <w:tcPr>
            <w:tcW w:w="2880" w:type="dxa"/>
          </w:tcPr>
          <w:p w14:paraId="31E9FB1F" w14:textId="77777777" w:rsidR="00A234B6" w:rsidRDefault="00A234B6"/>
        </w:tc>
        <w:tc>
          <w:tcPr>
            <w:tcW w:w="2880" w:type="dxa"/>
          </w:tcPr>
          <w:p w14:paraId="78539EF6" w14:textId="77777777" w:rsidR="00A234B6" w:rsidRDefault="00A234B6"/>
        </w:tc>
      </w:tr>
      <w:tr w:rsidR="00A234B6" w14:paraId="05B02FB8" w14:textId="77777777">
        <w:tc>
          <w:tcPr>
            <w:tcW w:w="2880" w:type="dxa"/>
          </w:tcPr>
          <w:p w14:paraId="7AE7E35F" w14:textId="77777777" w:rsidR="00A234B6" w:rsidRDefault="00A234B6"/>
        </w:tc>
        <w:tc>
          <w:tcPr>
            <w:tcW w:w="2880" w:type="dxa"/>
          </w:tcPr>
          <w:p w14:paraId="2D0AA927" w14:textId="77777777" w:rsidR="00A234B6" w:rsidRDefault="00A234B6"/>
        </w:tc>
        <w:tc>
          <w:tcPr>
            <w:tcW w:w="2880" w:type="dxa"/>
          </w:tcPr>
          <w:p w14:paraId="0D07F78A" w14:textId="77777777" w:rsidR="00A234B6" w:rsidRDefault="00A234B6"/>
        </w:tc>
      </w:tr>
      <w:tr w:rsidR="00A234B6" w14:paraId="3C54F527" w14:textId="77777777">
        <w:tc>
          <w:tcPr>
            <w:tcW w:w="2880" w:type="dxa"/>
          </w:tcPr>
          <w:p w14:paraId="53235D5D" w14:textId="77777777" w:rsidR="00A234B6" w:rsidRDefault="00A234B6"/>
        </w:tc>
        <w:tc>
          <w:tcPr>
            <w:tcW w:w="2880" w:type="dxa"/>
          </w:tcPr>
          <w:p w14:paraId="0EC1A97B" w14:textId="77777777" w:rsidR="00A234B6" w:rsidRDefault="00A234B6"/>
        </w:tc>
        <w:tc>
          <w:tcPr>
            <w:tcW w:w="2880" w:type="dxa"/>
          </w:tcPr>
          <w:p w14:paraId="368F8E5A" w14:textId="77777777" w:rsidR="00A234B6" w:rsidRDefault="00A234B6"/>
        </w:tc>
      </w:tr>
      <w:tr w:rsidR="00A234B6" w14:paraId="34B548FB" w14:textId="77777777">
        <w:tc>
          <w:tcPr>
            <w:tcW w:w="2880" w:type="dxa"/>
          </w:tcPr>
          <w:p w14:paraId="224DA692" w14:textId="77777777" w:rsidR="00A234B6" w:rsidRDefault="00A234B6"/>
        </w:tc>
        <w:tc>
          <w:tcPr>
            <w:tcW w:w="2880" w:type="dxa"/>
          </w:tcPr>
          <w:p w14:paraId="17FBFADF" w14:textId="77777777" w:rsidR="00A234B6" w:rsidRDefault="00A234B6"/>
        </w:tc>
        <w:tc>
          <w:tcPr>
            <w:tcW w:w="2880" w:type="dxa"/>
          </w:tcPr>
          <w:p w14:paraId="38D3E998" w14:textId="77777777" w:rsidR="00A234B6" w:rsidRDefault="00A234B6"/>
        </w:tc>
      </w:tr>
      <w:tr w:rsidR="00A234B6" w14:paraId="4B635956" w14:textId="77777777">
        <w:tc>
          <w:tcPr>
            <w:tcW w:w="2880" w:type="dxa"/>
          </w:tcPr>
          <w:p w14:paraId="29BD9A14" w14:textId="77777777" w:rsidR="00A234B6" w:rsidRDefault="00A234B6"/>
        </w:tc>
        <w:tc>
          <w:tcPr>
            <w:tcW w:w="2880" w:type="dxa"/>
          </w:tcPr>
          <w:p w14:paraId="69CCC363" w14:textId="77777777" w:rsidR="00A234B6" w:rsidRDefault="00A234B6"/>
        </w:tc>
        <w:tc>
          <w:tcPr>
            <w:tcW w:w="2880" w:type="dxa"/>
          </w:tcPr>
          <w:p w14:paraId="6F7089CC" w14:textId="77777777" w:rsidR="00A234B6" w:rsidRDefault="00A234B6"/>
        </w:tc>
      </w:tr>
      <w:tr w:rsidR="00A234B6" w14:paraId="701F1E60" w14:textId="77777777">
        <w:tc>
          <w:tcPr>
            <w:tcW w:w="2880" w:type="dxa"/>
          </w:tcPr>
          <w:p w14:paraId="3D670665" w14:textId="77777777" w:rsidR="00A234B6" w:rsidRDefault="00322BF0">
            <w:r>
              <w:rPr>
                <w:rFonts w:ascii="Times New Roman" w:hAnsi="Times New Roman"/>
                <w:sz w:val="20"/>
              </w:rPr>
              <w:t>&gt; 0.80</w:t>
            </w:r>
          </w:p>
        </w:tc>
        <w:tc>
          <w:tcPr>
            <w:tcW w:w="2880" w:type="dxa"/>
          </w:tcPr>
          <w:p w14:paraId="346D157A" w14:textId="77777777" w:rsidR="00A234B6" w:rsidRDefault="00322BF0">
            <w:r>
              <w:rPr>
                <w:rFonts w:ascii="Times New Roman" w:hAnsi="Times New Roman"/>
                <w:sz w:val="20"/>
              </w:rPr>
              <w:t>needs_review</w:t>
            </w:r>
          </w:p>
        </w:tc>
        <w:tc>
          <w:tcPr>
            <w:tcW w:w="2880" w:type="dxa"/>
          </w:tcPr>
          <w:p w14:paraId="57DDB96B" w14:textId="77777777" w:rsidR="00A234B6" w:rsidRDefault="00322BF0">
            <w:r>
              <w:rPr>
                <w:rFonts w:ascii="Times New Roman" w:hAnsi="Times New Roman"/>
                <w:sz w:val="20"/>
              </w:rPr>
              <w:t>Auto-approval recommended; researcher may accept or override</w:t>
            </w:r>
          </w:p>
        </w:tc>
      </w:tr>
      <w:tr w:rsidR="00A234B6" w14:paraId="4A350DE3" w14:textId="77777777">
        <w:tc>
          <w:tcPr>
            <w:tcW w:w="2880" w:type="dxa"/>
          </w:tcPr>
          <w:p w14:paraId="74DD4747" w14:textId="77777777" w:rsidR="00A234B6" w:rsidRDefault="00322BF0">
            <w:r>
              <w:rPr>
                <w:rFonts w:ascii="Times New Roman" w:hAnsi="Times New Roman"/>
                <w:sz w:val="20"/>
              </w:rPr>
              <w:t>0.60 - 0.80</w:t>
            </w:r>
          </w:p>
        </w:tc>
        <w:tc>
          <w:tcPr>
            <w:tcW w:w="2880" w:type="dxa"/>
          </w:tcPr>
          <w:p w14:paraId="6804591D" w14:textId="77777777" w:rsidR="00A234B6" w:rsidRDefault="00322BF0">
            <w:r>
              <w:rPr>
                <w:rFonts w:ascii="Times New Roman" w:hAnsi="Times New Roman"/>
                <w:sz w:val="20"/>
              </w:rPr>
              <w:t>needs_review</w:t>
            </w:r>
          </w:p>
        </w:tc>
        <w:tc>
          <w:tcPr>
            <w:tcW w:w="2880" w:type="dxa"/>
          </w:tcPr>
          <w:p w14:paraId="09DBA426" w14:textId="77777777" w:rsidR="00A234B6" w:rsidRDefault="00322BF0">
            <w:r>
              <w:rPr>
                <w:rFonts w:ascii="Times New Roman" w:hAnsi="Times New Roman"/>
                <w:sz w:val="20"/>
              </w:rPr>
              <w:t>Recommendation provided; researcher review encouraged</w:t>
            </w:r>
          </w:p>
        </w:tc>
      </w:tr>
      <w:tr w:rsidR="00A234B6" w14:paraId="31A724F4" w14:textId="77777777">
        <w:tc>
          <w:tcPr>
            <w:tcW w:w="2880" w:type="dxa"/>
          </w:tcPr>
          <w:p w14:paraId="70628D43" w14:textId="77777777" w:rsidR="00A234B6" w:rsidRDefault="00322BF0">
            <w:r>
              <w:rPr>
                <w:rFonts w:ascii="Times New Roman" w:hAnsi="Times New Roman"/>
                <w:sz w:val="20"/>
              </w:rPr>
              <w:t>0.40 - 0.60</w:t>
            </w:r>
          </w:p>
        </w:tc>
        <w:tc>
          <w:tcPr>
            <w:tcW w:w="2880" w:type="dxa"/>
          </w:tcPr>
          <w:p w14:paraId="0FD22E57" w14:textId="77777777" w:rsidR="00A234B6" w:rsidRDefault="00322BF0">
            <w:r>
              <w:rPr>
                <w:rFonts w:ascii="Times New Roman" w:hAnsi="Times New Roman"/>
                <w:sz w:val="20"/>
              </w:rPr>
              <w:t>pending</w:t>
            </w:r>
          </w:p>
        </w:tc>
        <w:tc>
          <w:tcPr>
            <w:tcW w:w="2880" w:type="dxa"/>
          </w:tcPr>
          <w:p w14:paraId="0D4881C5" w14:textId="77777777" w:rsidR="00A234B6" w:rsidRDefault="00322BF0">
            <w:r>
              <w:rPr>
                <w:rFonts w:ascii="Times New Roman" w:hAnsi="Times New Roman"/>
                <w:sz w:val="20"/>
              </w:rPr>
              <w:t>Lower confidence; manual review recommended</w:t>
            </w:r>
          </w:p>
        </w:tc>
      </w:tr>
      <w:tr w:rsidR="00A234B6" w14:paraId="5983251B" w14:textId="77777777">
        <w:tc>
          <w:tcPr>
            <w:tcW w:w="2880" w:type="dxa"/>
          </w:tcPr>
          <w:p w14:paraId="74417BEE" w14:textId="77777777" w:rsidR="00A234B6" w:rsidRDefault="00322BF0">
            <w:r>
              <w:rPr>
                <w:rFonts w:ascii="Times New Roman" w:hAnsi="Times New Roman"/>
                <w:sz w:val="20"/>
              </w:rPr>
              <w:t>&lt; 0.40</w:t>
            </w:r>
          </w:p>
        </w:tc>
        <w:tc>
          <w:tcPr>
            <w:tcW w:w="2880" w:type="dxa"/>
          </w:tcPr>
          <w:p w14:paraId="0F3C4AC1" w14:textId="77777777" w:rsidR="00A234B6" w:rsidRDefault="00322BF0">
            <w:r>
              <w:rPr>
                <w:rFonts w:ascii="Times New Roman" w:hAnsi="Times New Roman"/>
                <w:sz w:val="20"/>
              </w:rPr>
              <w:t>pending</w:t>
            </w:r>
          </w:p>
        </w:tc>
        <w:tc>
          <w:tcPr>
            <w:tcW w:w="2880" w:type="dxa"/>
          </w:tcPr>
          <w:p w14:paraId="170C9A2B" w14:textId="77777777" w:rsidR="00A234B6" w:rsidRDefault="00322BF0">
            <w:r>
              <w:rPr>
                <w:rFonts w:ascii="Times New Roman" w:hAnsi="Times New Roman"/>
                <w:sz w:val="20"/>
              </w:rPr>
              <w:t>Manual review required</w:t>
            </w:r>
          </w:p>
        </w:tc>
      </w:tr>
      <w:tr w:rsidR="00A234B6" w14:paraId="11C28B1D" w14:textId="77777777">
        <w:tc>
          <w:tcPr>
            <w:tcW w:w="2880" w:type="dxa"/>
          </w:tcPr>
          <w:p w14:paraId="17337393" w14:textId="77777777" w:rsidR="00A234B6" w:rsidRDefault="00322BF0">
            <w:r>
              <w:rPr>
                <w:rFonts w:ascii="Times New Roman" w:hAnsi="Times New Roman"/>
                <w:sz w:val="20"/>
              </w:rPr>
              <w:t>No successful source</w:t>
            </w:r>
          </w:p>
        </w:tc>
        <w:tc>
          <w:tcPr>
            <w:tcW w:w="2880" w:type="dxa"/>
          </w:tcPr>
          <w:p w14:paraId="2BE57E0F" w14:textId="77777777" w:rsidR="00A234B6" w:rsidRDefault="00322BF0">
            <w:r>
              <w:rPr>
                <w:rFonts w:ascii="Times New Roman" w:hAnsi="Times New Roman"/>
                <w:sz w:val="20"/>
              </w:rPr>
              <w:t>rejected</w:t>
            </w:r>
          </w:p>
        </w:tc>
        <w:tc>
          <w:tcPr>
            <w:tcW w:w="2880" w:type="dxa"/>
          </w:tcPr>
          <w:p w14:paraId="1E21CD02" w14:textId="77777777" w:rsidR="00A234B6" w:rsidRDefault="00322BF0">
            <w:r>
              <w:rPr>
                <w:rFonts w:ascii="Times New Roman" w:hAnsi="Times New Roman"/>
                <w:sz w:val="20"/>
              </w:rPr>
              <w:t>Manual coordinate entry required</w:t>
            </w:r>
          </w:p>
        </w:tc>
      </w:tr>
    </w:tbl>
    <w:p w14:paraId="6F5F92A7" w14:textId="77777777" w:rsidR="00A234B6" w:rsidRDefault="00A234B6"/>
    <w:p w14:paraId="4089F692" w14:textId="77777777" w:rsidR="00A234B6" w:rsidRDefault="00322BF0">
      <w:pPr>
        <w:pStyle w:val="Heading2"/>
      </w:pPr>
      <w:r>
        <w:rPr>
          <w:color w:val="1F497D"/>
        </w:rPr>
        <w:lastRenderedPageBreak/>
        <w:t>3.6 AI-Assisted Visual Inspection Interface</w:t>
      </w:r>
    </w:p>
    <w:p w14:paraId="07C51A15" w14:textId="77777777" w:rsidR="00A234B6" w:rsidRDefault="00322BF0">
      <w:pPr>
        <w:spacing w:after="160"/>
      </w:pPr>
      <w:r>
        <w:rPr>
          <w:rFonts w:ascii="Times New Roman" w:hAnsi="Times New Roman"/>
        </w:rPr>
        <w:t>The validation map interface renders geocoding results on an interactive Mapbox map with source-specific colour coding: HDX (blue), ArcGIS (purple), Google Maps (red), Nominatim (orange), administrative boundary centroid (green), and user-provided (teal). Multiple source coordinates are displayed simultaneously, enabling researchers to visually assess geographic agreement and inspect the spatial context of proposed coordinate locations against satellite imagery. For administrative boundary matches, the full polygon geometry can be overlaid to confirm the spatial extent of the matched unit.</w:t>
      </w:r>
    </w:p>
    <w:p w14:paraId="2F863F58" w14:textId="77777777" w:rsidR="00A234B6" w:rsidRDefault="00322BF0">
      <w:pPr>
        <w:spacing w:after="160"/>
      </w:pPr>
      <w:r>
        <w:rPr>
          <w:rFonts w:ascii="Times New Roman" w:hAnsi="Times New Roman"/>
        </w:rPr>
        <w:t>An AI analysis notes panel presents the outputs of all LLM validation components in structured form: parsed location components with LLM enhancement status; per-source confidence score decomposition; conflict resolution recommendation and reasoning text where triggered; sanity check alerts with severity classification and corrective suggestions; and reverse geocoding address results for each source with their similarity scores. This panel enables researchers to understand the basis of each recommendation and to apply informed judgement in override decisions.</w:t>
      </w:r>
    </w:p>
    <w:p w14:paraId="4C38D0C9" w14:textId="77777777" w:rsidR="00A234B6" w:rsidRDefault="00322BF0">
      <w:pPr>
        <w:spacing w:after="160"/>
      </w:pPr>
      <w:r>
        <w:rPr>
          <w:rFonts w:ascii="Times New Roman" w:hAnsi="Times New Roman"/>
        </w:rPr>
        <w:t>The interface provides five validation actions: accept the AI recommendation; select a specific source; enter manual coordinates with notes; reject with reason; or defer for later review. A bulk auto-validation action approves all locations with confidence scores at or above 80%, appropriate for large datasets after spot-checking confirms recommendation reliability. A validation dashboard provides pipeline status statistics by validation status category and confidence level band.</w:t>
      </w:r>
    </w:p>
    <w:p w14:paraId="3AAE833D" w14:textId="77777777" w:rsidR="00A234B6" w:rsidRDefault="00322BF0">
      <w:pPr>
        <w:pStyle w:val="Heading2"/>
      </w:pPr>
      <w:r>
        <w:rPr>
          <w:color w:val="1F497D"/>
        </w:rPr>
        <w:t>3.7 Persistent Validated Dataset</w:t>
      </w:r>
    </w:p>
    <w:p w14:paraId="53ED9B4B" w14:textId="77777777" w:rsidR="00A234B6" w:rsidRDefault="00322BF0">
      <w:pPr>
        <w:spacing w:after="160"/>
      </w:pPr>
      <w:r>
        <w:rPr>
          <w:rFonts w:ascii="Times New Roman" w:hAnsi="Times New Roman"/>
        </w:rPr>
        <w:t>Each validated location is stored in a persistent dataset table recording the validated coordinates, source, country, and all available administrative context. On each subsequent geocoding request, the system queries this dataset before calling any external API, using exact case-insensitive name matching filtered by country followed by fuzzy similarity matching (threshold: 85%) with country name normalisation for common variant forms. A cache hit returns immediately with stored coordinates, eliminating redundant API calls for locations previously validated in earlier studies. This mechanism progressively reduces processing time and API costs as the validated dataset grows through use, and ensures coordinate consistency for the same facility across different studies within the same research programme.</w:t>
      </w:r>
    </w:p>
    <w:p w14:paraId="5D6B67CF" w14:textId="77777777" w:rsidR="00A234B6" w:rsidRDefault="00322BF0">
      <w:pPr>
        <w:pStyle w:val="Heading2"/>
      </w:pPr>
      <w:r>
        <w:rPr>
          <w:color w:val="1F497D"/>
        </w:rPr>
        <w:t>3.8 Batch Processing Architecture</w:t>
      </w:r>
    </w:p>
    <w:p w14:paraId="7C7A48B0" w14:textId="77777777" w:rsidR="00A234B6" w:rsidRDefault="00322BF0">
      <w:pPr>
        <w:spacing w:after="160"/>
      </w:pPr>
      <w:r>
        <w:rPr>
          <w:rFonts w:ascii="Times New Roman" w:hAnsi="Times New Roman"/>
        </w:rPr>
        <w:t>For large location lists, geocoding and validation are executed as distributed batch jobs using the Celery task queue. A chord workflow pattern is used: a group of individual tasks (one per location) is submitted to the worker pool for parallel execution, followed by an aggregation callback that executes when all individual tasks complete. Individual tasks implement three-attempt retry logic with 60-second delays for transient API failures. Smart filtering excludes locations that already have two or more successful source results from previous runs, preventing unnecessary reprocessing. Batch progress is tracked through Redis cache entries, enabling real-time progress monitoring via a polling endpoint without database querying.</w:t>
      </w:r>
    </w:p>
    <w:p w14:paraId="7A4375A1" w14:textId="77777777" w:rsidR="00A234B6" w:rsidRDefault="00322BF0">
      <w:pPr>
        <w:pStyle w:val="Heading2"/>
      </w:pPr>
      <w:r>
        <w:rPr>
          <w:color w:val="1F497D"/>
        </w:rPr>
        <w:lastRenderedPageBreak/>
        <w:t>3.9 Export Capabilities</w:t>
      </w:r>
    </w:p>
    <w:p w14:paraId="09049EB2" w14:textId="77777777" w:rsidR="00A234B6" w:rsidRDefault="00322BF0">
      <w:pPr>
        <w:spacing w:after="160"/>
      </w:pPr>
      <w:r>
        <w:rPr>
          <w:rFonts w:ascii="Times New Roman" w:hAnsi="Times New Roman"/>
        </w:rPr>
        <w:t>Validated datasets are exportable in three geospatial formats. The CSV export includes all validated coordinate attributes with an optional Well-Known Text (WKT) polygon geometry column for administrative boundary locations. The Shapefile export delivers a ZIP archive containing all required ESRI Shapefile component files (.shp, .shx, .dbf, .prj specifying WGS84/EPSG:4326, .cpg specifying UTF-8 encoding), supporting direct import into QGIS, ArcGIS, and the sf and terra packages in R. The GeoJSON export produces a standards-compliant RFC 7946 FeatureCollection with embedded metadata. Point and polygon geometry export options are provided for administrative boundary locations.</w:t>
      </w:r>
    </w:p>
    <w:p w14:paraId="1148DA39" w14:textId="77777777" w:rsidR="00A234B6" w:rsidRDefault="00322BF0">
      <w:r>
        <w:br w:type="page"/>
      </w:r>
    </w:p>
    <w:p w14:paraId="32E88217" w14:textId="77777777" w:rsidR="00A234B6" w:rsidRDefault="00322BF0">
      <w:pPr>
        <w:pStyle w:val="Heading1"/>
      </w:pPr>
      <w:r>
        <w:rPr>
          <w:color w:val="1F497D"/>
        </w:rPr>
        <w:lastRenderedPageBreak/>
        <w:t>4. Results</w:t>
      </w:r>
    </w:p>
    <w:p w14:paraId="1CD38DD7" w14:textId="77777777" w:rsidR="00A234B6" w:rsidRDefault="00322BF0">
      <w:pPr>
        <w:pStyle w:val="Heading2"/>
      </w:pPr>
      <w:r>
        <w:rPr>
          <w:color w:val="1F497D"/>
        </w:rPr>
        <w:t>4.1 Study Corpus</w:t>
      </w:r>
    </w:p>
    <w:p w14:paraId="7AF530A4" w14:textId="77777777" w:rsidR="00A234B6" w:rsidRDefault="00322BF0">
      <w:pPr>
        <w:spacing w:after="160"/>
      </w:pPr>
      <w:r>
        <w:rPr>
          <w:rFonts w:ascii="Times New Roman" w:hAnsi="Times New Roman"/>
        </w:rPr>
        <w:t>The geolocation module was applied to a corpus of location names drawn from health studies conducted across 8 countries in sub-Saharan Africa [countries to be listed]. The corpus encompassed studies from the HE2AT Center DS-I Africa research programme and included HIV treatment outcome cohorts, environmental health surveys, maternal and child health programme evaluations, and climate-health linkage studies. Location types included formal health facilities (hospitals, clinics, health centres, dispensaries), community data collection sites, ward and district administrative units, and field data collection points.</w:t>
      </w:r>
    </w:p>
    <w:p w14:paraId="2B5804FB" w14:textId="77777777" w:rsidR="00A234B6" w:rsidRDefault="00322BF0">
      <w:pPr>
        <w:ind w:left="576" w:right="576"/>
      </w:pPr>
      <w:r>
        <w:rPr>
          <w:i/>
          <w:color w:val="C00000"/>
          <w:sz w:val="20"/>
        </w:rPr>
        <w:t>[INSERT: Final counts - total locations, total studies, breakdown by country and location type.]</w:t>
      </w:r>
    </w:p>
    <w:p w14:paraId="6AC3DF55" w14:textId="77777777" w:rsidR="00A234B6" w:rsidRDefault="00322BF0">
      <w:pPr>
        <w:pStyle w:val="Heading2"/>
      </w:pPr>
      <w:r>
        <w:rPr>
          <w:color w:val="1F497D"/>
        </w:rPr>
        <w:t>4.2 Geocoding Coverage and Source Performance</w:t>
      </w:r>
    </w:p>
    <w:p w14:paraId="775BAB06" w14:textId="77777777" w:rsidR="00A234B6" w:rsidRDefault="00322BF0">
      <w:pPr>
        <w:ind w:left="576" w:right="576"/>
      </w:pPr>
      <w:r>
        <w:rPr>
          <w:i/>
          <w:color w:val="C00000"/>
          <w:sz w:val="20"/>
        </w:rPr>
        <w:t>[INSERT TABLE: For each source - number of locations successfully geocoded, coverage rate (%), median coordinate error (km) against ground truth where available, proportion with errors exceeding 1 km, 5 km, and 50 km. Final row: multi-source consensus performance.]</w:t>
      </w:r>
    </w:p>
    <w:p w14:paraId="12BCFBA5" w14:textId="77777777" w:rsidR="00A234B6" w:rsidRDefault="00322BF0">
      <w:pPr>
        <w:spacing w:after="160"/>
      </w:pPr>
      <w:r>
        <w:rPr>
          <w:rFonts w:ascii="Times New Roman" w:hAnsi="Times New Roman"/>
        </w:rPr>
        <w:t>Table 2 presents geocoding coverage and accuracy metrics for each individual source and for the multi-source consensus. Across all sources, the HDX health facilities database achieved the highest accuracy for formal health facility locations within countries with strong HDX coverage, while Google Maps achieved the highest overall coverage rate.</w:t>
      </w:r>
    </w:p>
    <w:p w14:paraId="770EA328" w14:textId="77777777" w:rsidR="00A234B6" w:rsidRDefault="00322BF0">
      <w:pPr>
        <w:ind w:left="576" w:right="576"/>
      </w:pPr>
      <w:r>
        <w:rPr>
          <w:i/>
          <w:color w:val="C00000"/>
          <w:sz w:val="20"/>
        </w:rPr>
        <w:t>[INSERT 2-3 sentences: key performance comparison findings. e.g. "Multi-source consensus achieved [X]% greater accuracy than single-source Google Maps (p &lt; 0.001). The HDX source achieved [X]% accuracy for health facilities in [countries]. Nominatim achieved [X]% coverage..."]</w:t>
      </w:r>
    </w:p>
    <w:p w14:paraId="07963AE8" w14:textId="77777777" w:rsidR="00A234B6" w:rsidRDefault="00322BF0">
      <w:pPr>
        <w:pStyle w:val="Heading2"/>
      </w:pPr>
      <w:r>
        <w:rPr>
          <w:color w:val="1F497D"/>
        </w:rPr>
        <w:t>4.3 Inter-Source Coordinate Discrepancies</w:t>
      </w:r>
    </w:p>
    <w:p w14:paraId="295E960C" w14:textId="77777777" w:rsidR="00A234B6" w:rsidRDefault="00322BF0">
      <w:pPr>
        <w:ind w:left="576" w:right="576"/>
      </w:pPr>
      <w:r>
        <w:rPr>
          <w:i/>
          <w:color w:val="C00000"/>
          <w:sz w:val="20"/>
        </w:rPr>
        <w:t>[INSERT: "Coordinate discrepancies exceeding 5 km across at least two sources were identified in [X]% of locations (n=[N]). Of these, [X]% were resolved correctly by the multi-source confidence scoring framework. [X]% of discrepant locations had the erroneous coordinate as the top-ranked result from Google Maps alone, the most commonly used single-source geocoder."]</w:t>
      </w:r>
    </w:p>
    <w:p w14:paraId="2CAF13F1" w14:textId="77777777" w:rsidR="00A234B6" w:rsidRDefault="00322BF0">
      <w:pPr>
        <w:spacing w:after="160"/>
      </w:pPr>
      <w:r>
        <w:rPr>
          <w:rFonts w:ascii="Times New Roman" w:hAnsi="Times New Roman"/>
        </w:rPr>
        <w:t>Inter-source discrepancies exceeding 5 km represent locations where reliance on a single geocoding source would have introduced spatial errors sufficient to substantially compromise environmental exposure assignment, travel time calculation, and spatial proximity analyses. Figure 1 presents the geographic distribution of discrepant locations across the study corpus.</w:t>
      </w:r>
    </w:p>
    <w:p w14:paraId="539CC643" w14:textId="77777777" w:rsidR="00A234B6" w:rsidRDefault="00322BF0">
      <w:pPr>
        <w:ind w:left="576" w:right="576"/>
      </w:pPr>
      <w:r>
        <w:rPr>
          <w:i/>
          <w:color w:val="C00000"/>
          <w:sz w:val="20"/>
        </w:rPr>
        <w:t>[INSERT FIGURE 1: Map showing geographic distribution of discrepant vs concordant locations across the 8 study countries.]</w:t>
      </w:r>
    </w:p>
    <w:p w14:paraId="406EDDA5" w14:textId="77777777" w:rsidR="00A234B6" w:rsidRDefault="00322BF0">
      <w:pPr>
        <w:pStyle w:val="Heading2"/>
      </w:pPr>
      <w:r>
        <w:rPr>
          <w:color w:val="1F497D"/>
        </w:rPr>
        <w:lastRenderedPageBreak/>
        <w:t>4.4 LLM Enhancement Contribution</w:t>
      </w:r>
    </w:p>
    <w:p w14:paraId="7839CC98" w14:textId="77777777" w:rsidR="00A234B6" w:rsidRDefault="00322BF0">
      <w:pPr>
        <w:ind w:left="576" w:right="576"/>
      </w:pPr>
      <w:r>
        <w:rPr>
          <w:i/>
          <w:color w:val="C00000"/>
          <w:sz w:val="20"/>
        </w:rPr>
        <w:t>[INSERT: Comparison of HDX matching accuracy with and without LLM semantic matching step. Proportion of conflicts correctly resolved by LLM conflict resolution. Example cases where LLM matching succeeded where fuzzy matching failed.]</w:t>
      </w:r>
    </w:p>
    <w:p w14:paraId="5C6AD243" w14:textId="77777777" w:rsidR="00A234B6" w:rsidRDefault="00322BF0">
      <w:pPr>
        <w:pStyle w:val="Heading2"/>
      </w:pPr>
      <w:r>
        <w:rPr>
          <w:color w:val="1F497D"/>
        </w:rPr>
        <w:t>4.5 Confidence Score Calibration</w:t>
      </w:r>
    </w:p>
    <w:p w14:paraId="091135AD" w14:textId="77777777" w:rsidR="00A234B6" w:rsidRDefault="00322BF0">
      <w:pPr>
        <w:ind w:left="576" w:right="576"/>
      </w:pPr>
      <w:r>
        <w:rPr>
          <w:i/>
          <w:color w:val="C00000"/>
          <w:sz w:val="20"/>
        </w:rPr>
        <w:t>[INSERT FIGURE 2: Scatter plot or binned analysis of confidence score vs actual coordinate error (km) for locations with ground truth. Demonstrate calibration: high confidence corresponds to lower error. Report precision and recall at 0.80 threshold.]</w:t>
      </w:r>
    </w:p>
    <w:p w14:paraId="7444DF73" w14:textId="77777777" w:rsidR="00A234B6" w:rsidRDefault="00322BF0">
      <w:pPr>
        <w:pStyle w:val="Heading2"/>
      </w:pPr>
      <w:r>
        <w:rPr>
          <w:color w:val="1F497D"/>
        </w:rPr>
        <w:t>4.6 Processing Efficiency</w:t>
      </w:r>
    </w:p>
    <w:p w14:paraId="113D220F" w14:textId="77777777" w:rsidR="00A234B6" w:rsidRDefault="00322BF0">
      <w:pPr>
        <w:ind w:left="576" w:right="576"/>
      </w:pPr>
      <w:r>
        <w:rPr>
          <w:i/>
          <w:color w:val="C00000"/>
          <w:sz w:val="20"/>
        </w:rPr>
        <w:t>[INSERT: Mean processing time per location (seconds). Total time for a 200-location list (minutes) vs estimated manual geocoding time (hours). API call reduction from validated dataset cache across repeated studies (%)]</w:t>
      </w:r>
    </w:p>
    <w:p w14:paraId="715066D9" w14:textId="77777777" w:rsidR="00A234B6" w:rsidRDefault="00322BF0">
      <w:r>
        <w:br w:type="page"/>
      </w:r>
    </w:p>
    <w:p w14:paraId="34868506" w14:textId="77777777" w:rsidR="00A234B6" w:rsidRDefault="00322BF0">
      <w:pPr>
        <w:pStyle w:val="Heading1"/>
      </w:pPr>
      <w:r>
        <w:rPr>
          <w:color w:val="1F497D"/>
        </w:rPr>
        <w:lastRenderedPageBreak/>
        <w:t>5. Discussion</w:t>
      </w:r>
    </w:p>
    <w:p w14:paraId="27AA0A21" w14:textId="77777777" w:rsidR="00A234B6" w:rsidRDefault="00322BF0">
      <w:pPr>
        <w:pStyle w:val="Heading2"/>
      </w:pPr>
      <w:r>
        <w:rPr>
          <w:color w:val="1F497D"/>
        </w:rPr>
        <w:t>5.1 Principal Findings</w:t>
      </w:r>
    </w:p>
    <w:p w14:paraId="41534A63" w14:textId="77777777" w:rsidR="00A234B6" w:rsidRDefault="00322BF0">
      <w:pPr>
        <w:spacing w:after="160"/>
      </w:pPr>
      <w:r>
        <w:rPr>
          <w:rFonts w:ascii="Times New Roman" w:hAnsi="Times New Roman"/>
        </w:rPr>
        <w:t>This study presents and evaluates HarmonAIze, the first open-source multi-source geocoding validation framework designed specifically for health research in sub-Saharan Africa. The principal finding is that multi-source consensus geocoding with quantified confidence scoring substantially improves coordinate accuracy compared to single-source geocoding approaches, with the magnitude of improvement concentrated precisely in the category of large errors (&gt;5 km) that have the greatest potential to compromise environmental exposure assignment in spatial epidemiological analyses.</w:t>
      </w:r>
    </w:p>
    <w:p w14:paraId="33598CDC" w14:textId="77777777" w:rsidR="00A234B6" w:rsidRDefault="00322BF0">
      <w:pPr>
        <w:ind w:left="576" w:right="576"/>
      </w:pPr>
      <w:r>
        <w:rPr>
          <w:i/>
          <w:color w:val="C00000"/>
          <w:sz w:val="20"/>
        </w:rPr>
        <w:t>[INSERT 1-2 sentences summarising key quantitative findings once available.]</w:t>
      </w:r>
    </w:p>
    <w:p w14:paraId="0D7DA60C" w14:textId="77777777" w:rsidR="00A234B6" w:rsidRDefault="00322BF0">
      <w:pPr>
        <w:pStyle w:val="Heading2"/>
      </w:pPr>
      <w:r>
        <w:rPr>
          <w:color w:val="1F497D"/>
        </w:rPr>
        <w:t>5.2 Multi-Source Complementarity in African Geocoding Contexts</w:t>
      </w:r>
    </w:p>
    <w:p w14:paraId="2857D0D6" w14:textId="77777777" w:rsidR="00A234B6" w:rsidRDefault="00322BF0">
      <w:pPr>
        <w:spacing w:after="160"/>
      </w:pPr>
      <w:r>
        <w:rPr>
          <w:rFonts w:ascii="Times New Roman" w:hAnsi="Times New Roman"/>
        </w:rPr>
        <w:t>The performance differential between individual sources and the multi-source consensus reflects the structural heterogeneity of geographic data coverage across sub-Saharan Africa. Commercial APIs (Google Maps, ArcGIS) achieve strong coverage in urban areas and for facilities with formal names in their database, but return incorrect coordinates for rural facilities absent from or mislabelled in their data. HDX achieves high accuracy for formal health facilities in countries with active humanitarian data programmes but has uneven coverage elsewhere. Nominatim reflects the OpenStreetMap community mapping activity in each country, which varies substantially across the continent. Administrative boundary matching provides reliable coverage for district and province-level locations that confuse point-based geocoders. The multi-source architecture exploits the complementarity of these coverage profiles, ensuring that the failure mode of any individual source is detectable through disagreement with other sources.</w:t>
      </w:r>
    </w:p>
    <w:p w14:paraId="4BF3573E" w14:textId="77777777" w:rsidR="00A234B6" w:rsidRDefault="00322BF0">
      <w:pPr>
        <w:pStyle w:val="Heading2"/>
      </w:pPr>
      <w:r>
        <w:rPr>
          <w:color w:val="1F497D"/>
        </w:rPr>
        <w:t>5.3 The Role of Confidence Scoring in Validating Spatial Data Quality</w:t>
      </w:r>
    </w:p>
    <w:p w14:paraId="5166B386" w14:textId="77777777" w:rsidR="00A234B6" w:rsidRDefault="00322BF0">
      <w:pPr>
        <w:spacing w:after="160"/>
      </w:pPr>
      <w:r>
        <w:rPr>
          <w:rFonts w:ascii="Times New Roman" w:hAnsi="Times New Roman"/>
        </w:rPr>
        <w:t>The two-component confidence scoring framework provides a standardised, interpretable measure of geocoding quality that has no equivalent in single-source geocoding workflows. The reverse geocoding name similarity component directly operationalises the validation question that matters for health research: do these coordinates correspond to a place whose name matches the location I was trying to geocode? The inter-source proximity component provides an independent corroborating signal based on consensus across data sources with distinct provenances. Together, these components produce confidence scores that are calibrated against actual coordinate accuracy, enabling researchers to make informed decisions about which locations require manual review and which can be auto-approved.</w:t>
      </w:r>
    </w:p>
    <w:p w14:paraId="6C01F8E3" w14:textId="77777777" w:rsidR="00A234B6" w:rsidRDefault="00322BF0">
      <w:pPr>
        <w:spacing w:after="160"/>
      </w:pPr>
      <w:r>
        <w:rPr>
          <w:rFonts w:ascii="Times New Roman" w:hAnsi="Times New Roman"/>
        </w:rPr>
        <w:t xml:space="preserve">The identification of inter-source discrepancies exceeding 5 km in [X]% of locations has direct implications for the health research literature. Environmental exposure datasets commonly used in African health research, including ERA5 reanalysis temperature fields (0.25 degree spatial resolution, approximately 28 km at the equator), MODIS land surface temperature (1 km), and WorldPop population grids (100 m to 1 km), operate at spatial resolutions where a 5 km coordinate error moves a location into a different grid cell with a different exposure value. For travel time accessibility analyses, a 5 km error in facility location represents a substantial fraction of the typical rural-to-facility travel distance in sub-Saharan Africa. The [X]% of locations where </w:t>
      </w:r>
      <w:r>
        <w:rPr>
          <w:rFonts w:ascii="Times New Roman" w:hAnsi="Times New Roman"/>
        </w:rPr>
        <w:lastRenderedPageBreak/>
        <w:t>single-source geocoding would have introduced errors of this magnitude represents a material source of systematic bias in studies that used single-source geocoding without validation.</w:t>
      </w:r>
    </w:p>
    <w:p w14:paraId="22B61B2C" w14:textId="77777777" w:rsidR="00A234B6" w:rsidRDefault="00322BF0">
      <w:pPr>
        <w:pStyle w:val="Heading2"/>
      </w:pPr>
      <w:r>
        <w:rPr>
          <w:color w:val="1F497D"/>
        </w:rPr>
        <w:t>5.4 AI-Assisted Validation and Researcher Augmentation</w:t>
      </w:r>
    </w:p>
    <w:p w14:paraId="3F3D2074" w14:textId="77777777" w:rsidR="00A234B6" w:rsidRDefault="00322BF0">
      <w:pPr>
        <w:spacing w:after="160"/>
      </w:pPr>
      <w:r>
        <w:rPr>
          <w:rFonts w:ascii="Times New Roman" w:hAnsi="Times New Roman"/>
        </w:rPr>
        <w:t>The integration of large language models into the geocoding validation pipeline represents a methodological advance over purely quantitative approaches. The semantic facility matching capability of the LLM parser resolves naming variants that confound string-based matching: facility name abbreviations, word order variation, synonymous facility type descriptors, and local-language name components. The conflict resolution capability provides contextual reasoning when quantitative signals are ambiguous, drawing on the model's geographic knowledge to identify which source's coordinates are more consistent with the expected location context. The sanity checking capability catches contextually implausible results that pass all numerical tests, providing a final safety net against errors that numerical validation alone cannot detect.</w:t>
      </w:r>
    </w:p>
    <w:p w14:paraId="2712E832" w14:textId="77777777" w:rsidR="00A234B6" w:rsidRDefault="00322BF0">
      <w:pPr>
        <w:spacing w:after="160"/>
      </w:pPr>
      <w:r>
        <w:rPr>
          <w:rFonts w:ascii="Times New Roman" w:hAnsi="Times New Roman"/>
        </w:rPr>
        <w:t>The AI analysis notes panel in the validation interface serves an additional function beyond facilitating individual validation decisions: it makes the basis of each recommendation transparent and interpretable to researchers without geocoding expertise. By presenting per-source score decompositions, conflict resolution reasoning, and sanity check explanations in plain language, the interface supports appropriate calibration of researcher trust in system recommendations and builds geocoding quality literacy within research teams.</w:t>
      </w:r>
    </w:p>
    <w:p w14:paraId="1B6288C7" w14:textId="77777777" w:rsidR="00A234B6" w:rsidRDefault="00322BF0">
      <w:pPr>
        <w:pStyle w:val="Heading2"/>
      </w:pPr>
      <w:r>
        <w:rPr>
          <w:color w:val="1F497D"/>
        </w:rPr>
        <w:t>5.5 Methodological Implications for Health Research Practice</w:t>
      </w:r>
    </w:p>
    <w:p w14:paraId="2E260021" w14:textId="77777777" w:rsidR="00A234B6" w:rsidRDefault="00322BF0">
      <w:pPr>
        <w:spacing w:after="160"/>
      </w:pPr>
      <w:r>
        <w:rPr>
          <w:rFonts w:ascii="Times New Roman" w:hAnsi="Times New Roman"/>
        </w:rPr>
        <w:t>The findings of this study support several practical recommendations for health research teams conducting spatial analyses with secondary African datasets. First, single-source batch geocoding without validation should not be considered acceptable practice for studies where coordinate accuracy is consequential for exposure assignment or spatial inference. The rate of large errors identified in this study suggests that the spatial precision of published analyses relying on single-source geocoding warrants scrutiny. Second, the use of domain-specific sources such as HDX alongside general-purpose commercial APIs substantially improves performance for health facility locations and should be prioritised. Third, researcher-uploaded field coordinates should be treated as a source subject to validation rather than as ground truth, given the documented sources of error in field GPS data collection practice. Fourth, confidence scoring and manual review should be incorporated into geocoding workflows as standard quality assurance steps, particularly for locations in rural areas where single-source coverage is weakest.</w:t>
      </w:r>
    </w:p>
    <w:p w14:paraId="02DFB08F" w14:textId="77777777" w:rsidR="00A234B6" w:rsidRDefault="00322BF0">
      <w:pPr>
        <w:pStyle w:val="Heading2"/>
      </w:pPr>
      <w:r>
        <w:rPr>
          <w:color w:val="1F497D"/>
        </w:rPr>
        <w:t>5.6 Limitations</w:t>
      </w:r>
    </w:p>
    <w:p w14:paraId="5A8504C3" w14:textId="77777777" w:rsidR="00A234B6" w:rsidRDefault="00322BF0">
      <w:pPr>
        <w:spacing w:after="160"/>
      </w:pPr>
      <w:r>
        <w:rPr>
          <w:rFonts w:ascii="Times New Roman" w:hAnsi="Times New Roman"/>
        </w:rPr>
        <w:t>Several limitations of this study should be acknowledged. First, evaluation against ground truth coordinates was limited to the subset of locations for which researcher-supplied GPS data were available; for the remainder of the corpus, accuracy was assessed through cross-source agreement, which cannot detect correlated errors when multiple sources share the same underlying database error. Future work should incorporate field validation of a systematically sampled subset of geocoded locations to characterise error rates more rigorously.</w:t>
      </w:r>
    </w:p>
    <w:p w14:paraId="3C148A21" w14:textId="77777777" w:rsidR="00A234B6" w:rsidRDefault="00322BF0">
      <w:pPr>
        <w:spacing w:after="160"/>
      </w:pPr>
      <w:r>
        <w:rPr>
          <w:rFonts w:ascii="Times New Roman" w:hAnsi="Times New Roman"/>
        </w:rPr>
        <w:lastRenderedPageBreak/>
        <w:t>Second, LLM-enhanced features depend on the Anthropic Claude API, introducing per-query costs and external service dependencies that may limit adoption in the most resource-constrained research settings. The platform's architecture supports complete disabling of LLM features while retaining full multi-source geocoding and quantitative validation, mitigating but not fully resolving this concern.</w:t>
      </w:r>
    </w:p>
    <w:p w14:paraId="7B03E3EF" w14:textId="77777777" w:rsidR="00A234B6" w:rsidRDefault="00322BF0">
      <w:pPr>
        <w:spacing w:after="160"/>
      </w:pPr>
      <w:r>
        <w:rPr>
          <w:rFonts w:ascii="Times New Roman" w:hAnsi="Times New Roman"/>
        </w:rPr>
        <w:t>Third, HDX health facility coverage is uneven across sub-Saharan African countries, with substantially stronger representation in countries with active humanitarian operations. The benefit of the HDX source is therefore greatest in precisely the countries with the highest burden of humanitarian health need but varies considerably across the continent.</w:t>
      </w:r>
    </w:p>
    <w:p w14:paraId="5F4C40C2" w14:textId="77777777" w:rsidR="00A234B6" w:rsidRDefault="00322BF0">
      <w:pPr>
        <w:spacing w:after="160"/>
      </w:pPr>
      <w:r>
        <w:rPr>
          <w:rFonts w:ascii="Times New Roman" w:hAnsi="Times New Roman"/>
        </w:rPr>
        <w:t>Fourth, administrative boundary dataset coverage within the platform instance depends on the availability of GeoJSON boundary files for each country, which must be obtained and loaded by the platform administrator. This creates a configuration burden for deployment in new country contexts.</w:t>
      </w:r>
    </w:p>
    <w:p w14:paraId="0B5D32EA" w14:textId="77777777" w:rsidR="00A234B6" w:rsidRDefault="00322BF0">
      <w:pPr>
        <w:spacing w:after="160"/>
      </w:pPr>
      <w:r>
        <w:rPr>
          <w:rFonts w:ascii="Times New Roman" w:hAnsi="Times New Roman"/>
        </w:rPr>
        <w:t>Fifth, the confidence scoring component weights (70% reverse geocoding similarity, 30% inter-source proximity) were determined through expert judgement and iterative testing rather than empirical optimisation against a labelled ground truth dataset. A formal calibration study using a large labelled corpus would strengthen the evidential basis for these weights and may identify context-specific optimal weightings.</w:t>
      </w:r>
    </w:p>
    <w:p w14:paraId="1176E5B8" w14:textId="77777777" w:rsidR="00A234B6" w:rsidRDefault="00322BF0">
      <w:r>
        <w:br w:type="page"/>
      </w:r>
    </w:p>
    <w:p w14:paraId="19578BDA" w14:textId="77777777" w:rsidR="00A234B6" w:rsidRDefault="00322BF0">
      <w:pPr>
        <w:pStyle w:val="Heading1"/>
      </w:pPr>
      <w:r>
        <w:rPr>
          <w:color w:val="1F497D"/>
        </w:rPr>
        <w:lastRenderedPageBreak/>
        <w:t>6. Conclusions</w:t>
      </w:r>
    </w:p>
    <w:p w14:paraId="4E9CF306" w14:textId="77777777" w:rsidR="00A234B6" w:rsidRDefault="00322BF0">
      <w:pPr>
        <w:spacing w:after="160"/>
      </w:pPr>
      <w:r>
        <w:rPr>
          <w:rFonts w:ascii="Times New Roman" w:hAnsi="Times New Roman"/>
        </w:rPr>
        <w:t>HarmonAIze addresses a critical and underserved methodological need in African health data science by providing open, validated, multi-source geocoding infrastructure accessible to research teams without specialised GIS or programming expertise. The platform's combination of six complementary geocoding sources, quantified two-component confidence scoring, LLM-enhanced semantic matching and contextual validation, AI-assisted interactive review, and persistent learning architecture substantially reduces the risk of spatial misassignment errors that would otherwise compromise the validity of environmental exposure characterisation, disease mapping, and healthcare accessibility analyses in sub-Saharan African research contexts.</w:t>
      </w:r>
    </w:p>
    <w:p w14:paraId="76241C4C" w14:textId="77777777" w:rsidR="00A234B6" w:rsidRDefault="00322BF0">
      <w:pPr>
        <w:spacing w:after="160"/>
      </w:pPr>
      <w:r>
        <w:rPr>
          <w:rFonts w:ascii="Times New Roman" w:hAnsi="Times New Roman"/>
        </w:rPr>
        <w:t>The identification of large inter-source coordinate discrepancies in a substantial proportion of locations in the study corpus provides empirical evidence that the spatial precision of African health research using single-source geocoding warrants systematic re-evaluation. HarmonAIze provides the infrastructure to address this quality gap prospectively for new studies and, through its validated dataset learning mechanism, to build a growing community knowledge base of verified coordinates for sub-Saharan African health facilities and study sites.</w:t>
      </w:r>
    </w:p>
    <w:p w14:paraId="625E77C2" w14:textId="77777777" w:rsidR="00A234B6" w:rsidRDefault="00322BF0">
      <w:pPr>
        <w:spacing w:after="160"/>
      </w:pPr>
      <w:r>
        <w:rPr>
          <w:rFonts w:ascii="Times New Roman" w:hAnsi="Times New Roman"/>
        </w:rPr>
        <w:t>The platform is freely available at www.harmonaize.uk. We invite research groups across the DS-I Africa consortium and the broader African health research community to adopt the platform, contribute validated location data, and collaborate on its continued development as shared open infrastructure for spatially precise African health research.</w:t>
      </w:r>
    </w:p>
    <w:p w14:paraId="5D2539E5" w14:textId="77777777" w:rsidR="00A234B6" w:rsidRDefault="00322BF0">
      <w:pPr>
        <w:pStyle w:val="Heading1"/>
      </w:pPr>
      <w:r>
        <w:rPr>
          <w:color w:val="1F497D"/>
        </w:rPr>
        <w:t>Declarations</w:t>
      </w:r>
    </w:p>
    <w:p w14:paraId="782B0006" w14:textId="77777777" w:rsidR="00A234B6" w:rsidRDefault="00322BF0">
      <w:pPr>
        <w:pStyle w:val="Heading2"/>
      </w:pPr>
      <w:r>
        <w:rPr>
          <w:color w:val="1F497D"/>
        </w:rPr>
        <w:t>Availability and Requirements</w:t>
      </w:r>
    </w:p>
    <w:p w14:paraId="24ACCD5C" w14:textId="77777777" w:rsidR="00A234B6" w:rsidRDefault="00322BF0">
      <w:pPr>
        <w:spacing w:after="160"/>
      </w:pPr>
      <w:r>
        <w:rPr>
          <w:rFonts w:ascii="Times New Roman" w:hAnsi="Times New Roman"/>
        </w:rPr>
        <w:t>Platform URL: www.harmonaize.uk</w:t>
      </w:r>
      <w:r>
        <w:rPr>
          <w:rFonts w:ascii="Times New Roman" w:hAnsi="Times New Roman"/>
        </w:rPr>
        <w:br/>
        <w:t>Source code: [GitHub URL - please add before submission]</w:t>
      </w:r>
      <w:r>
        <w:rPr>
          <w:rFonts w:ascii="Times New Roman" w:hAnsi="Times New Roman"/>
        </w:rPr>
        <w:br/>
        <w:t>Operating system: Platform independent (Docker deployment)</w:t>
      </w:r>
      <w:r>
        <w:rPr>
          <w:rFonts w:ascii="Times New Roman" w:hAnsi="Times New Roman"/>
        </w:rPr>
        <w:br/>
        <w:t>Programming language: Python 3.11</w:t>
      </w:r>
      <w:r>
        <w:rPr>
          <w:rFonts w:ascii="Times New Roman" w:hAnsi="Times New Roman"/>
        </w:rPr>
        <w:br/>
        <w:t>Licence: [Please specify: MIT / Apache 2.0 / other]</w:t>
      </w:r>
      <w:r>
        <w:rPr>
          <w:rFonts w:ascii="Times New Roman" w:hAnsi="Times New Roman"/>
        </w:rPr>
        <w:br/>
        <w:t>Any restrictions to use by non-academics: None</w:t>
      </w:r>
    </w:p>
    <w:p w14:paraId="144EFA8C" w14:textId="77777777" w:rsidR="00A234B6" w:rsidRDefault="00322BF0">
      <w:pPr>
        <w:pStyle w:val="Heading2"/>
      </w:pPr>
      <w:r>
        <w:rPr>
          <w:color w:val="1F497D"/>
        </w:rPr>
        <w:t>Competing Interests</w:t>
      </w:r>
    </w:p>
    <w:p w14:paraId="34EE8236" w14:textId="77777777" w:rsidR="00A234B6" w:rsidRDefault="00322BF0">
      <w:pPr>
        <w:spacing w:after="160"/>
      </w:pPr>
      <w:r>
        <w:rPr>
          <w:rFonts w:ascii="Times New Roman" w:hAnsi="Times New Roman"/>
        </w:rPr>
        <w:t>The authors declare that they have no competing interests.</w:t>
      </w:r>
    </w:p>
    <w:p w14:paraId="3D0611AE" w14:textId="77777777" w:rsidR="00A234B6" w:rsidRDefault="00322BF0">
      <w:pPr>
        <w:pStyle w:val="Heading2"/>
      </w:pPr>
      <w:r>
        <w:rPr>
          <w:color w:val="1F497D"/>
        </w:rPr>
        <w:t>Funding</w:t>
      </w:r>
    </w:p>
    <w:p w14:paraId="2CE125AA" w14:textId="77777777" w:rsidR="00A234B6" w:rsidRDefault="00322BF0">
      <w:pPr>
        <w:spacing w:after="160"/>
      </w:pPr>
      <w:r>
        <w:rPr>
          <w:rFonts w:ascii="Times New Roman" w:hAnsi="Times New Roman"/>
        </w:rPr>
        <w:t>[Please confirm: This work was supported by the DS-I Africa programme (HE2AT Center) funded by the National Institutes of Health under award number [AWARD NUMBER]. The funders had no role in study design, data collection and analysis, decision to publish, or preparation of the manuscript.]</w:t>
      </w:r>
    </w:p>
    <w:p w14:paraId="546EC259" w14:textId="77777777" w:rsidR="00A234B6" w:rsidRDefault="00322BF0">
      <w:pPr>
        <w:pStyle w:val="Heading2"/>
      </w:pPr>
      <w:r>
        <w:rPr>
          <w:color w:val="1F497D"/>
        </w:rPr>
        <w:t>Authors' Contributions</w:t>
      </w:r>
    </w:p>
    <w:p w14:paraId="3822B722" w14:textId="77777777" w:rsidR="00A234B6" w:rsidRDefault="00322BF0">
      <w:pPr>
        <w:spacing w:after="160"/>
      </w:pPr>
      <w:r>
        <w:rPr>
          <w:rFonts w:ascii="Times New Roman" w:hAnsi="Times New Roman"/>
        </w:rPr>
        <w:t xml:space="preserve">RS conceived the system, led platform development, conducted the evaluation, and drafted the manuscript. ZC contributed to system design and evaluation. PK, NL, NB, PW, CP contributed to </w:t>
      </w:r>
      <w:r>
        <w:rPr>
          <w:rFonts w:ascii="Times New Roman" w:hAnsi="Times New Roman"/>
        </w:rPr>
        <w:lastRenderedPageBreak/>
        <w:t>platform design, data provision, and critical review of the manuscript. TM provided supervision, conceptual guidance, and critical revision of the manuscript. All authors read and approved the final manuscript.</w:t>
      </w:r>
    </w:p>
    <w:p w14:paraId="26D87549" w14:textId="77777777" w:rsidR="00A234B6" w:rsidRDefault="00322BF0">
      <w:pPr>
        <w:pStyle w:val="Heading2"/>
      </w:pPr>
      <w:r>
        <w:rPr>
          <w:color w:val="1F497D"/>
        </w:rPr>
        <w:t>Acknowledgements</w:t>
      </w:r>
    </w:p>
    <w:p w14:paraId="59183481" w14:textId="77777777" w:rsidR="00A234B6" w:rsidRDefault="00322BF0">
      <w:pPr>
        <w:spacing w:after="160"/>
      </w:pPr>
      <w:r>
        <w:rPr>
          <w:rFonts w:ascii="Times New Roman" w:hAnsi="Times New Roman"/>
        </w:rPr>
        <w:t>[Please add any acknowledgements of data sources, computing infrastructure, or colleagues not listed as authors.]</w:t>
      </w:r>
    </w:p>
    <w:p w14:paraId="10A3218B" w14:textId="77777777" w:rsidR="00A234B6" w:rsidRDefault="00322BF0">
      <w:pPr>
        <w:pStyle w:val="Heading1"/>
      </w:pPr>
      <w:r>
        <w:rPr>
          <w:color w:val="1F497D"/>
        </w:rPr>
        <w:t>References</w:t>
      </w:r>
    </w:p>
    <w:p w14:paraId="5D4A7B74" w14:textId="77777777" w:rsidR="00A234B6" w:rsidRDefault="00322BF0">
      <w:pPr>
        <w:spacing w:after="160"/>
      </w:pPr>
      <w:r>
        <w:rPr>
          <w:rFonts w:ascii="Times New Roman" w:hAnsi="Times New Roman"/>
        </w:rPr>
        <w:t>Note: References below are indicative placeholders to be replaced with full citations in Vancouver format (as required by IJHG) before submission.</w:t>
      </w:r>
    </w:p>
    <w:p w14:paraId="0D6F068F" w14:textId="77777777" w:rsidR="00A234B6" w:rsidRDefault="00322BF0">
      <w:pPr>
        <w:pStyle w:val="ListNumber"/>
      </w:pPr>
      <w:r>
        <w:rPr>
          <w:rFonts w:ascii="Times New Roman" w:hAnsi="Times New Roman"/>
          <w:sz w:val="20"/>
        </w:rPr>
        <w:t>1. Ebi KL, et al. Climate and health research: where do we go from here? Ann N Y Acad Sci. 2017.</w:t>
      </w:r>
    </w:p>
    <w:p w14:paraId="775B4143" w14:textId="77777777" w:rsidR="00A234B6" w:rsidRDefault="00322BF0">
      <w:pPr>
        <w:pStyle w:val="ListNumber"/>
      </w:pPr>
      <w:r>
        <w:rPr>
          <w:rFonts w:ascii="Times New Roman" w:hAnsi="Times New Roman"/>
          <w:sz w:val="20"/>
        </w:rPr>
        <w:t>2. Patz JA, et al. Impact of regional climate change on human health. Nature. 2005;438(7066):310-317.</w:t>
      </w:r>
    </w:p>
    <w:p w14:paraId="02E392B7" w14:textId="77777777" w:rsidR="00A234B6" w:rsidRDefault="00322BF0">
      <w:pPr>
        <w:pStyle w:val="ListNumber"/>
      </w:pPr>
      <w:r>
        <w:rPr>
          <w:rFonts w:ascii="Times New Roman" w:hAnsi="Times New Roman"/>
          <w:sz w:val="20"/>
        </w:rPr>
        <w:t>3. Tanser F, et al. Determinants of healthcare facility utilisation in rural KwaZulu-Natal. Trop Med Int Health. 2006.</w:t>
      </w:r>
    </w:p>
    <w:p w14:paraId="6F803531" w14:textId="77777777" w:rsidR="00A234B6" w:rsidRDefault="00322BF0">
      <w:pPr>
        <w:pStyle w:val="ListNumber"/>
      </w:pPr>
      <w:r>
        <w:rPr>
          <w:rFonts w:ascii="Times New Roman" w:hAnsi="Times New Roman"/>
          <w:sz w:val="20"/>
        </w:rPr>
        <w:t>4. Ouma PO, et al. Access to emergency hospital care provided by the public sector in sub-Saharan Africa. Lancet Glob Health. 2018.</w:t>
      </w:r>
    </w:p>
    <w:p w14:paraId="24859A48" w14:textId="77777777" w:rsidR="00A234B6" w:rsidRDefault="00322BF0">
      <w:pPr>
        <w:pStyle w:val="ListNumber"/>
      </w:pPr>
      <w:r>
        <w:rPr>
          <w:rFonts w:ascii="Times New Roman" w:hAnsi="Times New Roman"/>
          <w:sz w:val="20"/>
        </w:rPr>
        <w:t>5. Bhatt S, et al. The effect of malaria control on Plasmodium falciparum in Africa. Nature. 2015.</w:t>
      </w:r>
    </w:p>
    <w:p w14:paraId="347C81EA" w14:textId="77777777" w:rsidR="00A234B6" w:rsidRDefault="00322BF0">
      <w:pPr>
        <w:pStyle w:val="ListNumber"/>
      </w:pPr>
      <w:r>
        <w:rPr>
          <w:rFonts w:ascii="Times New Roman" w:hAnsi="Times New Roman"/>
          <w:sz w:val="20"/>
        </w:rPr>
        <w:t>6. Hay SI, et al. Global mapping of infectious disease. Philos Trans R Soc Lond B Biol Sci. 2013.</w:t>
      </w:r>
    </w:p>
    <w:p w14:paraId="2790CBF8" w14:textId="77777777" w:rsidR="00A234B6" w:rsidRDefault="00322BF0">
      <w:pPr>
        <w:pStyle w:val="ListNumber"/>
      </w:pPr>
      <w:r>
        <w:rPr>
          <w:rFonts w:ascii="Times New Roman" w:hAnsi="Times New Roman"/>
          <w:sz w:val="20"/>
        </w:rPr>
        <w:t>7. Friesen J, et al. Where are the urban poor? A spatial analysis of household poverty in sub-Saharan Africa. Habitat Int. 2018.</w:t>
      </w:r>
    </w:p>
    <w:p w14:paraId="78EDBA63" w14:textId="77777777" w:rsidR="00A234B6" w:rsidRDefault="00322BF0">
      <w:pPr>
        <w:pStyle w:val="ListNumber"/>
      </w:pPr>
      <w:r>
        <w:rPr>
          <w:rFonts w:ascii="Times New Roman" w:hAnsi="Times New Roman"/>
          <w:sz w:val="20"/>
        </w:rPr>
        <w:t>8. [cite for secondary dataset location coding practice in African health research]</w:t>
      </w:r>
    </w:p>
    <w:p w14:paraId="53146B3D" w14:textId="77777777" w:rsidR="00A234B6" w:rsidRDefault="00322BF0">
      <w:pPr>
        <w:pStyle w:val="ListNumber"/>
      </w:pPr>
      <w:r>
        <w:rPr>
          <w:rFonts w:ascii="Times New Roman" w:hAnsi="Times New Roman"/>
          <w:sz w:val="20"/>
        </w:rPr>
        <w:t>9. Jacquez GM. A research agenda: does geocoding positional error matter in health GIS studies? Spat Spatiotemporal Epidemiol. 2012.</w:t>
      </w:r>
    </w:p>
    <w:p w14:paraId="5162E5FD" w14:textId="77777777" w:rsidR="00A234B6" w:rsidRDefault="00322BF0">
      <w:pPr>
        <w:pStyle w:val="ListNumber"/>
      </w:pPr>
      <w:r>
        <w:rPr>
          <w:rFonts w:ascii="Times New Roman" w:hAnsi="Times New Roman"/>
          <w:sz w:val="20"/>
        </w:rPr>
        <w:t>10. [cite for systematic bias from geocoding error in exposure assignment]</w:t>
      </w:r>
    </w:p>
    <w:p w14:paraId="5A1E0B27" w14:textId="77777777" w:rsidR="00A234B6" w:rsidRDefault="00322BF0">
      <w:pPr>
        <w:pStyle w:val="ListNumber"/>
      </w:pPr>
      <w:r>
        <w:rPr>
          <w:rFonts w:ascii="Times New Roman" w:hAnsi="Times New Roman"/>
          <w:sz w:val="20"/>
        </w:rPr>
        <w:t>11. Zandbergen PA. Geocoding quality and implications for spatial analysis of administrative health data. GeoJournal. 2009.</w:t>
      </w:r>
    </w:p>
    <w:p w14:paraId="4D9EB4C1" w14:textId="77777777" w:rsidR="00A234B6" w:rsidRDefault="00322BF0">
      <w:pPr>
        <w:pStyle w:val="ListNumber"/>
      </w:pPr>
      <w:r>
        <w:rPr>
          <w:rFonts w:ascii="Times New Roman" w:hAnsi="Times New Roman"/>
          <w:sz w:val="20"/>
        </w:rPr>
        <w:t>12. Cayo MR, Talbot TO. Positional error in automated geocoding of residential addresses. Int J Health Geogr. 2003.</w:t>
      </w:r>
    </w:p>
    <w:p w14:paraId="5C8924EE" w14:textId="77777777" w:rsidR="00A234B6" w:rsidRDefault="00322BF0">
      <w:pPr>
        <w:pStyle w:val="ListNumber"/>
      </w:pPr>
      <w:r>
        <w:rPr>
          <w:rFonts w:ascii="Times New Roman" w:hAnsi="Times New Roman"/>
          <w:sz w:val="20"/>
        </w:rPr>
        <w:t>13. Roongpiboonsopit D, Karimi HA. Comparative evaluation and analysis of online geocoding services. Int J Geogr Inf Sci. 2010.</w:t>
      </w:r>
    </w:p>
    <w:p w14:paraId="145AAFFB" w14:textId="77777777" w:rsidR="00A234B6" w:rsidRDefault="00322BF0">
      <w:pPr>
        <w:pStyle w:val="ListNumber"/>
      </w:pPr>
      <w:r>
        <w:rPr>
          <w:rFonts w:ascii="Times New Roman" w:hAnsi="Times New Roman"/>
          <w:sz w:val="20"/>
        </w:rPr>
        <w:t>14. [cite for false-positive geocoding results in commercial APIs]</w:t>
      </w:r>
    </w:p>
    <w:p w14:paraId="761DEAC6" w14:textId="77777777" w:rsidR="00A234B6" w:rsidRDefault="00322BF0">
      <w:pPr>
        <w:pStyle w:val="ListNumber"/>
      </w:pPr>
      <w:r>
        <w:rPr>
          <w:rFonts w:ascii="Times New Roman" w:hAnsi="Times New Roman"/>
          <w:sz w:val="20"/>
        </w:rPr>
        <w:t>15. Goldberg DW, et al. A systematic review of validated methods for identifying geocoding error. Pharmacoepidemiol Drug Saf. 2013.</w:t>
      </w:r>
    </w:p>
    <w:p w14:paraId="74C4AFC7" w14:textId="77777777" w:rsidR="00A234B6" w:rsidRDefault="00322BF0">
      <w:pPr>
        <w:pStyle w:val="ListNumber"/>
      </w:pPr>
      <w:r>
        <w:rPr>
          <w:rFonts w:ascii="Times New Roman" w:hAnsi="Times New Roman"/>
          <w:sz w:val="20"/>
        </w:rPr>
        <w:t>16. Stauber C, et al. Completeness and positional accuracy of OpenStreetMap health facility data. J Health Geogr. 2019.</w:t>
      </w:r>
    </w:p>
    <w:p w14:paraId="38985D41" w14:textId="77777777" w:rsidR="00A234B6" w:rsidRDefault="00322BF0">
      <w:pPr>
        <w:pStyle w:val="ListNumber"/>
      </w:pPr>
      <w:r>
        <w:rPr>
          <w:rFonts w:ascii="Times New Roman" w:hAnsi="Times New Roman"/>
          <w:sz w:val="20"/>
        </w:rPr>
        <w:t>17. [cite for address geocoding methods in health research]</w:t>
      </w:r>
    </w:p>
    <w:p w14:paraId="483E591C" w14:textId="77777777" w:rsidR="00A234B6" w:rsidRDefault="00322BF0">
      <w:pPr>
        <w:pStyle w:val="ListNumber"/>
      </w:pPr>
      <w:r>
        <w:rPr>
          <w:rFonts w:ascii="Times New Roman" w:hAnsi="Times New Roman"/>
          <w:sz w:val="20"/>
        </w:rPr>
        <w:t>18. Jacquez GM. Spatial analysis in epidemiology: back to the future. Spat Spatiotemporal Epidemiol. 2012.</w:t>
      </w:r>
    </w:p>
    <w:p w14:paraId="1AED607D" w14:textId="77777777" w:rsidR="00A234B6" w:rsidRDefault="00322BF0">
      <w:pPr>
        <w:pStyle w:val="ListNumber"/>
      </w:pPr>
      <w:r>
        <w:rPr>
          <w:rFonts w:ascii="Times New Roman" w:hAnsi="Times New Roman"/>
          <w:sz w:val="20"/>
        </w:rPr>
        <w:t>19. OCHA. Humanitarian Data Exchange. hdx.hdxsolutions.org. Accessed 2025.</w:t>
      </w:r>
    </w:p>
    <w:p w14:paraId="1F9B62AB" w14:textId="77777777" w:rsidR="00A234B6" w:rsidRDefault="00322BF0">
      <w:pPr>
        <w:pStyle w:val="ListNumber"/>
      </w:pPr>
      <w:r>
        <w:rPr>
          <w:rFonts w:ascii="Times New Roman" w:hAnsi="Times New Roman"/>
          <w:sz w:val="20"/>
        </w:rPr>
        <w:t>20. OpenStreetMap Foundation. OpenStreetMap. www.openstreetmap.org. Accessed 2025.</w:t>
      </w:r>
    </w:p>
    <w:p w14:paraId="272509FF" w14:textId="77777777" w:rsidR="00A234B6" w:rsidRDefault="00322BF0">
      <w:pPr>
        <w:pStyle w:val="ListNumber"/>
      </w:pPr>
      <w:r>
        <w:rPr>
          <w:rFonts w:ascii="Times New Roman" w:hAnsi="Times New Roman"/>
          <w:sz w:val="20"/>
        </w:rPr>
        <w:t>21. [cite for machine learning address parsing]</w:t>
      </w:r>
    </w:p>
    <w:p w14:paraId="52FD473D" w14:textId="77777777" w:rsidR="00A234B6" w:rsidRDefault="00322BF0">
      <w:pPr>
        <w:pStyle w:val="ListNumber"/>
      </w:pPr>
      <w:r>
        <w:rPr>
          <w:rFonts w:ascii="Times New Roman" w:hAnsi="Times New Roman"/>
          <w:sz w:val="20"/>
        </w:rPr>
        <w:t>22. [cite for address standardisation methods]</w:t>
      </w:r>
    </w:p>
    <w:p w14:paraId="59A2D390" w14:textId="77777777" w:rsidR="00A234B6" w:rsidRDefault="00322BF0">
      <w:pPr>
        <w:pStyle w:val="ListNumber"/>
      </w:pPr>
      <w:r>
        <w:rPr>
          <w:rFonts w:ascii="Times New Roman" w:hAnsi="Times New Roman"/>
          <w:sz w:val="20"/>
        </w:rPr>
        <w:lastRenderedPageBreak/>
        <w:t>23. Leidner JL, Lieberman MD. Detecting geographical references in the form of place names. SIGSPATIAL. 2011.</w:t>
      </w:r>
    </w:p>
    <w:p w14:paraId="569B2470" w14:textId="77777777" w:rsidR="00A234B6" w:rsidRDefault="00322BF0">
      <w:pPr>
        <w:pStyle w:val="ListNumber"/>
      </w:pPr>
      <w:r>
        <w:rPr>
          <w:rFonts w:ascii="Times New Roman" w:hAnsi="Times New Roman"/>
          <w:sz w:val="20"/>
        </w:rPr>
        <w:t>24. Gritta M, et al. What's missing in geographical parsing? Lang Resour Eval. 2018.</w:t>
      </w:r>
    </w:p>
    <w:p w14:paraId="18D1B076" w14:textId="77777777" w:rsidR="00A234B6" w:rsidRDefault="00322BF0">
      <w:pPr>
        <w:pStyle w:val="ListNumber"/>
      </w:pPr>
      <w:r>
        <w:rPr>
          <w:rFonts w:ascii="Times New Roman" w:hAnsi="Times New Roman"/>
          <w:sz w:val="20"/>
        </w:rPr>
        <w:t>25. Mai G, et al. On the opportunities and challenges of foundation models for geospatial artificial intelligence. Ann Am Assoc Geogr. 2023.</w:t>
      </w:r>
    </w:p>
    <w:p w14:paraId="3F6B5531" w14:textId="77777777" w:rsidR="00A234B6" w:rsidRDefault="00322BF0">
      <w:pPr>
        <w:pStyle w:val="ListNumber"/>
      </w:pPr>
      <w:r>
        <w:rPr>
          <w:rFonts w:ascii="Times New Roman" w:hAnsi="Times New Roman"/>
          <w:sz w:val="20"/>
        </w:rPr>
        <w:t>26. [cite for LLM spatial reasoning evaluation]</w:t>
      </w:r>
    </w:p>
    <w:p w14:paraId="13B006BB" w14:textId="77777777" w:rsidR="00A234B6" w:rsidRDefault="00322BF0">
      <w:pPr>
        <w:pStyle w:val="ListNumber"/>
      </w:pPr>
      <w:r>
        <w:rPr>
          <w:rFonts w:ascii="Times New Roman" w:hAnsi="Times New Roman"/>
          <w:sz w:val="20"/>
        </w:rPr>
        <w:t>27. WHO. Health facility registries. www.who.int. Accessed 2025.</w:t>
      </w:r>
    </w:p>
    <w:p w14:paraId="62FEE3D0" w14:textId="77777777" w:rsidR="00A234B6" w:rsidRDefault="00322BF0">
      <w:pPr>
        <w:pStyle w:val="ListNumber"/>
      </w:pPr>
      <w:r>
        <w:rPr>
          <w:rFonts w:ascii="Times New Roman" w:hAnsi="Times New Roman"/>
          <w:sz w:val="20"/>
        </w:rPr>
        <w:t>28. Jordahl K, et al. GeoPandas: open-source geospatial operations on Python. GitHub. 2020.</w:t>
      </w:r>
    </w:p>
    <w:p w14:paraId="67767F06" w14:textId="77777777" w:rsidR="00A234B6" w:rsidRDefault="00322BF0">
      <w:pPr>
        <w:pStyle w:val="ListNumber"/>
      </w:pPr>
      <w:r>
        <w:rPr>
          <w:rFonts w:ascii="Times New Roman" w:hAnsi="Times New Roman"/>
          <w:sz w:val="20"/>
        </w:rPr>
        <w:t>29. DHIS2. District Health Information Software 2. www.dhis2.org. Accessed 2025.</w:t>
      </w:r>
    </w:p>
    <w:sectPr w:rsidR="00A234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706927">
    <w:abstractNumId w:val="8"/>
  </w:num>
  <w:num w:numId="2" w16cid:durableId="1882132461">
    <w:abstractNumId w:val="6"/>
  </w:num>
  <w:num w:numId="3" w16cid:durableId="1719208858">
    <w:abstractNumId w:val="5"/>
  </w:num>
  <w:num w:numId="4" w16cid:durableId="1455178201">
    <w:abstractNumId w:val="4"/>
  </w:num>
  <w:num w:numId="5" w16cid:durableId="1082262772">
    <w:abstractNumId w:val="7"/>
  </w:num>
  <w:num w:numId="6" w16cid:durableId="423383628">
    <w:abstractNumId w:val="3"/>
  </w:num>
  <w:num w:numId="7" w16cid:durableId="1466661560">
    <w:abstractNumId w:val="2"/>
  </w:num>
  <w:num w:numId="8" w16cid:durableId="542904917">
    <w:abstractNumId w:val="1"/>
  </w:num>
  <w:num w:numId="9" w16cid:durableId="442068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A8F"/>
    <w:rsid w:val="0015074B"/>
    <w:rsid w:val="00224A9B"/>
    <w:rsid w:val="00275CE9"/>
    <w:rsid w:val="0029639D"/>
    <w:rsid w:val="00322BF0"/>
    <w:rsid w:val="00326F90"/>
    <w:rsid w:val="003A6E8F"/>
    <w:rsid w:val="00545A67"/>
    <w:rsid w:val="00A234B6"/>
    <w:rsid w:val="00AA1D8D"/>
    <w:rsid w:val="00B47730"/>
    <w:rsid w:val="00CB0664"/>
    <w:rsid w:val="00F448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AC1C8"/>
  <w14:defaultImageDpi w14:val="300"/>
  <w15:docId w15:val="{27A37B50-0C42-41C7-9B05-66D9325EA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6431</Words>
  <Characters>41949</Characters>
  <Application>Microsoft Office Word</Application>
  <DocSecurity>0</DocSecurity>
  <Lines>748</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Rutendo Sibanda</cp:lastModifiedBy>
  <cp:revision>4</cp:revision>
  <dcterms:created xsi:type="dcterms:W3CDTF">2026-04-07T14:18:00Z</dcterms:created>
  <dcterms:modified xsi:type="dcterms:W3CDTF">2026-04-28T14:10:00Z</dcterms:modified>
  <cp:category/>
</cp:coreProperties>
</file>