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Phoenix - Steering Group</w:t>
      </w:r>
    </w:p>
    <w:p>
      <w:r>
        <w:t>Date: 30 June 2026</w:t>
      </w:r>
    </w:p>
    <w:p>
      <w:r>
        <w:t>Attendees: Priya Nair, Tom Becker, Aisha Khan, Marco Rossi, Helen Ward (Finance Director)</w:t>
      </w:r>
    </w:p>
    <w:p>
      <w:pPr>
        <w:pStyle w:val="Heading2"/>
      </w:pPr>
      <w:r>
        <w:t>Decisions</w:t>
      </w:r>
    </w:p>
    <w:p>
      <w:pPr>
        <w:pStyle w:val="ListBullet"/>
      </w:pPr>
      <w:r>
        <w:t>Go-live target confirmed for end of November 2026.</w:t>
      </w:r>
    </w:p>
    <w:p>
      <w:pPr>
        <w:pStyle w:val="ListBullet"/>
      </w:pPr>
      <w:r>
        <w:t>Customers must be able to update their contact details (email, phone, postal address) in the portal.</w:t>
      </w:r>
    </w:p>
    <w:p>
      <w:pPr>
        <w:pStyle w:val="ListBullet"/>
      </w:pPr>
      <w:r>
        <w:t>Payment method scope (card only vs. card + direct debit at launch) NOT resolved - Helen and Priya to agree by 10 July.</w:t>
      </w:r>
    </w:p>
    <w:p>
      <w:pPr>
        <w:pStyle w:val="Heading2"/>
      </w:pPr>
      <w:r>
        <w:t>Budget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Build (one-off)</w:t>
            </w:r>
          </w:p>
        </w:tc>
        <w:tc>
          <w:tcPr>
            <w:tcW w:type="dxa" w:w="4320"/>
          </w:tcPr>
          <w:p>
            <w:r>
              <w:t>GBP 1.2m</w:t>
            </w:r>
          </w:p>
        </w:tc>
      </w:tr>
      <w:tr>
        <w:tc>
          <w:tcPr>
            <w:tcW w:type="dxa" w:w="4320"/>
          </w:tcPr>
          <w:p>
            <w:r>
              <w:t>Run (per year)</w:t>
            </w:r>
          </w:p>
        </w:tc>
        <w:tc>
          <w:tcPr>
            <w:tcW w:type="dxa" w:w="4320"/>
          </w:tcPr>
          <w:p>
            <w:r>
              <w:t>GBP 180k</w:t>
            </w:r>
          </w:p>
        </w:tc>
      </w:tr>
      <w:tr>
        <w:tc>
          <w:tcPr>
            <w:tcW w:type="dxa" w:w="4320"/>
          </w:tcPr>
          <w:p>
            <w:r>
              <w:t>Contingency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