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07E4" w14:textId="22F40348" w:rsidR="002606ED" w:rsidRPr="002606ED" w:rsidRDefault="007951FE" w:rsidP="00260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Members : Shoaib Bin Kabir , Syed Shafkat Raiyan , Hamim Ibne Rahman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2606ED" w:rsidRPr="002606ED">
        <w:rPr>
          <w:rFonts w:ascii="Times New Roman" w:hAnsi="Times New Roman" w:cs="Times New Roman"/>
          <w:b/>
          <w:bCs/>
        </w:rPr>
        <w:t>Project Overview: SE-STGCN for Bangla Sign Language Recognition with Few-Shot Extensibility</w:t>
      </w:r>
    </w:p>
    <w:p w14:paraId="377FAA2B" w14:textId="6324FA78" w:rsidR="002606ED" w:rsidRPr="002606ED" w:rsidRDefault="002606ED" w:rsidP="002606ED">
      <w:p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  <w:b/>
          <w:bCs/>
        </w:rPr>
        <w:t>1. Custom Dataset &amp; Lateral Augmentation Pipeline</w:t>
      </w:r>
    </w:p>
    <w:p w14:paraId="7834F735" w14:textId="670910F5" w:rsidR="002606ED" w:rsidRPr="002606ED" w:rsidRDefault="002606ED" w:rsidP="00260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Constructed a highly controlled skeletal dataset of 27,201 continuous 60 FPS video clips spanning 184 Bangla Sign Language (BdSL) gestures from 12 signers. </w:t>
      </w:r>
    </w:p>
    <w:p w14:paraId="52C152A1" w14:textId="082F952C" w:rsidR="002606ED" w:rsidRPr="002606ED" w:rsidRDefault="002606ED" w:rsidP="00260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Implemented an automated FFmpeg-based lateral augmentation pipeline (horizontal flipping) to mathematically balance left- and right-handed gesture variants, expanding the corpus to 49,721 tensor sequences across 342 discrete classes. </w:t>
      </w:r>
    </w:p>
    <w:p w14:paraId="56E63174" w14:textId="3641E415" w:rsidR="002606ED" w:rsidRPr="002606ED" w:rsidRDefault="002606ED" w:rsidP="00260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Utilized MediaPipe Holistic to extract 68-node 3D topological graphs capturing precise pose, face anchors, and hand joint coordinates. </w:t>
      </w:r>
    </w:p>
    <w:p w14:paraId="58040BC0" w14:textId="77777777" w:rsidR="002606ED" w:rsidRPr="002606ED" w:rsidRDefault="002606ED" w:rsidP="00260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Normalized the spatial-temporal data by applying a 90-frame temporal interpolation and spatial zero-centering to ensure viewpoint and scale invariance across different signers. </w:t>
      </w:r>
    </w:p>
    <w:p w14:paraId="2E43B212" w14:textId="77777777" w:rsidR="002606ED" w:rsidRPr="002606ED" w:rsidRDefault="002606ED" w:rsidP="002606ED">
      <w:pPr>
        <w:rPr>
          <w:rFonts w:ascii="Times New Roman" w:hAnsi="Times New Roman" w:cs="Times New Roman"/>
        </w:rPr>
      </w:pPr>
    </w:p>
    <w:p w14:paraId="5A2E1801" w14:textId="65804C03" w:rsidR="002606ED" w:rsidRDefault="002606ED" w:rsidP="002606ED">
      <w:pPr>
        <w:pStyle w:val="Heading1"/>
        <w:spacing w:line="360" w:lineRule="auto"/>
        <w:ind w:left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606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1C43B" wp14:editId="7971B9BC">
            <wp:extent cx="1866900" cy="2707005"/>
            <wp:effectExtent l="0" t="0" r="0" b="0"/>
            <wp:docPr id="484747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7983" name="Picture 4847479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603" cy="271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6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72B41" wp14:editId="5EC192F7">
            <wp:extent cx="1799590" cy="2713290"/>
            <wp:effectExtent l="0" t="0" r="0" b="0"/>
            <wp:docPr id="203723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31374" name="Picture 2037231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641" cy="274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6ED">
        <w:rPr>
          <w:rFonts w:ascii="Times New Roman" w:hAnsi="Times New Roman" w:cs="Times New Roman"/>
        </w:rPr>
        <w:br/>
      </w:r>
      <w:r w:rsidRPr="002606ED">
        <w:rPr>
          <w:rFonts w:ascii="Times New Roman" w:hAnsi="Times New Roman" w:cs="Times New Roman"/>
          <w:color w:val="auto"/>
          <w:sz w:val="24"/>
          <w:szCs w:val="24"/>
        </w:rPr>
        <w:t>Figure 1- Visual representation of the dataset extraction process, showing the source holistic tracking (a) and the isolated spatial graph (b) that forms the input tensor.</w:t>
      </w:r>
    </w:p>
    <w:p w14:paraId="74877FFF" w14:textId="77777777" w:rsidR="002606ED" w:rsidRPr="002606ED" w:rsidRDefault="002606ED" w:rsidP="002606ED"/>
    <w:p w14:paraId="601C5167" w14:textId="77777777" w:rsidR="002606ED" w:rsidRDefault="002606ED" w:rsidP="002606ED"/>
    <w:p w14:paraId="7438F3C6" w14:textId="77777777" w:rsidR="002606ED" w:rsidRDefault="002606ED" w:rsidP="002606ED"/>
    <w:p w14:paraId="68C50AAF" w14:textId="77777777" w:rsidR="002606ED" w:rsidRPr="002606ED" w:rsidRDefault="002606ED" w:rsidP="002606ED"/>
    <w:p w14:paraId="1C1524CA" w14:textId="35F3692D" w:rsidR="002606ED" w:rsidRPr="002606ED" w:rsidRDefault="002606ED" w:rsidP="002606ED">
      <w:p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  <w:b/>
          <w:bCs/>
        </w:rPr>
        <w:t>2. SE-STGCN Architectural Design</w:t>
      </w:r>
    </w:p>
    <w:p w14:paraId="5E1AAD5A" w14:textId="2F21CB61" w:rsidR="002606ED" w:rsidRPr="002606ED" w:rsidRDefault="002606ED" w:rsidP="00260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Engineered a 9-layer Spatial-Temporal Graph Convolutional Network (ST-GCN) to process the </w:t>
      </w:r>
      <m:oMath>
        <m:r>
          <w:rPr>
            <w:rFonts w:ascii="Cambria Math" w:hAnsi="Cambria Math" w:cs="Times New Roman"/>
          </w:rPr>
          <m:t>3×90×68</m:t>
        </m:r>
      </m:oMath>
      <w:r w:rsidRPr="002606ED">
        <w:rPr>
          <w:rFonts w:ascii="Times New Roman" w:hAnsi="Times New Roman" w:cs="Times New Roman"/>
        </w:rPr>
        <w:t xml:space="preserve"> input tensors, progressively compressing the temporal timeline while expanding feature channels from 64 to 256.</w:t>
      </w:r>
    </w:p>
    <w:p w14:paraId="06A54F7A" w14:textId="418D3C8E" w:rsidR="002606ED" w:rsidRPr="002606ED" w:rsidRDefault="002606ED" w:rsidP="00260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Integrated Squeeze-and-Excitation (SE) channel attention modules into each block to dynamically recalibrate feature weights, explicitly prioritizing intricate knuckle curvature and distal finger topologies over general body posture. </w:t>
      </w:r>
    </w:p>
    <w:p w14:paraId="425F5EB2" w14:textId="39AB835E" w:rsidR="002606ED" w:rsidRPr="002606ED" w:rsidRDefault="002606ED" w:rsidP="00260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>Applied aggressive regularization during training using continuous Gaussian coordinate noise injection (</w:t>
      </w:r>
      <m:oMath>
        <m:r>
          <w:rPr>
            <w:rFonts w:ascii="Cambria Math" w:hAnsi="Cambria Math" w:cs="Times New Roman"/>
          </w:rPr>
          <m:t>σ=0.005</m:t>
        </m:r>
      </m:oMath>
      <w:r w:rsidRPr="002606ED">
        <w:rPr>
          <w:rFonts w:ascii="Times New Roman" w:hAnsi="Times New Roman" w:cs="Times New Roman"/>
        </w:rPr>
        <w:t>) and Label Smoothing Cross-Entropy (</w:t>
      </w:r>
      <m:oMath>
        <m:r>
          <w:rPr>
            <w:rFonts w:ascii="Cambria Math" w:hAnsi="Cambria Math" w:cs="Times New Roman"/>
          </w:rPr>
          <m:t>α=0.1</m:t>
        </m:r>
      </m:oMath>
      <w:r w:rsidRPr="002606ED">
        <w:rPr>
          <w:rFonts w:ascii="Times New Roman" w:hAnsi="Times New Roman" w:cs="Times New Roman"/>
        </w:rPr>
        <w:t xml:space="preserve">) to prevent overconfidence on visually identical homophones. </w:t>
      </w:r>
    </w:p>
    <w:p w14:paraId="5FC0AF33" w14:textId="5D0F7755" w:rsidR="002606ED" w:rsidRPr="002606ED" w:rsidRDefault="002606ED" w:rsidP="00260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Optimized the network using the AdamW optimizer alongside a Cosine Annealing learning rate schedule over a 50-epoch training cycle.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CC3A97E" w14:textId="6F765403" w:rsidR="002606ED" w:rsidRPr="002606ED" w:rsidRDefault="002606ED" w:rsidP="002606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EFE2C7" wp14:editId="4F49D6C8">
            <wp:extent cx="6245860" cy="2714625"/>
            <wp:effectExtent l="0" t="0" r="2540" b="9525"/>
            <wp:docPr id="5201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59689" name="Picture 520159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246" cy="27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6C649E">
        <w:t xml:space="preserve">Figure </w:t>
      </w:r>
      <w:r>
        <w:t>2</w:t>
      </w:r>
      <w:r w:rsidRPr="006C649E">
        <w:t xml:space="preserve"> –</w:t>
      </w:r>
      <w:r w:rsidRPr="00B46DD1">
        <w:t xml:space="preserve"> </w:t>
      </w:r>
      <w:r>
        <w:t>System</w:t>
      </w:r>
      <w:r w:rsidRPr="00B46DD1">
        <w:t xml:space="preserve"> Architecture of the SE-STGCN Block</w:t>
      </w:r>
    </w:p>
    <w:p w14:paraId="1EC316E7" w14:textId="4457E2AD" w:rsidR="002606ED" w:rsidRPr="002606ED" w:rsidRDefault="002606ED" w:rsidP="00260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lastRenderedPageBreak/>
        <w:br/>
      </w:r>
      <w:r>
        <w:rPr>
          <w:rFonts w:ascii="Times New Roman" w:hAnsi="Times New Roman" w:cs="Times New Roman"/>
          <w:b/>
          <w:bCs/>
        </w:rPr>
        <w:br/>
      </w:r>
      <w:r w:rsidRPr="002606ED">
        <w:rPr>
          <w:rFonts w:ascii="Times New Roman" w:hAnsi="Times New Roman" w:cs="Times New Roman"/>
          <w:b/>
          <w:bCs/>
        </w:rPr>
        <w:t>3. Few-Shot Class-Incremental Learning (FSCIL)</w:t>
      </w:r>
    </w:p>
    <w:p w14:paraId="19E205AF" w14:textId="10B5BBF1" w:rsidR="002606ED" w:rsidRPr="002606ED" w:rsidRDefault="002606ED" w:rsidP="002606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Designed the architecture to support post-deployment vocabulary expansion without requiring resource-intensive retraining or risking catastrophic forgetting. </w:t>
      </w:r>
    </w:p>
    <w:p w14:paraId="2DEEC336" w14:textId="3ABBE410" w:rsidR="002606ED" w:rsidRPr="002606ED" w:rsidRDefault="002606ED" w:rsidP="002606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Programmatically detached the classification head post-training, utilizing the frozen 9-layer ST-GCN backbone as a pure feature extractor to generate 256-dimensional spatial embeddings. </w:t>
      </w:r>
    </w:p>
    <w:p w14:paraId="3BC3B2F4" w14:textId="77777777" w:rsidR="002606ED" w:rsidRPr="002606ED" w:rsidRDefault="002606ED" w:rsidP="002606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</w:rPr>
        <w:t xml:space="preserve">Executed a 30-shot prototype-based inference protocol to accurately map and classify completely novel, previously unseen gestures using nearest-neighbor logic. </w:t>
      </w:r>
    </w:p>
    <w:p w14:paraId="777CA3B0" w14:textId="369DDF2B" w:rsidR="002606ED" w:rsidRDefault="002606ED" w:rsidP="002606ED">
      <w:pPr>
        <w:pStyle w:val="Heading1"/>
        <w:spacing w:after="240" w:line="360" w:lineRule="auto"/>
        <w:ind w:left="432"/>
        <w:jc w:val="center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E80CF1" wp14:editId="18CEC435">
            <wp:extent cx="5943600" cy="3813175"/>
            <wp:effectExtent l="0" t="0" r="0" b="0"/>
            <wp:docPr id="14537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31327" name="Picture 14537313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2606ED">
        <w:rPr>
          <w:color w:val="000000" w:themeColor="text1"/>
          <w:sz w:val="24"/>
          <w:szCs w:val="24"/>
        </w:rPr>
        <w:t xml:space="preserve">Figure 3 – </w:t>
      </w:r>
      <w:r w:rsidRPr="002606ED">
        <w:rPr>
          <w:color w:val="000000" w:themeColor="text1"/>
          <w:sz w:val="24"/>
          <w:szCs w:val="24"/>
        </w:rPr>
        <w:t>Three Phase Architecture</w:t>
      </w:r>
    </w:p>
    <w:p w14:paraId="0FC09012" w14:textId="77777777" w:rsidR="002606ED" w:rsidRDefault="002606ED" w:rsidP="002606ED"/>
    <w:p w14:paraId="3407E992" w14:textId="77777777" w:rsidR="002606ED" w:rsidRDefault="002606ED" w:rsidP="002606ED"/>
    <w:p w14:paraId="255B5B28" w14:textId="77777777" w:rsidR="002606ED" w:rsidRDefault="002606ED" w:rsidP="002606ED"/>
    <w:p w14:paraId="64862BE1" w14:textId="77777777" w:rsidR="002606ED" w:rsidRDefault="002606ED" w:rsidP="002606ED"/>
    <w:p w14:paraId="753A28F8" w14:textId="77777777" w:rsidR="002606ED" w:rsidRPr="002606ED" w:rsidRDefault="002606ED" w:rsidP="002606ED"/>
    <w:p w14:paraId="42B3732C" w14:textId="22EC8A77" w:rsidR="002606ED" w:rsidRPr="002606ED" w:rsidRDefault="002606ED" w:rsidP="002606ED">
      <w:p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  <w:b/>
          <w:bCs/>
        </w:rPr>
        <w:t>4. Empirical Results &amp; Performance Highlights</w:t>
      </w:r>
    </w:p>
    <w:p w14:paraId="7CC8DD12" w14:textId="54210DF4" w:rsidR="002606ED" w:rsidRPr="002606ED" w:rsidRDefault="002606ED" w:rsidP="002606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  <w:b/>
          <w:bCs/>
        </w:rPr>
        <w:t>Global Accuracy:</w:t>
      </w:r>
      <w:r w:rsidRPr="002606ED">
        <w:rPr>
          <w:rFonts w:ascii="Times New Roman" w:hAnsi="Times New Roman" w:cs="Times New Roman"/>
        </w:rPr>
        <w:t xml:space="preserve"> Achieved 98.46% Strict Accuracy (exact lateral match) and 98.65% Base Sign Accuracy (linguistic core meaning) on a strictly quarantined global test set of 6,840 instances.</w:t>
      </w:r>
    </w:p>
    <w:p w14:paraId="6A1C514E" w14:textId="727064D4" w:rsidR="002606ED" w:rsidRPr="002606ED" w:rsidRDefault="002606ED" w:rsidP="002606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  <w:b/>
          <w:bCs/>
        </w:rPr>
        <w:t>Signer-Independent Stability:</w:t>
      </w:r>
      <w:r w:rsidRPr="002606ED">
        <w:rPr>
          <w:rFonts w:ascii="Times New Roman" w:hAnsi="Times New Roman" w:cs="Times New Roman"/>
        </w:rPr>
        <w:t xml:space="preserve"> Demonstrated robust generalization via 5-fold stratified cross-validation, maintaining an average strict accuracy of 98.61% with a remarkably tight variance of </w:t>
      </w:r>
      <m:oMath>
        <m:r>
          <w:rPr>
            <w:rFonts w:ascii="Cambria Math" w:hAnsi="Cambria Math" w:cs="Times New Roman"/>
          </w:rPr>
          <m:t>±0.11%</m:t>
        </m:r>
      </m:oMath>
      <w:r w:rsidRPr="002606ED">
        <w:rPr>
          <w:rFonts w:ascii="Times New Roman" w:hAnsi="Times New Roman" w:cs="Times New Roman"/>
        </w:rPr>
        <w:t xml:space="preserve">. </w:t>
      </w:r>
    </w:p>
    <w:p w14:paraId="42A6FB4C" w14:textId="73515B1A" w:rsidR="002606ED" w:rsidRPr="002606ED" w:rsidRDefault="002606ED" w:rsidP="002606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  <w:b/>
          <w:bCs/>
        </w:rPr>
        <w:t>Ablation Triumphs:</w:t>
      </w:r>
      <w:r w:rsidRPr="002606ED">
        <w:rPr>
          <w:rFonts w:ascii="Times New Roman" w:hAnsi="Times New Roman" w:cs="Times New Roman"/>
        </w:rPr>
        <w:t xml:space="preserve"> An exhaustive 12-model ablation study proved that the SE Channel Attention module resolves fine-grained geometric bottlenecks (e.g., distinguishing highly similar signs like 'N' and 'M'), definitively outperforming both spatial self-attention and non-attention baselines. </w:t>
      </w:r>
    </w:p>
    <w:p w14:paraId="1B0379DD" w14:textId="77777777" w:rsidR="002606ED" w:rsidRPr="002606ED" w:rsidRDefault="002606ED" w:rsidP="002606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606ED">
        <w:rPr>
          <w:rFonts w:ascii="Times New Roman" w:hAnsi="Times New Roman" w:cs="Times New Roman"/>
          <w:b/>
          <w:bCs/>
        </w:rPr>
        <w:t>Real-World Extensibility:</w:t>
      </w:r>
      <w:r w:rsidRPr="002606ED">
        <w:rPr>
          <w:rFonts w:ascii="Times New Roman" w:hAnsi="Times New Roman" w:cs="Times New Roman"/>
        </w:rPr>
        <w:t xml:space="preserve"> The FSCIL protocol successfully integrated completely novel gesture classes, achieving 92.50% test accuracy from only 30 support instances without degrading the performance of the base vocabulary. </w:t>
      </w:r>
    </w:p>
    <w:p w14:paraId="6F66D24C" w14:textId="7E117E3A" w:rsidR="002606ED" w:rsidRPr="002606ED" w:rsidRDefault="002606ED" w:rsidP="007951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E8F8D1" wp14:editId="4B3DB17C">
            <wp:extent cx="3057525" cy="2143125"/>
            <wp:effectExtent l="0" t="0" r="9525" b="9525"/>
            <wp:docPr id="5261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24428" name="Picture 5261244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F58BA5B" wp14:editId="07F7DF49">
            <wp:extent cx="2771775" cy="1986915"/>
            <wp:effectExtent l="0" t="0" r="9525" b="0"/>
            <wp:docPr id="1041455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55227" name="Picture 1041455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Figure 4-Accuracy and Loss Curves (Train vs</w:t>
      </w:r>
      <w:r w:rsidR="007951FE">
        <w:rPr>
          <w:rFonts w:ascii="Times New Roman" w:hAnsi="Times New Roman" w:cs="Times New Roman"/>
        </w:rPr>
        <w:t xml:space="preserve"> Validation)</w:t>
      </w:r>
    </w:p>
    <w:p w14:paraId="2A65BE92" w14:textId="5BEF655A" w:rsidR="001E6729" w:rsidRPr="002606ED" w:rsidRDefault="002606ED" w:rsidP="007951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A273DA" wp14:editId="01087313">
            <wp:extent cx="5943600" cy="5625465"/>
            <wp:effectExtent l="0" t="0" r="0" b="0"/>
            <wp:docPr id="285751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1191" name="Picture 2857511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1FE">
        <w:rPr>
          <w:rFonts w:ascii="Times New Roman" w:hAnsi="Times New Roman" w:cs="Times New Roman"/>
        </w:rPr>
        <w:br/>
        <w:t>Table 1- Ablation Study Table</w:t>
      </w:r>
    </w:p>
    <w:sectPr w:rsidR="001E6729" w:rsidRPr="0026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EB9"/>
    <w:multiLevelType w:val="multilevel"/>
    <w:tmpl w:val="8AF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25983"/>
    <w:multiLevelType w:val="multilevel"/>
    <w:tmpl w:val="9C3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A0DE4"/>
    <w:multiLevelType w:val="multilevel"/>
    <w:tmpl w:val="326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17468"/>
    <w:multiLevelType w:val="multilevel"/>
    <w:tmpl w:val="30E670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9CF5623"/>
    <w:multiLevelType w:val="multilevel"/>
    <w:tmpl w:val="7D3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6400">
    <w:abstractNumId w:val="3"/>
  </w:num>
  <w:num w:numId="2" w16cid:durableId="1282343353">
    <w:abstractNumId w:val="2"/>
  </w:num>
  <w:num w:numId="3" w16cid:durableId="1896551056">
    <w:abstractNumId w:val="1"/>
  </w:num>
  <w:num w:numId="4" w16cid:durableId="185875726">
    <w:abstractNumId w:val="0"/>
  </w:num>
  <w:num w:numId="5" w16cid:durableId="1739666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29"/>
    <w:rsid w:val="001E6729"/>
    <w:rsid w:val="0020780D"/>
    <w:rsid w:val="002606ED"/>
    <w:rsid w:val="007951FE"/>
    <w:rsid w:val="00B9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C919"/>
  <w15:chartTrackingRefBased/>
  <w15:docId w15:val="{7FD9E813-3AD6-4734-953B-D31C2A77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E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72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78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780D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20780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BIN KABIR</dc:creator>
  <cp:keywords/>
  <dc:description/>
  <cp:lastModifiedBy>SHOAIB BIN KABIR</cp:lastModifiedBy>
  <cp:revision>2</cp:revision>
  <dcterms:created xsi:type="dcterms:W3CDTF">2026-09-12T02:00:00Z</dcterms:created>
  <dcterms:modified xsi:type="dcterms:W3CDTF">2026-09-12T02:22:00Z</dcterms:modified>
</cp:coreProperties>
</file>