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rPr>
          <w:rFonts w:ascii="Times New Roman" w:hAnsi="Times New Roman" w:cs="Times New Roman"/>
          <w:b/>
          <w:bCs/>
          <w:sz w:val="28"/>
          <w:szCs w:val="28"/>
        </w:rPr>
      </w:pPr>
      <w:r>
        <w:rPr>
          <w:rFonts w:ascii="Times New Roman" w:hAnsi="Times New Roman" w:cs="Times New Roman"/>
          <w:b/>
          <w:bCs/>
          <w:sz w:val="28"/>
          <w:szCs w:val="28"/>
        </w:rPr>
        <w:t xml:space="preserve">Final Year Project Proposal</w:t>
      </w:r>
    </w:p>
    <w:p>
      <w:pPr>
        <w:jc w:val="center"/>
        <w:rPr>
          <w:rFonts w:ascii="Times New Roman" w:hAnsi="Times New Roman" w:cs="Times New Roman"/>
          <w:b/>
          <w:bCs/>
          <w:sz w:val="36"/>
          <w:szCs w:val="36"/>
        </w:rPr>
      </w:pPr>
      <w:r>
        <w:rPr>
          <w:rFonts w:ascii="Times New Roman" w:hAnsi="Times New Roman" w:cs="Times New Roman"/>
          <w:b/>
          <w:bCs/>
          <w:sz w:val="36"/>
          <w:szCs w:val="36"/>
        </w:rPr>
        <w:t>Generative AI Security and Benchmarks Platform</w:t>
      </w:r>
    </w:p>
    <w:p>
      <w:pPr>
        <w:jc w:val="center"/>
        <w:rPr>
          <w:rFonts w:ascii="Times New Roman" w:hAnsi="Times New Roman" w:cs="Times New Roman"/>
          <w:b/>
          <w:bCs/>
          <w:sz w:val="36"/>
          <w:szCs w:val="36"/>
        </w:rPr>
      </w:pPr>
    </w:p>
    <w:p>
      <w:pPr>
        <w:jc w:val="center"/>
        <w:rPr>
          <w:rFonts w:ascii="Times New Roman" w:hAnsi="Times New Roman" w:cs="Times New Roman"/>
          <w:b/>
          <w:bCs/>
          <w:sz w:val="36"/>
          <w:szCs w:val="36"/>
        </w:rPr>
      </w:pPr>
      <w:r>
        <w:rPr>
          <w:noProof/>
        </w:rPr>
        <w:drawing>
          <wp:inline distT="0" distB="0" distL="0" distR="0">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pPr>
        <w:rPr>
          <w:rFonts w:ascii="Times New Roman" w:hAnsi="Times New Roman" w:cs="Times New Roman"/>
          <w:b/>
          <w:bCs/>
          <w:sz w:val="36"/>
          <w:szCs w:val="36"/>
        </w:rPr>
      </w:pPr>
    </w:p>
    <w:p>
      <w:pPr>
        <w:rPr>
          <w:rFonts w:ascii="Times New Roman" w:hAnsi="Times New Roman" w:cs="Times New Roman"/>
          <w:b/>
          <w:bCs/>
          <w:sz w:val="24"/>
          <w:szCs w:val="24"/>
        </w:rPr>
      </w:pPr>
      <w:r>
        <w:rPr>
          <w:rFonts w:ascii="Times New Roman" w:hAnsi="Times New Roman" w:cs="Times New Roman"/>
          <w:b/>
          <w:bCs/>
          <w:sz w:val="24"/>
          <w:szCs w:val="24"/>
        </w:rPr>
        <w:t>Submitted by</w:t>
      </w:r>
    </w:p>
    <w:p>
      <w:pPr>
        <w:rPr>
          <w:rFonts w:ascii="Times New Roman" w:hAnsi="Times New Roman" w:cs="Times New Roman"/>
          <w:sz w:val="24"/>
          <w:szCs w:val="24"/>
        </w:rPr>
      </w:pPr>
      <w:r>
        <w:rPr>
          <w:rFonts w:ascii="Times New Roman" w:hAnsi="Times New Roman" w:cs="Times New Roman"/>
          <w:sz w:val="24"/>
          <w:szCs w:val="24"/>
        </w:rPr>
        <w:t>Muhammad Shoaib (F23BINFT1E02119)</w:t>
      </w:r>
    </w:p>
    <w:p>
      <w:pPr>
        <w:rPr>
          <w:rFonts w:ascii="Times New Roman" w:hAnsi="Times New Roman" w:cs="Times New Roman"/>
          <w:sz w:val="24"/>
          <w:szCs w:val="24"/>
        </w:rPr>
      </w:pPr>
    </w:p>
    <w:p>
      <w:pPr>
        <w:rPr>
          <w:rFonts w:ascii="Times New Roman" w:hAnsi="Times New Roman" w:cs="Times New Roman"/>
          <w:b/>
          <w:bCs/>
          <w:sz w:val="24"/>
          <w:szCs w:val="24"/>
        </w:rPr>
      </w:pPr>
      <w:r>
        <w:rPr>
          <w:rFonts w:ascii="Times New Roman" w:hAnsi="Times New Roman" w:cs="Times New Roman"/>
          <w:b/>
          <w:bCs/>
          <w:sz w:val="24"/>
          <w:szCs w:val="24"/>
        </w:rPr>
        <w:t>Submitted to</w:t>
      </w:r>
    </w:p>
    <w:p>
      <w:pPr>
        <w:rPr>
          <w:rFonts w:ascii="Times New Roman" w:hAnsi="Times New Roman" w:cs="Times New Roman"/>
          <w:sz w:val="24"/>
          <w:szCs w:val="24"/>
        </w:rPr>
      </w:pPr>
      <w:r>
        <w:rPr>
          <w:rFonts w:ascii="Times New Roman" w:hAnsi="Times New Roman" w:cs="Times New Roman"/>
          <w:sz w:val="24"/>
          <w:szCs w:val="24"/>
        </w:rPr>
        <w:t>Dr Mustafa Hameed</w:t>
      </w: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pPr>
    </w:p>
    <w:p>
      <w:pPr>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pPr>
        <w:jc w:val="center"/>
        <w:rPr>
          <w:rFonts w:ascii="Times New Roman" w:hAnsi="Times New Roman" w:cs="Times New Roman"/>
          <w:b/>
          <w:bCs/>
          <w:sz w:val="32"/>
          <w:szCs w:val="32"/>
        </w:rPr>
      </w:pPr>
      <w:r>
        <w:rPr>
          <w:rFonts w:ascii="Times New Roman" w:hAnsi="Times New Roman" w:cs="Times New Roman"/>
          <w:b/>
          <w:bCs/>
          <w:sz w:val="32"/>
          <w:szCs w:val="32"/>
        </w:rPr>
        <w:t>Faculty of Computing</w:t>
      </w:r>
    </w:p>
    <w:p>
      <w:pPr>
        <w:jc w:val="center"/>
        <w:rPr>
          <w:rFonts w:ascii="Old English Text MT" w:hAnsi="Old English Text MT" w:cs="Times New Roman"/>
          <w:b/>
          <w:bCs/>
          <w:sz w:val="40"/>
          <w:szCs w:val="40"/>
        </w:rPr>
      </w:pPr>
      <w:r>
        <w:rPr>
          <w:rFonts w:ascii="Old English Text MT" w:hAnsi="Old English Text MT" w:cs="Times New Roman"/>
          <w:b/>
          <w:bCs/>
          <w:sz w:val="40"/>
          <w:szCs w:val="40"/>
        </w:rPr>
        <w:t>The Islamia University of Bahawalpur</w:t>
      </w:r>
    </w:p>
    <w:p>
      <w:pPr>
        <w:pageBreakBefore/>
      </w:pPr>
      <w:r>
        <w:rPr>
          <w:i/>
        </w:rPr>
        <w:t xml:space="preserve">Final Year Project Proposal</w:t>
      </w:r>
    </w:p>
    <w:p>
      <w:pPr>
        <w:pStyle w:val="Heading2"/>
      </w:pPr>
      <w:r>
        <w:t xml:space="preserve">1. Abstract</w:t>
      </w:r>
    </w:p>
    <w:p>
      <w:pPr/>
      <w:r>
        <w:t xml:space="preserve">Generative Artificial Intelligence (GenAI) and Large Language Models (LLMs) are rapidly being deployed in real-world applications. However, these systems face unique security threats that traditional software testing cannot detect. Unlike standard software, where user data and executable code are kept separate, LLMs process user inputs, developer system instructions, and external database context within the same text window. This design flaw allows attackers to perform prompt injection, jailbreaking, and data exfiltration. Existing evaluation methods rely heavily on static single-turn tests, which are vulnerable to dataset contamination and fail to simulate real-world, adaptive attacks.</w:t>
      </w:r>
    </w:p>
    <w:p>
      <w:pPr/>
      <w:r>
        <w:t xml:space="preserve">To solve this problem, this final year project proposes an automated, stateful, multi-turn red-teaming and security benchmarking platform for GenAI applications. The platform dynamically generates adaptive attack prompts (such as multi-turn conversational attacks and context manipulation) to test target LLM endpoints. It evaluates model responses against the OWASP Top 10 for LLMs (2025 Edition) using dual-pass detection algorithms. The platform computes standardized quantitative metrics, including Attack Success Rate (ASR) and Model Robustness Index (RI). The proposed solution provides developers and security analysts with an automated testing platform to identify vulnerabilities before deployment.</w:t>
      </w:r>
    </w:p>
    <w:p>
      <w:pPr>
        <w:pStyle w:val="Heading2"/>
      </w:pPr>
      <w:r>
        <w:t xml:space="preserve">2. Problem Description</w:t>
      </w:r>
    </w:p>
    <w:p>
      <w:pPr/>
      <w:r>
        <w:t xml:space="preserve">Traditional software security relies on strong input validation and strict boundaries between data and executable code. In contrast, Large Language Models combine user queries, external data sources, and control instructions into a single natural language context window. This structural weakness creates major security challenges:</w:t>
      </w:r>
    </w:p>
    <w:tbl>
      <w:tblPr>
        <w:tblStyle w:val="TableGrid"/>
        <w:tblW w:w="0" w:type="auto"/>
        <w:tblLayout w:type="fixed"/>
        <w:tblLook w:val="04A0" w:firstRow="1" w:lastRow="0" w:firstColumn="0" w:lastColumn="0" w:noHBand="0" w:noVBand="1"/>
      </w:tblPr>
      <w:tblGrid>
        <w:gridCol w:w="4084"/>
        <w:gridCol w:w="5275"/>
      </w:tblGrid>
      <w:tr>
        <w:trPr>
          <w:tblHeader/>
        </w:trPr>
        <w:tc>
          <w:tcPr>
            <w:tcW w:w="4084" w:type="dxa"/>
            <w:shd w:val="clear" w:color="auto" w:fill="F2F2F2"/>
          </w:tcPr>
          <w:p>
            <w:pPr/>
            <w:r>
              <w:t xml:space="preserve">Challenge</w:t>
            </w:r>
          </w:p>
        </w:tc>
        <w:tc>
          <w:tcPr>
            <w:tcW w:w="5275" w:type="dxa"/>
            <w:shd w:val="clear" w:color="auto" w:fill="F2F2F2"/>
          </w:tcPr>
          <w:p>
            <w:pPr/>
            <w:r>
              <w:t xml:space="preserve">Description</w:t>
            </w:r>
          </w:p>
        </w:tc>
      </w:tr>
      <w:tr>
        <w:tc>
          <w:tcPr>
            <w:tcW w:w="4084" w:type="dxa"/>
          </w:tcPr>
          <w:p>
            <w:pPr/>
            <w:r>
              <w:t xml:space="preserve">Instruction Hijacking</w:t>
            </w:r>
          </w:p>
        </w:tc>
        <w:tc>
          <w:tcPr>
            <w:tcW w:w="5275" w:type="dxa"/>
          </w:tcPr>
          <w:p>
            <w:pPr/>
            <w:r>
              <w:t xml:space="preserve">Malicious prompts can trick an LLM into ignoring system rules, leaking secret configuration keys, or generating harmful content.</w:t>
            </w:r>
          </w:p>
        </w:tc>
      </w:tr>
      <w:tr>
        <w:tc>
          <w:tcPr>
            <w:tcW w:w="4084" w:type="dxa"/>
          </w:tcPr>
          <w:p>
            <w:pPr/>
            <w:r>
              <w:t xml:space="preserve">Indirect Prompt Injection</w:t>
            </w:r>
          </w:p>
        </w:tc>
        <w:tc>
          <w:tcPr>
            <w:tcW w:w="5275" w:type="dxa"/>
          </w:tcPr>
          <w:p>
            <w:pPr/>
            <w:r>
              <w:t xml:space="preserve">Attacks embedded inside external documents or vector databases can secretly manipulate LLM-driven agents during context retrieval.</w:t>
            </w:r>
          </w:p>
        </w:tc>
      </w:tr>
      <w:tr>
        <w:tc>
          <w:tcPr>
            <w:tcW w:w="4084" w:type="dxa"/>
          </w:tcPr>
          <w:p>
            <w:pPr/>
            <w:r>
              <w:t xml:space="preserve">Limitations of Static Benchmarks</w:t>
            </w:r>
          </w:p>
        </w:tc>
        <w:tc>
          <w:tcPr>
            <w:tcW w:w="5275" w:type="dxa"/>
          </w:tcPr>
          <w:p>
            <w:pPr/>
            <w:r>
              <w:t xml:space="preserve">Existing safety test suites use fixed, one-shot datasets. These static benchmarks are easily memorized by models during training (benchmark contamination) and fail to capture multi-turn conversational attacks.</w:t>
            </w:r>
          </w:p>
        </w:tc>
      </w:tr>
      <w:tr>
        <w:tc>
          <w:tcPr>
            <w:tcW w:w="4084" w:type="dxa"/>
          </w:tcPr>
          <w:p>
            <w:pPr/>
            <w:r>
              <w:t xml:space="preserve">Manual Testing Bottlenecks</w:t>
            </w:r>
          </w:p>
        </w:tc>
        <w:tc>
          <w:tcPr>
            <w:tcW w:w="5275" w:type="dxa"/>
          </w:tcPr>
          <w:p>
            <w:pPr/>
            <w:r>
              <w:t xml:space="preserve">Manual security testing (red teaming) requires significant human effort, making continuous security testing in software delivery pipelines difficult.</w:t>
            </w:r>
          </w:p>
        </w:tc>
      </w:tr>
    </w:tbl>
    <w:p>
      <w:pPr>
        <w:pStyle w:val="Heading2"/>
      </w:pPr>
      <w:r>
        <w:t xml:space="preserve">3. Purpose of Study</w:t>
      </w:r>
    </w:p>
    <w:p>
      <w:pPr/>
      <w:r>
        <w:t xml:space="preserve">The primary goal of this project is to build an open-source, automated security benchmarking and red-teaming platform that identifies vulnerabilities in LLM endpoints and Retrieval-Augmented Generation (RAG) pipelines. The platform will help developers continuously test model resilience against adaptive multi-turn attacks and enforce guardrails before pushing AI systems to production.</w:t>
      </w:r>
    </w:p>
    <w:p>
      <w:pPr>
        <w:pStyle w:val="Heading2"/>
      </w:pPr>
      <w:r>
        <w:t xml:space="preserve">4. Research Questions &amp; Hypotheses</w:t>
      </w:r>
    </w:p>
    <w:tbl>
      <w:tblPr>
        <w:tblStyle w:val="TableGrid"/>
        <w:tblW w:w="0" w:type="auto"/>
        <w:tblLayout w:type="fixed"/>
        <w:tblLook w:val="04A0" w:firstRow="1" w:lastRow="0" w:firstColumn="0" w:lastColumn="0" w:noHBand="0" w:noVBand="1"/>
      </w:tblPr>
      <w:tblGrid>
        <w:gridCol w:w="1223"/>
        <w:gridCol w:w="3515"/>
        <w:gridCol w:w="4621"/>
      </w:tblGrid>
      <w:tr>
        <w:trPr>
          <w:tblHeader/>
        </w:trPr>
        <w:tc>
          <w:tcPr>
            <w:tcW w:w="1223" w:type="dxa"/>
            <w:shd w:val="clear" w:color="auto" w:fill="F2F2F2"/>
          </w:tcPr>
          <w:p>
            <w:pPr/>
            <w:r>
              <w:t xml:space="preserve">Pair</w:t>
            </w:r>
          </w:p>
        </w:tc>
        <w:tc>
          <w:tcPr>
            <w:tcW w:w="3515" w:type="dxa"/>
            <w:shd w:val="clear" w:color="auto" w:fill="F2F2F2"/>
          </w:tcPr>
          <w:p>
            <w:pPr/>
            <w:r>
              <w:t xml:space="preserve">Research Question</w:t>
            </w:r>
          </w:p>
        </w:tc>
        <w:tc>
          <w:tcPr>
            <w:tcW w:w="4621" w:type="dxa"/>
            <w:shd w:val="clear" w:color="auto" w:fill="F2F2F2"/>
          </w:tcPr>
          <w:p>
            <w:pPr/>
            <w:r>
              <w:t xml:space="preserve">Hypothesis</w:t>
            </w:r>
          </w:p>
        </w:tc>
      </w:tr>
      <w:tr>
        <w:tc>
          <w:tcPr>
            <w:tcW w:w="1223" w:type="dxa"/>
          </w:tcPr>
          <w:p>
            <w:pPr/>
            <w:r>
              <w:t xml:space="preserve">RQ1 / H1</w:t>
            </w:r>
          </w:p>
        </w:tc>
        <w:tc>
          <w:tcPr>
            <w:tcW w:w="3515" w:type="dxa"/>
          </w:tcPr>
          <w:p>
            <w:pPr/>
            <w:r>
              <w:rPr>
                <w:b/>
              </w:rPr>
              <w:t xml:space="preserve">RQ1:</w:t>
            </w:r>
            <w:r>
              <w:t xml:space="preserve"> How effective are automated multi-turn adversarial dialogue attacks compared to traditional static single-turn security benchmarks on aligned LLMs?</w:t>
            </w:r>
          </w:p>
        </w:tc>
        <w:tc>
          <w:tcPr>
            <w:tcW w:w="4621" w:type="dxa"/>
          </w:tcPr>
          <w:p>
            <w:pPr/>
            <w:r>
              <w:rPr>
                <w:b/>
              </w:rPr>
              <w:t xml:space="preserve">H1:</w:t>
            </w:r>
            <w:r>
              <w:t xml:space="preserve"> Automated multi-turn conversational strategies (such as step-by-step context manipulation) will achieve a higher Attack Success Rate (ASR) on safety-aligned models than static single-turn prompt injection tests.</w:t>
            </w:r>
          </w:p>
        </w:tc>
      </w:tr>
      <w:tr>
        <w:tc>
          <w:tcPr>
            <w:tcW w:w="1223" w:type="dxa"/>
          </w:tcPr>
          <w:p>
            <w:pPr/>
            <w:r>
              <w:t xml:space="preserve">RQ2 / H2</w:t>
            </w:r>
          </w:p>
        </w:tc>
        <w:tc>
          <w:tcPr>
            <w:tcW w:w="3515" w:type="dxa"/>
          </w:tcPr>
          <w:p>
            <w:pPr/>
            <w:r>
              <w:rPr>
                <w:b/>
              </w:rPr>
              <w:t xml:space="preserve">RQ2:</w:t>
            </w:r>
            <w:r>
              <w:t xml:space="preserve"> Can an inline multi-tiered guardrail proxy significantly reduce the Attack Success Rate (ASR) without introducing excessive runtime latency?</w:t>
            </w:r>
          </w:p>
        </w:tc>
        <w:tc>
          <w:tcPr>
            <w:tcW w:w="4621" w:type="dxa"/>
          </w:tcPr>
          <w:p>
            <w:pPr/>
            <w:r>
              <w:rPr>
                <w:b/>
              </w:rPr>
              <w:t xml:space="preserve">H2:</w:t>
            </w:r>
            <w:r>
              <w:t xml:space="preserve"> A multi-layered defensive middleware layer will decrease the overall Attack Success Rate (ASR) by at least 70% while maintaining an average inference overhead latency below 150 milliseconds.</w:t>
            </w:r>
          </w:p>
        </w:tc>
      </w:tr>
    </w:tbl>
    <w:p>
      <w:pPr>
        <w:pStyle w:val="Heading2"/>
      </w:pPr>
      <w:r>
        <w:t xml:space="preserve">5. Literature Review</w:t>
      </w:r>
    </w:p>
    <w:p>
      <w:pPr/>
      <w:r>
        <w:t xml:space="preserve">Security consortiums have established taxonomies to categorize AI risks, most notably the OWASP Top 10 for LLM Applications (2025 Edition). Key risks include:</w:t>
      </w:r>
    </w:p>
    <w:tbl>
      <w:tblPr>
        <w:tblStyle w:val="TableGrid"/>
        <w:tblW w:w="0" w:type="auto"/>
        <w:tblLayout w:type="fixed"/>
        <w:tblLook w:val="04A0" w:firstRow="1" w:lastRow="0" w:firstColumn="0" w:lastColumn="0" w:noHBand="0" w:noVBand="1"/>
      </w:tblPr>
      <w:tblGrid>
        <w:gridCol w:w="2557"/>
        <w:gridCol w:w="6802"/>
      </w:tblGrid>
      <w:tr>
        <w:trPr>
          <w:tblHeader/>
        </w:trPr>
        <w:tc>
          <w:tcPr>
            <w:tcW w:w="2557" w:type="dxa"/>
            <w:shd w:val="clear" w:color="auto" w:fill="F2F2F2"/>
          </w:tcPr>
          <w:p>
            <w:pPr/>
            <w:r>
              <w:t xml:space="preserve">OWASP ID</w:t>
            </w:r>
          </w:p>
        </w:tc>
        <w:tc>
          <w:tcPr>
            <w:tcW w:w="6802" w:type="dxa"/>
            <w:shd w:val="clear" w:color="auto" w:fill="F2F2F2"/>
          </w:tcPr>
          <w:p>
            <w:pPr/>
            <w:r>
              <w:t xml:space="preserve">Risk</w:t>
            </w:r>
          </w:p>
        </w:tc>
      </w:tr>
      <w:tr>
        <w:tc>
          <w:tcPr>
            <w:tcW w:w="2557" w:type="dxa"/>
          </w:tcPr>
          <w:p>
            <w:pPr/>
            <w:r>
              <w:t xml:space="preserve">LLM01</w:t>
            </w:r>
          </w:p>
        </w:tc>
        <w:tc>
          <w:tcPr>
            <w:tcW w:w="6802" w:type="dxa"/>
          </w:tcPr>
          <w:p>
            <w:pPr/>
            <w:r>
              <w:t xml:space="preserve">Prompt Injection</w:t>
            </w:r>
          </w:p>
        </w:tc>
      </w:tr>
      <w:tr>
        <w:tc>
          <w:tcPr>
            <w:tcW w:w="2557" w:type="dxa"/>
          </w:tcPr>
          <w:p>
            <w:pPr/>
            <w:r>
              <w:t xml:space="preserve">LLM02</w:t>
            </w:r>
          </w:p>
        </w:tc>
        <w:tc>
          <w:tcPr>
            <w:tcW w:w="6802" w:type="dxa"/>
          </w:tcPr>
          <w:p>
            <w:pPr/>
            <w:r>
              <w:t xml:space="preserve">Sensitive Information Disclosure</w:t>
            </w:r>
          </w:p>
        </w:tc>
      </w:tr>
      <w:tr>
        <w:tc>
          <w:tcPr>
            <w:tcW w:w="2557" w:type="dxa"/>
          </w:tcPr>
          <w:p>
            <w:pPr/>
            <w:r>
              <w:t xml:space="preserve">LLM04</w:t>
            </w:r>
          </w:p>
        </w:tc>
        <w:tc>
          <w:tcPr>
            <w:tcW w:w="6802" w:type="dxa"/>
          </w:tcPr>
          <w:p>
            <w:pPr/>
            <w:r>
              <w:t xml:space="preserve">Data Poisoning</w:t>
            </w:r>
          </w:p>
        </w:tc>
      </w:tr>
      <w:tr>
        <w:tc>
          <w:tcPr>
            <w:tcW w:w="2557" w:type="dxa"/>
          </w:tcPr>
          <w:p>
            <w:pPr/>
            <w:r>
              <w:t xml:space="preserve">LLM05</w:t>
            </w:r>
          </w:p>
        </w:tc>
        <w:tc>
          <w:tcPr>
            <w:tcW w:w="6802" w:type="dxa"/>
          </w:tcPr>
          <w:p>
            <w:pPr/>
            <w:r>
              <w:t xml:space="preserve">Improper Output Handling</w:t>
            </w:r>
          </w:p>
        </w:tc>
      </w:tr>
      <w:tr>
        <w:tc>
          <w:tcPr>
            <w:tcW w:w="2557" w:type="dxa"/>
          </w:tcPr>
          <w:p>
            <w:pPr/>
            <w:r>
              <w:t xml:space="preserve">LLM06</w:t>
            </w:r>
          </w:p>
        </w:tc>
        <w:tc>
          <w:tcPr>
            <w:tcW w:w="6802" w:type="dxa"/>
          </w:tcPr>
          <w:p>
            <w:pPr/>
            <w:r>
              <w:t xml:space="preserve">Excessive Agency</w:t>
            </w:r>
          </w:p>
        </w:tc>
      </w:tr>
      <w:tr>
        <w:tc>
          <w:tcPr>
            <w:tcW w:w="2557" w:type="dxa"/>
          </w:tcPr>
          <w:p>
            <w:pPr/>
            <w:r>
              <w:t xml:space="preserve">LLM08</w:t>
            </w:r>
          </w:p>
        </w:tc>
        <w:tc>
          <w:tcPr>
            <w:tcW w:w="6802" w:type="dxa"/>
          </w:tcPr>
          <w:p>
            <w:pPr/>
            <w:r>
              <w:t xml:space="preserve">Vector Weaknesses</w:t>
            </w:r>
          </w:p>
        </w:tc>
      </w:tr>
    </w:tbl>
    <w:p>
      <w:pPr/>
      <w:r>
        <w:t xml:space="preserve">Automated vulnerability scanners have emerged to address these risks:</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Tool</w:t>
            </w:r>
          </w:p>
        </w:tc>
        <w:tc>
          <w:tcPr>
            <w:tcW w:w="4920" w:type="dxa"/>
            <w:shd w:val="clear" w:color="auto" w:fill="F2F2F2"/>
          </w:tcPr>
          <w:p>
            <w:pPr/>
            <w:r>
              <w:t xml:space="preserve">Description</w:t>
            </w:r>
          </w:p>
        </w:tc>
      </w:tr>
      <w:tr>
        <w:tc>
          <w:tcPr>
            <w:tcW w:w="4439" w:type="dxa"/>
          </w:tcPr>
          <w:p>
            <w:pPr/>
            <w:r>
              <w:t xml:space="preserve">Garak (Generative AI Red-teaming &amp; Assessment Kit)</w:t>
            </w:r>
          </w:p>
        </w:tc>
        <w:tc>
          <w:tcPr>
            <w:tcW w:w="4920" w:type="dxa"/>
          </w:tcPr>
          <w:p>
            <w:pPr/>
            <w:r>
              <w:t xml:space="preserve">Uses a modular pipeline of Generators (model interfaces), Probes (attack payload generators), Detectors (output evaluators), and Harnesses (scan orchestrators).</w:t>
            </w:r>
          </w:p>
        </w:tc>
      </w:tr>
      <w:tr>
        <w:tc>
          <w:tcPr>
            <w:tcW w:w="4439" w:type="dxa"/>
          </w:tcPr>
          <w:p>
            <w:pPr/>
            <w:r>
              <w:t xml:space="preserve">Microsoft PyRIT</w:t>
            </w:r>
          </w:p>
        </w:tc>
        <w:tc>
          <w:tcPr>
            <w:tcW w:w="4920" w:type="dxa"/>
          </w:tcPr>
          <w:p>
            <w:pPr/>
            <w:r>
              <w:t xml:space="preserve">Framework that supports continuous testing in software delivery workflows.</w:t>
            </w:r>
          </w:p>
        </w:tc>
      </w:tr>
      <w:tr>
        <w:tc>
          <w:tcPr>
            <w:tcW w:w="4439" w:type="dxa"/>
          </w:tcPr>
          <w:p>
            <w:pPr/>
            <w:r>
              <w:t xml:space="preserve">Promptfoo</w:t>
            </w:r>
          </w:p>
        </w:tc>
        <w:tc>
          <w:tcPr>
            <w:tcW w:w="4920" w:type="dxa"/>
          </w:tcPr>
          <w:p>
            <w:pPr/>
            <w:r>
              <w:t xml:space="preserve">Framework that supports continuous testing in software delivery workflows.</w:t>
            </w:r>
          </w:p>
        </w:tc>
      </w:tr>
    </w:tbl>
    <w:p>
      <w:pPr/>
      <w:r>
        <w:t xml:space="preserve">However, modern attack research shows that static single-turn probes are insufficient:</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Technique</w:t>
            </w:r>
          </w:p>
        </w:tc>
        <w:tc>
          <w:tcPr>
            <w:tcW w:w="4920" w:type="dxa"/>
            <w:shd w:val="clear" w:color="auto" w:fill="F2F2F2"/>
          </w:tcPr>
          <w:p>
            <w:pPr/>
            <w:r>
              <w:t xml:space="preserve">Finding</w:t>
            </w:r>
          </w:p>
        </w:tc>
      </w:tr>
      <w:tr>
        <w:tc>
          <w:tcPr>
            <w:tcW w:w="4440" w:type="dxa"/>
          </w:tcPr>
          <w:p>
            <w:pPr/>
            <w:r>
              <w:t xml:space="preserve">Crescendo</w:t>
            </w:r>
          </w:p>
        </w:tc>
        <w:tc>
          <w:tcPr>
            <w:tcW w:w="4920" w:type="dxa"/>
          </w:tcPr>
          <w:p>
            <w:pPr/>
            <w:r>
              <w:t xml:space="preserve">Demonstrates that models can be led through multiple benign-looking dialogue turns until their safety rules are overridden.</w:t>
            </w:r>
          </w:p>
        </w:tc>
      </w:tr>
      <w:tr>
        <w:tc>
          <w:tcPr>
            <w:tcW w:w="4440" w:type="dxa"/>
          </w:tcPr>
          <w:p>
            <w:pPr/>
            <w:r>
              <w:t xml:space="preserve">MDP / RL-based red-teaming (e.g., RedDarwin)</w:t>
            </w:r>
          </w:p>
        </w:tc>
        <w:tc>
          <w:tcPr>
            <w:tcW w:w="4920" w:type="dxa"/>
          </w:tcPr>
          <w:p>
            <w:pPr/>
            <w:r>
              <w:t xml:space="preserve">Models multi-turn attacks as a Markov Decision Process using reinforcement learning and evolutionary algorithms to generate zero-day exploits.</w:t>
            </w:r>
          </w:p>
        </w:tc>
      </w:tr>
    </w:tbl>
    <w:p>
      <w:pPr/>
      <w:r>
        <w:t xml:space="preserve">Designing security platforms therefore requires incorporating stateful multi-turn probes alongside robust input and output guardrails.</w:t>
      </w:r>
    </w:p>
    <w:p>
      <w:pPr>
        <w:pStyle w:val="Heading2"/>
      </w:pPr>
      <w:r>
        <w:t xml:space="preserve">6. Methodology</w:t>
      </w:r>
    </w:p>
    <w:p>
      <w:pPr/>
      <w:r>
        <w:t xml:space="preserve">The project follows an iterative software engineering approach, structured into four architectural components:</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Component</w:t>
            </w:r>
          </w:p>
        </w:tc>
        <w:tc>
          <w:tcPr>
            <w:tcW w:w="4920" w:type="dxa"/>
            <w:shd w:val="clear" w:color="auto" w:fill="F2F2F2"/>
          </w:tcPr>
          <w:p>
            <w:pPr/>
            <w:r>
              <w:t xml:space="preserve">Description</w:t>
            </w:r>
          </w:p>
        </w:tc>
      </w:tr>
      <w:tr>
        <w:tc>
          <w:tcPr>
            <w:tcW w:w="720" w:type="dxa"/>
          </w:tcPr>
          <w:p>
            <w:pPr/>
            <w:r>
              <w:t xml:space="preserve">1</w:t>
            </w:r>
          </w:p>
        </w:tc>
        <w:tc>
          <w:tcPr>
            <w:tcW w:w="3720" w:type="dxa"/>
          </w:tcPr>
          <w:p>
            <w:pPr/>
            <w:r>
              <w:t xml:space="preserve">Target Adapter Module (Generator)</w:t>
            </w:r>
          </w:p>
        </w:tc>
        <w:tc>
          <w:tcPr>
            <w:tcW w:w="4920" w:type="dxa"/>
          </w:tcPr>
          <w:p>
            <w:pPr/>
            <w:r>
              <w:t xml:space="preserve">Establishes API connections to target local models (via Ollama or vLLM) and remote model endpoints.</w:t>
            </w:r>
          </w:p>
        </w:tc>
      </w:tr>
      <w:tr>
        <w:tc>
          <w:tcPr>
            <w:tcW w:w="720" w:type="dxa"/>
          </w:tcPr>
          <w:p>
            <w:pPr/>
            <w:r>
              <w:t xml:space="preserve">2</w:t>
            </w:r>
          </w:p>
        </w:tc>
        <w:tc>
          <w:tcPr>
            <w:tcW w:w="3720" w:type="dxa"/>
          </w:tcPr>
          <w:p>
            <w:pPr/>
            <w:r>
              <w:t xml:space="preserve">Adversarial Probe Module</w:t>
            </w:r>
          </w:p>
        </w:tc>
        <w:tc>
          <w:tcPr>
            <w:tcW w:w="4920" w:type="dxa"/>
          </w:tcPr>
          <w:p>
            <w:pPr/>
            <w:r>
              <w:t xml:space="preserve">Generates attack payloads using both static datasets (HarmBench) and dynamic stateful engines (Crescendo multi-turn dialogue mechanics).</w:t>
            </w:r>
          </w:p>
        </w:tc>
      </w:tr>
      <w:tr>
        <w:tc>
          <w:tcPr>
            <w:tcW w:w="720" w:type="dxa"/>
          </w:tcPr>
          <w:p>
            <w:pPr/>
            <w:r>
              <w:t xml:space="preserve">3</w:t>
            </w:r>
          </w:p>
        </w:tc>
        <w:tc>
          <w:tcPr>
            <w:tcW w:w="3720" w:type="dxa"/>
          </w:tcPr>
          <w:p>
            <w:pPr/>
            <w:r>
              <w:t xml:space="preserve">Dual-Pass Detection Module</w:t>
            </w:r>
          </w:p>
        </w:tc>
        <w:tc>
          <w:tcPr>
            <w:tcW w:w="4920" w:type="dxa"/>
          </w:tcPr>
          <w:p>
            <w:pPr/>
            <w:r>
              <w:t xml:space="preserve">Evaluates model outputs. Pass 1 applies regex pattern matching for rapid indicator detection; Pass 2 passes outputs to small classification models (like LlamaGuard) to check for safety violations.</w:t>
            </w:r>
          </w:p>
        </w:tc>
      </w:tr>
      <w:tr>
        <w:tc>
          <w:tcPr>
            <w:tcW w:w="720" w:type="dxa"/>
          </w:tcPr>
          <w:p>
            <w:pPr/>
            <w:r>
              <w:t xml:space="preserve">4</w:t>
            </w:r>
          </w:p>
        </w:tc>
        <w:tc>
          <w:tcPr>
            <w:tcW w:w="3720" w:type="dxa"/>
          </w:tcPr>
          <w:p>
            <w:pPr/>
            <w:r>
              <w:t xml:space="preserve">Reporting &amp; Evaluation Engine</w:t>
            </w:r>
          </w:p>
        </w:tc>
        <w:tc>
          <w:tcPr>
            <w:tcW w:w="4920" w:type="dxa"/>
          </w:tcPr>
          <w:p>
            <w:pPr/>
            <w:r>
              <w:t xml:space="preserve">Aggregates scan logs, calculates security metrics, and produces diagnostic reports in JSONL and HTML formats.</w:t>
            </w:r>
          </w:p>
        </w:tc>
      </w:tr>
    </w:tbl>
    <w:p>
      <w:pPr>
        <w:pStyle w:val="Heading3"/>
      </w:pPr>
      <w:r>
        <w:t xml:space="preserve">System Execution Architecture</w:t>
      </w:r>
    </w:p>
    <w:tbl>
      <w:tblPr>
        <w:tblStyle w:val="TableGrid"/>
        <w:tblW w:w="0" w:type="auto"/>
        <w:tblLayout w:type="fixed"/>
        <w:tblLook w:val="04A0" w:firstRow="1" w:lastRow="0" w:firstColumn="0" w:lastColumn="0" w:noHBand="0" w:noVBand="1"/>
      </w:tblPr>
      <w:tblGrid>
        <w:gridCol w:w="720"/>
        <w:gridCol w:w="2793"/>
        <w:gridCol w:w="3624"/>
        <w:gridCol w:w="2222"/>
      </w:tblGrid>
      <w:tr>
        <w:trPr>
          <w:tblHeader/>
        </w:trPr>
        <w:tc>
          <w:tcPr>
            <w:tcW w:w="720" w:type="dxa"/>
            <w:shd w:val="clear" w:color="auto" w:fill="F2F2F2"/>
          </w:tcPr>
          <w:p>
            <w:pPr/>
            <w:r>
              <w:t xml:space="preserve">Step</w:t>
            </w:r>
          </w:p>
        </w:tc>
        <w:tc>
          <w:tcPr>
            <w:tcW w:w="2793" w:type="dxa"/>
            <w:shd w:val="clear" w:color="auto" w:fill="F2F2F2"/>
          </w:tcPr>
          <w:p>
            <w:pPr/>
            <w:r>
              <w:t xml:space="preserve">From</w:t>
            </w:r>
          </w:p>
        </w:tc>
        <w:tc>
          <w:tcPr>
            <w:tcW w:w="3624" w:type="dxa"/>
            <w:shd w:val="clear" w:color="auto" w:fill="F2F2F2"/>
          </w:tcPr>
          <w:p>
            <w:pPr/>
            <w:r>
              <w:t xml:space="preserve">To</w:t>
            </w:r>
          </w:p>
        </w:tc>
        <w:tc>
          <w:tcPr>
            <w:tcW w:w="2222" w:type="dxa"/>
            <w:shd w:val="clear" w:color="auto" w:fill="F2F2F2"/>
          </w:tcPr>
          <w:p>
            <w:pPr/>
            <w:r>
              <w:t xml:space="preserve">Data Passed</w:t>
            </w:r>
          </w:p>
        </w:tc>
      </w:tr>
      <w:tr>
        <w:tc>
          <w:tcPr>
            <w:tcW w:w="720" w:type="dxa"/>
          </w:tcPr>
          <w:p>
            <w:pPr/>
            <w:r>
              <w:t xml:space="preserve">1</w:t>
            </w:r>
          </w:p>
        </w:tc>
        <w:tc>
          <w:tcPr>
            <w:tcW w:w="2793" w:type="dxa"/>
          </w:tcPr>
          <w:p>
            <w:pPr/>
            <w:r>
              <w:t xml:space="preserve">Adversarial Probe Engine (Multi-turn Crescendo state)</w:t>
            </w:r>
          </w:p>
        </w:tc>
        <w:tc>
          <w:tcPr>
            <w:tcW w:w="3624" w:type="dxa"/>
          </w:tcPr>
          <w:p>
            <w:pPr/>
            <w:r>
              <w:t xml:space="preserve">Target Adapter Module (Ollama / REST / vLLM)</w:t>
            </w:r>
          </w:p>
        </w:tc>
        <w:tc>
          <w:tcPr>
            <w:tcW w:w="2222" w:type="dxa"/>
          </w:tcPr>
          <w:p>
            <w:pPr/>
            <w:r>
              <w:t xml:space="preserve">Adversarial prompt</w:t>
            </w:r>
          </w:p>
        </w:tc>
      </w:tr>
      <w:tr>
        <w:tc>
          <w:tcPr>
            <w:tcW w:w="720" w:type="dxa"/>
          </w:tcPr>
          <w:p>
            <w:pPr/>
            <w:r>
              <w:t xml:space="preserve">2</w:t>
            </w:r>
          </w:p>
        </w:tc>
        <w:tc>
          <w:tcPr>
            <w:tcW w:w="2793" w:type="dxa"/>
          </w:tcPr>
          <w:p>
            <w:pPr/>
            <w:r>
              <w:t xml:space="preserve">Target Adapter Module</w:t>
            </w:r>
          </w:p>
        </w:tc>
        <w:tc>
          <w:tcPr>
            <w:tcW w:w="3624" w:type="dxa"/>
          </w:tcPr>
          <w:p>
            <w:pPr/>
            <w:r>
              <w:t xml:space="preserve">Dual-Pass Detector (Regex + Guard classifier)</w:t>
            </w:r>
          </w:p>
        </w:tc>
        <w:tc>
          <w:tcPr>
            <w:tcW w:w="2222" w:type="dxa"/>
          </w:tcPr>
          <w:p>
            <w:pPr/>
            <w:r>
              <w:t xml:space="preserve">Model output</w:t>
            </w:r>
          </w:p>
        </w:tc>
      </w:tr>
      <w:tr>
        <w:tc>
          <w:tcPr>
            <w:tcW w:w="720" w:type="dxa"/>
          </w:tcPr>
          <w:p>
            <w:pPr/>
            <w:r>
              <w:t xml:space="preserve">3</w:t>
            </w:r>
          </w:p>
        </w:tc>
        <w:tc>
          <w:tcPr>
            <w:tcW w:w="2793" w:type="dxa"/>
          </w:tcPr>
          <w:p>
            <w:pPr/>
            <w:r>
              <w:t xml:space="preserve">Dual-Pass Detector</w:t>
            </w:r>
          </w:p>
        </w:tc>
        <w:tc>
          <w:tcPr>
            <w:tcW w:w="3624" w:type="dxa"/>
          </w:tcPr>
          <w:p>
            <w:pPr/>
            <w:r>
              <w:t xml:space="preserve">Evaluation Engine (ASR / RI logs)</w:t>
            </w:r>
          </w:p>
        </w:tc>
        <w:tc>
          <w:tcPr>
            <w:tcW w:w="2222" w:type="dxa"/>
          </w:tcPr>
          <w:p>
            <w:pPr/>
            <w:r>
              <w:t xml:space="preserve">Pass / hit state</w:t>
            </w:r>
          </w:p>
        </w:tc>
      </w:tr>
      <w:tr>
        <w:tc>
          <w:tcPr>
            <w:tcW w:w="720" w:type="dxa"/>
          </w:tcPr>
          <w:p>
            <w:pPr/>
            <w:r>
              <w:t xml:space="preserve">4</w:t>
            </w:r>
          </w:p>
        </w:tc>
        <w:tc>
          <w:tcPr>
            <w:tcW w:w="2793" w:type="dxa"/>
          </w:tcPr>
          <w:p>
            <w:pPr/>
            <w:r>
              <w:t xml:space="preserve">Evaluation Engine</w:t>
            </w:r>
          </w:p>
        </w:tc>
        <w:tc>
          <w:tcPr>
            <w:tcW w:w="3624" w:type="dxa"/>
          </w:tcPr>
          <w:p>
            <w:pPr/>
            <w:r>
              <w:t xml:space="preserve">Adversarial Probe Engine</w:t>
            </w:r>
          </w:p>
        </w:tc>
        <w:tc>
          <w:tcPr>
            <w:tcW w:w="2222" w:type="dxa"/>
          </w:tcPr>
          <w:p>
            <w:pPr/>
            <w:r>
              <w:t xml:space="preserve">Context update</w:t>
            </w:r>
          </w:p>
        </w:tc>
      </w:tr>
    </w:tbl>
    <w:p>
      <w:pPr>
        <w:pStyle w:val="Heading2"/>
      </w:pPr>
      <w:r>
        <w:t xml:space="preserve">7. Mathematical Metrics</w:t>
      </w:r>
    </w:p>
    <w:tbl>
      <w:tblPr>
        <w:tblStyle w:val="TableGrid"/>
        <w:tblW w:w="0" w:type="auto"/>
        <w:tblLayout w:type="fixed"/>
        <w:tblLook w:val="04A0" w:firstRow="1" w:lastRow="0" w:firstColumn="0" w:lastColumn="0" w:noHBand="0" w:noVBand="1"/>
      </w:tblPr>
      <w:tblGrid>
        <w:gridCol w:w="1887"/>
        <w:gridCol w:w="2553"/>
        <w:gridCol w:w="4920"/>
      </w:tblGrid>
      <w:tr>
        <w:trPr>
          <w:tblHeader/>
        </w:trPr>
        <w:tc>
          <w:tcPr>
            <w:tcW w:w="1887" w:type="dxa"/>
            <w:shd w:val="clear" w:color="auto" w:fill="F2F2F2"/>
          </w:tcPr>
          <w:p>
            <w:pPr/>
            <w:r>
              <w:t xml:space="preserve">Metric</w:t>
            </w:r>
          </w:p>
        </w:tc>
        <w:tc>
          <w:tcPr>
            <w:tcW w:w="2553" w:type="dxa"/>
            <w:shd w:val="clear" w:color="auto" w:fill="F2F2F2"/>
          </w:tcPr>
          <w:p>
            <w:pPr/>
            <w:r>
              <w:t xml:space="preserve">Formula</w:t>
            </w:r>
          </w:p>
        </w:tc>
        <w:tc>
          <w:tcPr>
            <w:tcW w:w="4920" w:type="dxa"/>
            <w:shd w:val="clear" w:color="auto" w:fill="F2F2F2"/>
          </w:tcPr>
          <w:p>
            <w:pPr/>
            <w:r>
              <w:t xml:space="preserve">Notation</w:t>
            </w:r>
          </w:p>
        </w:tc>
      </w:tr>
      <w:tr>
        <w:tc>
          <w:tcPr>
            <w:tcW w:w="1887" w:type="dxa"/>
          </w:tcPr>
          <w:p>
            <w:pPr/>
            <w:r>
              <w:t xml:space="preserve">Attack Success Rate (ASR)</w:t>
            </w:r>
          </w:p>
        </w:tc>
        <w:tc>
          <w:tcPr>
            <w:tcW w:w="2553" w:type="dxa"/>
          </w:tcPr>
          <w:p>
            <w:pPr/>
            <w:r>
              <w:t xml:space="preserve">ASR = ( Σ S(q_i) for i = 1 to N / N ) × 100%</w:t>
            </w:r>
          </w:p>
        </w:tc>
        <w:tc>
          <w:tcPr>
            <w:tcW w:w="4920" w:type="dxa"/>
          </w:tcPr>
          <w:p>
            <w:pPr/>
            <w:r>
              <w:t xml:space="preserve">N = total attack attempts; q_i = the query; S(q_i) = 1 if the attack succeeded (hit), otherwise 0.</w:t>
            </w:r>
          </w:p>
        </w:tc>
      </w:tr>
      <w:tr>
        <w:tc>
          <w:tcPr>
            <w:tcW w:w="1887" w:type="dxa"/>
          </w:tcPr>
          <w:p>
            <w:pPr/>
            <w:r>
              <w:t xml:space="preserve">Model Robustness Index (RI)</w:t>
            </w:r>
          </w:p>
        </w:tc>
        <w:tc>
          <w:tcPr>
            <w:tcW w:w="2553" w:type="dxa"/>
          </w:tcPr>
          <w:p>
            <w:pPr/>
            <w:r>
              <w:t xml:space="preserve">RI = 1.0 − ( ASR / 100 )</w:t>
            </w:r>
          </w:p>
        </w:tc>
        <w:tc>
          <w:tcPr>
            <w:tcW w:w="4920" w:type="dxa"/>
          </w:tcPr>
          <w:p>
            <w:pPr/>
            <w:r>
              <w:t xml:space="preserve">Derived from ASR; a higher RI means a more robust model.</w:t>
            </w:r>
          </w:p>
        </w:tc>
      </w:tr>
      <w:tr>
        <w:tc>
          <w:tcPr>
            <w:tcW w:w="1887" w:type="dxa"/>
          </w:tcPr>
          <w:p>
            <w:pPr/>
            <w:r>
              <w:t xml:space="preserve">System Prompt Leakage Index (SPLI)</w:t>
            </w:r>
          </w:p>
        </w:tc>
        <w:tc>
          <w:tcPr>
            <w:tcW w:w="2553" w:type="dxa"/>
          </w:tcPr>
          <w:p>
            <w:pPr/>
            <w:r>
              <w:t xml:space="preserve">SPLI(P_sys, R_out) = n( T(P_sys) ∩ T(R_out) ) / n( T(P_sys) )</w:t>
            </w:r>
          </w:p>
        </w:tc>
        <w:tc>
          <w:tcPr>
            <w:tcW w:w="4920" w:type="dxa"/>
          </w:tcPr>
          <w:p>
            <w:pPr/>
            <w:r>
              <w:t xml:space="preserve">T(X) = set of unique tokens in X; n(·) = number of elements. Measures token overlap between the secret instructions (P_sys) and the model output (R_out).</w:t>
            </w:r>
          </w:p>
        </w:tc>
      </w:tr>
    </w:tbl>
    <w:p>
      <w:pPr>
        <w:pStyle w:val="Heading2"/>
      </w:pPr>
      <w:r>
        <w:t xml:space="preserve">8. Project Scope</w:t>
      </w:r>
    </w:p>
    <w:tbl>
      <w:tblPr>
        <w:tblStyle w:val="TableGrid"/>
        <w:tblW w:w="0" w:type="auto"/>
        <w:tblLayout w:type="fixed"/>
        <w:tblLook w:val="04A0" w:firstRow="1" w:lastRow="0" w:firstColumn="0" w:lastColumn="0" w:noHBand="0" w:noVBand="1"/>
      </w:tblPr>
      <w:tblGrid>
        <w:gridCol w:w="2276"/>
        <w:gridCol w:w="7083"/>
      </w:tblGrid>
      <w:tr>
        <w:trPr>
          <w:tblHeader/>
        </w:trPr>
        <w:tc>
          <w:tcPr>
            <w:tcW w:w="2276" w:type="dxa"/>
            <w:shd w:val="clear" w:color="auto" w:fill="F2F2F2"/>
          </w:tcPr>
          <w:p>
            <w:pPr/>
            <w:r>
              <w:t xml:space="preserve">Scope</w:t>
            </w:r>
          </w:p>
        </w:tc>
        <w:tc>
          <w:tcPr>
            <w:tcW w:w="7083" w:type="dxa"/>
            <w:shd w:val="clear" w:color="auto" w:fill="F2F2F2"/>
          </w:tcPr>
          <w:p>
            <w:pPr/>
            <w:r>
              <w:t xml:space="preserve">Item</w:t>
            </w:r>
          </w:p>
        </w:tc>
      </w:tr>
      <w:tr>
        <w:tc>
          <w:tcPr>
            <w:tcW w:w="2276" w:type="dxa"/>
          </w:tcPr>
          <w:p>
            <w:pPr/>
            <w:r>
              <w:t xml:space="preserve">In-Scope</w:t>
            </w:r>
          </w:p>
        </w:tc>
        <w:tc>
          <w:tcPr>
            <w:tcW w:w="7083" w:type="dxa"/>
          </w:tcPr>
          <w:p>
            <w:pPr/>
            <w:r>
              <w:t xml:space="preserve">Development of a web-based evaluation dashboard and API scanner backend.</w:t>
            </w:r>
          </w:p>
        </w:tc>
      </w:tr>
      <w:tr>
        <w:tc>
          <w:tcPr>
            <w:tcW w:w="2276" w:type="dxa"/>
          </w:tcPr>
          <w:p>
            <w:pPr/>
            <w:r>
              <w:t xml:space="preserve">In-Scope</w:t>
            </w:r>
          </w:p>
        </w:tc>
        <w:tc>
          <w:tcPr>
            <w:tcW w:w="7083" w:type="dxa"/>
          </w:tcPr>
          <w:p>
            <w:pPr/>
            <w:r>
              <w:t xml:space="preserve">Implementation of OWASP Top 10 (2025) vulnerability test modules (Prompt Injection, System Prompt Leakage, Sensitive Information Disclosure, Excessive Agency).</w:t>
            </w:r>
          </w:p>
        </w:tc>
      </w:tr>
      <w:tr>
        <w:tc>
          <w:tcPr>
            <w:tcW w:w="2276" w:type="dxa"/>
          </w:tcPr>
          <w:p>
            <w:pPr/>
            <w:r>
              <w:t xml:space="preserve">In-Scope</w:t>
            </w:r>
          </w:p>
        </w:tc>
        <w:tc>
          <w:tcPr>
            <w:tcW w:w="7083" w:type="dxa"/>
          </w:tcPr>
          <w:p>
            <w:pPr/>
            <w:r>
              <w:t xml:space="preserve">Multi-turn conversational attack simulation (up to 5 turns per dialogue session).</w:t>
            </w:r>
          </w:p>
        </w:tc>
      </w:tr>
      <w:tr>
        <w:tc>
          <w:tcPr>
            <w:tcW w:w="2276" w:type="dxa"/>
          </w:tcPr>
          <w:p>
            <w:pPr/>
            <w:r>
              <w:t xml:space="preserve">In-Scope</w:t>
            </w:r>
          </w:p>
        </w:tc>
        <w:tc>
          <w:tcPr>
            <w:tcW w:w="7083" w:type="dxa"/>
          </w:tcPr>
          <w:p>
            <w:pPr/>
            <w:r>
              <w:t xml:space="preserve">Support for local open-source LLMs (Llama 3, Mistral via Ollama) and REST API endpoints.</w:t>
            </w:r>
          </w:p>
        </w:tc>
      </w:tr>
      <w:tr>
        <w:tc>
          <w:tcPr>
            <w:tcW w:w="2276" w:type="dxa"/>
          </w:tcPr>
          <w:p>
            <w:pPr/>
            <w:r>
              <w:t xml:space="preserve">In-Scope</w:t>
            </w:r>
          </w:p>
        </w:tc>
        <w:tc>
          <w:tcPr>
            <w:tcW w:w="7083" w:type="dxa"/>
          </w:tcPr>
          <w:p>
            <w:pPr/>
            <w:r>
              <w:t xml:space="preserve">Automated generation of execution hit logs (JSONL) and summary reports (HTML).</w:t>
            </w:r>
          </w:p>
        </w:tc>
      </w:tr>
      <w:tr>
        <w:tc>
          <w:tcPr>
            <w:tcW w:w="2276" w:type="dxa"/>
          </w:tcPr>
          <w:p>
            <w:pPr/>
            <w:r>
              <w:t xml:space="preserve">Out-of-Scope</w:t>
            </w:r>
          </w:p>
        </w:tc>
        <w:tc>
          <w:tcPr>
            <w:tcW w:w="7083" w:type="dxa"/>
          </w:tcPr>
          <w:p>
            <w:pPr/>
            <w:r>
              <w:t xml:space="preserve">Training base language models from scratch.</w:t>
            </w:r>
          </w:p>
        </w:tc>
      </w:tr>
      <w:tr>
        <w:tc>
          <w:tcPr>
            <w:tcW w:w="2276" w:type="dxa"/>
          </w:tcPr>
          <w:p>
            <w:pPr/>
            <w:r>
              <w:t xml:space="preserve">Out-of-Scope</w:t>
            </w:r>
          </w:p>
        </w:tc>
        <w:tc>
          <w:tcPr>
            <w:tcW w:w="7083" w:type="dxa"/>
          </w:tcPr>
          <w:p>
            <w:pPr/>
            <w:r>
              <w:t xml:space="preserve">Hardware-level side-channel security analysis.</w:t>
            </w:r>
          </w:p>
        </w:tc>
      </w:tr>
      <w:tr>
        <w:tc>
          <w:tcPr>
            <w:tcW w:w="2276" w:type="dxa"/>
          </w:tcPr>
          <w:p>
            <w:pPr/>
            <w:r>
              <w:t xml:space="preserve">Out-of-Scope</w:t>
            </w:r>
          </w:p>
        </w:tc>
        <w:tc>
          <w:tcPr>
            <w:tcW w:w="7083" w:type="dxa"/>
          </w:tcPr>
          <w:p>
            <w:pPr/>
            <w:r>
              <w:t xml:space="preserve">Physical security assessment of cloud server infrastructure.</w:t>
            </w:r>
          </w:p>
        </w:tc>
      </w:tr>
    </w:tbl>
    <w:p>
      <w:pPr>
        <w:pStyle w:val="Heading2"/>
      </w:pPr>
      <w:r>
        <w:t xml:space="preserve">9. Feasibility Study</w:t>
      </w:r>
    </w:p>
    <w:tbl>
      <w:tblPr>
        <w:tblStyle w:val="TableGrid"/>
        <w:tblW w:w="0" w:type="auto"/>
        <w:tblLayout w:type="fixed"/>
        <w:tblLook w:val="04A0" w:firstRow="1" w:lastRow="0" w:firstColumn="0" w:lastColumn="0" w:noHBand="0" w:noVBand="1"/>
      </w:tblPr>
      <w:tblGrid>
        <w:gridCol w:w="3276"/>
        <w:gridCol w:w="6083"/>
      </w:tblGrid>
      <w:tr>
        <w:trPr>
          <w:tblHeader/>
        </w:trPr>
        <w:tc>
          <w:tcPr>
            <w:tcW w:w="3276" w:type="dxa"/>
            <w:shd w:val="clear" w:color="auto" w:fill="F2F2F2"/>
          </w:tcPr>
          <w:p>
            <w:pPr/>
            <w:r>
              <w:t xml:space="preserve">Type</w:t>
            </w:r>
          </w:p>
        </w:tc>
        <w:tc>
          <w:tcPr>
            <w:tcW w:w="6083" w:type="dxa"/>
            <w:shd w:val="clear" w:color="auto" w:fill="F2F2F2"/>
          </w:tcPr>
          <w:p>
            <w:pPr/>
            <w:r>
              <w:t xml:space="preserve">Assessment</w:t>
            </w:r>
          </w:p>
        </w:tc>
      </w:tr>
      <w:tr>
        <w:tc>
          <w:tcPr>
            <w:tcW w:w="3276" w:type="dxa"/>
          </w:tcPr>
          <w:p>
            <w:pPr/>
            <w:r>
              <w:t xml:space="preserve">Technical Feasibility</w:t>
            </w:r>
          </w:p>
        </w:tc>
        <w:tc>
          <w:tcPr>
            <w:tcW w:w="6083" w:type="dxa"/>
          </w:tcPr>
          <w:p>
            <w:pPr/>
            <w:r>
              <w:t xml:space="preserve">The project uses proven open-source technologies including Python, PyTorch, Hugging Face, Garak, and Ollama. The student team possesses requisite programming skills in Python REST APIs and basic machine learning tooling.</w:t>
            </w:r>
          </w:p>
        </w:tc>
      </w:tr>
      <w:tr>
        <w:tc>
          <w:tcPr>
            <w:tcW w:w="3276" w:type="dxa"/>
          </w:tcPr>
          <w:p>
            <w:pPr/>
            <w:r>
              <w:t xml:space="preserve">Operational Feasibility</w:t>
            </w:r>
          </w:p>
        </w:tc>
        <w:tc>
          <w:tcPr>
            <w:tcW w:w="6083" w:type="dxa"/>
          </w:tcPr>
          <w:p>
            <w:pPr/>
            <w:r>
              <w:t xml:space="preserve">Automated red-teaming reduces manual security testing effort. The resulting platform can be deployed locally or integrated into automated software build testing.</w:t>
            </w:r>
          </w:p>
        </w:tc>
      </w:tr>
      <w:tr>
        <w:tc>
          <w:tcPr>
            <w:tcW w:w="3276" w:type="dxa"/>
          </w:tcPr>
          <w:p>
            <w:pPr/>
            <w:r>
              <w:t xml:space="preserve">Economic Feasibility</w:t>
            </w:r>
          </w:p>
        </w:tc>
        <w:tc>
          <w:tcPr>
            <w:tcW w:w="6083" w:type="dxa"/>
          </w:tcPr>
          <w:p>
            <w:pPr/>
            <w:r>
              <w:t xml:space="preserve">The project relies on open-source software, free public datasets, and local LLM execution using available hardware, avoiding expensive external API costs.</w:t>
            </w:r>
          </w:p>
        </w:tc>
      </w:tr>
    </w:tbl>
    <w:p>
      <w:pPr>
        <w:pStyle w:val="Heading2"/>
      </w:pPr>
      <w:r>
        <w:t xml:space="preserve">10. Solution Application Areas</w:t>
      </w:r>
    </w:p>
    <w:tbl>
      <w:tblPr>
        <w:tblStyle w:val="TableGrid"/>
        <w:tblW w:w="0" w:type="auto"/>
        <w:tblLayout w:type="fixed"/>
        <w:tblLook w:val="04A0" w:firstRow="1" w:lastRow="0" w:firstColumn="0" w:lastColumn="0" w:noHBand="0" w:noVBand="1"/>
      </w:tblPr>
      <w:tblGrid>
        <w:gridCol w:w="790"/>
        <w:gridCol w:w="3168"/>
        <w:gridCol w:w="5401"/>
      </w:tblGrid>
      <w:tr>
        <w:trPr>
          <w:tblHeader/>
        </w:trPr>
        <w:tc>
          <w:tcPr>
            <w:tcW w:w="790" w:type="dxa"/>
            <w:shd w:val="clear" w:color="auto" w:fill="F2F2F2"/>
          </w:tcPr>
          <w:p>
            <w:pPr/>
            <w:r>
              <w:t xml:space="preserve">#</w:t>
            </w:r>
          </w:p>
        </w:tc>
        <w:tc>
          <w:tcPr>
            <w:tcW w:w="3168" w:type="dxa"/>
            <w:shd w:val="clear" w:color="auto" w:fill="F2F2F2"/>
          </w:tcPr>
          <w:p>
            <w:pPr/>
            <w:r>
              <w:t xml:space="preserve">Application Area</w:t>
            </w:r>
          </w:p>
        </w:tc>
        <w:tc>
          <w:tcPr>
            <w:tcW w:w="5401" w:type="dxa"/>
            <w:shd w:val="clear" w:color="auto" w:fill="F2F2F2"/>
          </w:tcPr>
          <w:p>
            <w:pPr/>
            <w:r>
              <w:t xml:space="preserve">Use</w:t>
            </w:r>
          </w:p>
        </w:tc>
      </w:tr>
      <w:tr>
        <w:tc>
          <w:tcPr>
            <w:tcW w:w="790" w:type="dxa"/>
          </w:tcPr>
          <w:p>
            <w:pPr/>
            <w:r>
              <w:t xml:space="preserve">1</w:t>
            </w:r>
          </w:p>
        </w:tc>
        <w:tc>
          <w:tcPr>
            <w:tcW w:w="3168" w:type="dxa"/>
          </w:tcPr>
          <w:p>
            <w:pPr/>
            <w:r>
              <w:t xml:space="preserve">Enterprise AI Governance</w:t>
            </w:r>
          </w:p>
        </w:tc>
        <w:tc>
          <w:tcPr>
            <w:tcW w:w="5401" w:type="dxa"/>
          </w:tcPr>
          <w:p>
            <w:pPr/>
            <w:r>
              <w:t xml:space="preserve">Allows organizations to perform automated security audits before deploying internal AI assistants.</w:t>
            </w:r>
          </w:p>
        </w:tc>
      </w:tr>
      <w:tr>
        <w:tc>
          <w:tcPr>
            <w:tcW w:w="790" w:type="dxa"/>
          </w:tcPr>
          <w:p>
            <w:pPr/>
            <w:r>
              <w:t xml:space="preserve">2</w:t>
            </w:r>
          </w:p>
        </w:tc>
        <w:tc>
          <w:tcPr>
            <w:tcW w:w="3168" w:type="dxa"/>
          </w:tcPr>
          <w:p>
            <w:pPr/>
            <w:r>
              <w:t xml:space="preserve">DevSecOps Integration</w:t>
            </w:r>
          </w:p>
        </w:tc>
        <w:tc>
          <w:tcPr>
            <w:tcW w:w="5401" w:type="dxa"/>
          </w:tcPr>
          <w:p>
            <w:pPr/>
            <w:r>
              <w:t xml:space="preserve">Enables automated security regression testing in continuous integration pipelines.</w:t>
            </w:r>
          </w:p>
        </w:tc>
      </w:tr>
      <w:tr>
        <w:tc>
          <w:tcPr>
            <w:tcW w:w="790" w:type="dxa"/>
          </w:tcPr>
          <w:p>
            <w:pPr/>
            <w:r>
              <w:t xml:space="preserve">3</w:t>
            </w:r>
          </w:p>
        </w:tc>
        <w:tc>
          <w:tcPr>
            <w:tcW w:w="3168" w:type="dxa"/>
          </w:tcPr>
          <w:p>
            <w:pPr/>
            <w:r>
              <w:t xml:space="preserve">Academic Research</w:t>
            </w:r>
          </w:p>
        </w:tc>
        <w:tc>
          <w:tcPr>
            <w:tcW w:w="5401" w:type="dxa"/>
          </w:tcPr>
          <w:p>
            <w:pPr/>
            <w:r>
              <w:t xml:space="preserve">Offers a benchmark platform for testing new alignment algorithms and defensive guardrails.</w:t>
            </w:r>
          </w:p>
        </w:tc>
      </w:tr>
    </w:tbl>
    <w:p>
      <w:pPr>
        <w:pStyle w:val="Heading2"/>
      </w:pPr>
      <w:r>
        <w:t xml:space="preserve">11. Tools &amp; Technology Stack</w:t>
      </w:r>
    </w:p>
    <w:tbl>
      <w:tblPr>
        <w:tblStyle w:val="TableGrid"/>
        <w:tblW w:w="0" w:type="auto"/>
        <w:tblLayout w:type="fixed"/>
        <w:tblLook w:val="04A0" w:firstRow="1" w:lastRow="0" w:firstColumn="0" w:lastColumn="0" w:noHBand="0" w:noVBand="1"/>
      </w:tblPr>
      <w:tblGrid>
        <w:gridCol w:w="2703"/>
        <w:gridCol w:w="1941"/>
        <w:gridCol w:w="4716"/>
      </w:tblGrid>
      <w:tr>
        <w:trPr>
          <w:tblHeader/>
        </w:trPr>
        <w:tc>
          <w:tcPr>
            <w:tcW w:w="2703" w:type="dxa"/>
            <w:shd w:val="clear" w:color="auto" w:fill="F2F2F2"/>
          </w:tcPr>
          <w:p>
            <w:pPr/>
            <w:r>
              <w:t xml:space="preserve">Category</w:t>
            </w:r>
          </w:p>
        </w:tc>
        <w:tc>
          <w:tcPr>
            <w:tcW w:w="1941" w:type="dxa"/>
            <w:shd w:val="clear" w:color="auto" w:fill="F2F2F2"/>
          </w:tcPr>
          <w:p>
            <w:pPr/>
            <w:r>
              <w:t xml:space="preserve">Component / Tool</w:t>
            </w:r>
          </w:p>
        </w:tc>
        <w:tc>
          <w:tcPr>
            <w:tcW w:w="4716" w:type="dxa"/>
            <w:shd w:val="clear" w:color="auto" w:fill="F2F2F2"/>
          </w:tcPr>
          <w:p>
            <w:pPr/>
            <w:r>
              <w:t xml:space="preserve">Usage in Project</w:t>
            </w:r>
          </w:p>
        </w:tc>
      </w:tr>
      <w:tr>
        <w:tc>
          <w:tcPr>
            <w:tcW w:w="2703" w:type="dxa"/>
          </w:tcPr>
          <w:p>
            <w:pPr/>
            <w:r>
              <w:t xml:space="preserve">Programming Language</w:t>
            </w:r>
          </w:p>
        </w:tc>
        <w:tc>
          <w:tcPr>
            <w:tcW w:w="1941" w:type="dxa"/>
          </w:tcPr>
          <w:p>
            <w:pPr/>
            <w:r>
              <w:t xml:space="preserve">Python 3.11+</w:t>
            </w:r>
          </w:p>
        </w:tc>
        <w:tc>
          <w:tcPr>
            <w:tcW w:w="4716" w:type="dxa"/>
          </w:tcPr>
          <w:p>
            <w:pPr/>
            <w:r>
              <w:t xml:space="preserve">Core engine development, API adapters, and metric calculation.</w:t>
            </w:r>
          </w:p>
        </w:tc>
      </w:tr>
      <w:tr>
        <w:tc>
          <w:tcPr>
            <w:tcW w:w="2703" w:type="dxa"/>
          </w:tcPr>
          <w:p>
            <w:pPr/>
            <w:r>
              <w:t xml:space="preserve">Core Frameworks</w:t>
            </w:r>
          </w:p>
        </w:tc>
        <w:tc>
          <w:tcPr>
            <w:tcW w:w="1941" w:type="dxa"/>
          </w:tcPr>
          <w:p>
            <w:pPr/>
            <w:r>
              <w:t xml:space="preserve">Garak, Promptfoo, PyTorch</w:t>
            </w:r>
          </w:p>
        </w:tc>
        <w:tc>
          <w:tcPr>
            <w:tcW w:w="4716" w:type="dxa"/>
          </w:tcPr>
          <w:p>
            <w:pPr/>
            <w:r>
              <w:t xml:space="preserve">Vulnerability probing, evaluation harness, and model execution.</w:t>
            </w:r>
          </w:p>
        </w:tc>
      </w:tr>
      <w:tr>
        <w:tc>
          <w:tcPr>
            <w:tcW w:w="2703" w:type="dxa"/>
          </w:tcPr>
          <w:p>
            <w:pPr/>
            <w:r>
              <w:t xml:space="preserve">Local Model Runtime</w:t>
            </w:r>
          </w:p>
        </w:tc>
        <w:tc>
          <w:tcPr>
            <w:tcW w:w="1941" w:type="dxa"/>
          </w:tcPr>
          <w:p>
            <w:pPr/>
            <w:r>
              <w:t xml:space="preserve">Ollama / vLLM</w:t>
            </w:r>
          </w:p>
        </w:tc>
        <w:tc>
          <w:tcPr>
            <w:tcW w:w="4716" w:type="dxa"/>
          </w:tcPr>
          <w:p>
            <w:pPr/>
            <w:r>
              <w:t xml:space="preserve">Running open-source target models (Llama 3, Mistral) locally.</w:t>
            </w:r>
          </w:p>
        </w:tc>
      </w:tr>
      <w:tr>
        <w:tc>
          <w:tcPr>
            <w:tcW w:w="2703" w:type="dxa"/>
          </w:tcPr>
          <w:p>
            <w:pPr/>
            <w:r>
              <w:t xml:space="preserve">Detection Models</w:t>
            </w:r>
          </w:p>
        </w:tc>
        <w:tc>
          <w:tcPr>
            <w:tcW w:w="1941" w:type="dxa"/>
          </w:tcPr>
          <w:p>
            <w:pPr/>
            <w:r>
              <w:t xml:space="preserve">LlamaGuard / Regex Engine</w:t>
            </w:r>
          </w:p>
        </w:tc>
        <w:tc>
          <w:tcPr>
            <w:tcW w:w="4716" w:type="dxa"/>
          </w:tcPr>
          <w:p>
            <w:pPr/>
            <w:r>
              <w:t xml:space="preserve">Second-pass semantic output evaluation for policy violations.</w:t>
            </w:r>
          </w:p>
        </w:tc>
      </w:tr>
      <w:tr>
        <w:tc>
          <w:tcPr>
            <w:tcW w:w="2703" w:type="dxa"/>
          </w:tcPr>
          <w:p>
            <w:pPr/>
            <w:r>
              <w:t xml:space="preserve">Web Backend &amp; UI</w:t>
            </w:r>
          </w:p>
        </w:tc>
        <w:tc>
          <w:tcPr>
            <w:tcW w:w="1941" w:type="dxa"/>
          </w:tcPr>
          <w:p>
            <w:pPr/>
            <w:r>
              <w:t xml:space="preserve">FastAPI, React.js / HTML5</w:t>
            </w:r>
          </w:p>
        </w:tc>
        <w:tc>
          <w:tcPr>
            <w:tcW w:w="4716" w:type="dxa"/>
          </w:tcPr>
          <w:p>
            <w:pPr/>
            <w:r>
              <w:t xml:space="preserve">User dashboard for launching scans and viewing reports.</w:t>
            </w:r>
          </w:p>
        </w:tc>
      </w:tr>
      <w:tr>
        <w:tc>
          <w:tcPr>
            <w:tcW w:w="2703" w:type="dxa"/>
          </w:tcPr>
          <w:p>
            <w:pPr/>
            <w:r>
              <w:t xml:space="preserve">Output Formats</w:t>
            </w:r>
          </w:p>
        </w:tc>
        <w:tc>
          <w:tcPr>
            <w:tcW w:w="1941" w:type="dxa"/>
          </w:tcPr>
          <w:p>
            <w:pPr/>
            <w:r>
              <w:t xml:space="preserve">JSONL, HTML</w:t>
            </w:r>
          </w:p>
        </w:tc>
        <w:tc>
          <w:tcPr>
            <w:tcW w:w="4716" w:type="dxa"/>
          </w:tcPr>
          <w:p>
            <w:pPr/>
            <w:r>
              <w:t xml:space="preserve">Machine-readable hit logs and audit summary dashboards.</w:t>
            </w:r>
          </w:p>
        </w:tc>
      </w:tr>
    </w:tbl>
    <w:p>
      <w:pPr>
        <w:pStyle w:val="Heading2"/>
      </w:pPr>
      <w:r>
        <w:t xml:space="preserve">12. Milestones &amp; Timeline</w:t>
      </w:r>
    </w:p>
    <w:tbl>
      <w:tblPr>
        <w:tblStyle w:val="TableGrid"/>
        <w:tblW w:w="0" w:type="auto"/>
        <w:tblLayout w:type="fixed"/>
        <w:tblLook w:val="04A0" w:firstRow="1" w:lastRow="0" w:firstColumn="0" w:lastColumn="0" w:noHBand="0" w:noVBand="1"/>
      </w:tblPr>
      <w:tblGrid>
        <w:gridCol w:w="2180"/>
        <w:gridCol w:w="4920"/>
        <w:gridCol w:w="2260"/>
      </w:tblGrid>
      <w:tr>
        <w:trPr>
          <w:tblHeader/>
        </w:trPr>
        <w:tc>
          <w:tcPr>
            <w:tcW w:w="2180" w:type="dxa"/>
            <w:shd w:val="clear" w:color="auto" w:fill="F2F2F2"/>
          </w:tcPr>
          <w:p>
            <w:pPr/>
            <w:r>
              <w:t xml:space="preserve">Phase</w:t>
            </w:r>
          </w:p>
        </w:tc>
        <w:tc>
          <w:tcPr>
            <w:tcW w:w="4920" w:type="dxa"/>
            <w:shd w:val="clear" w:color="auto" w:fill="F2F2F2"/>
          </w:tcPr>
          <w:p>
            <w:pPr/>
            <w:r>
              <w:t xml:space="preserve">Key Tasks</w:t>
            </w:r>
          </w:p>
        </w:tc>
        <w:tc>
          <w:tcPr>
            <w:tcW w:w="2260" w:type="dxa"/>
            <w:shd w:val="clear" w:color="auto" w:fill="F2F2F2"/>
          </w:tcPr>
          <w:p>
            <w:pPr/>
            <w:r>
              <w:t xml:space="preserve">Estimated Duration</w:t>
            </w:r>
          </w:p>
        </w:tc>
      </w:tr>
      <w:tr>
        <w:tc>
          <w:tcPr>
            <w:tcW w:w="2180" w:type="dxa"/>
          </w:tcPr>
          <w:p>
            <w:pPr/>
            <w:r>
              <w:t xml:space="preserve">Phase 1: Planning &amp; Setup</w:t>
            </w:r>
          </w:p>
        </w:tc>
        <w:tc>
          <w:tcPr>
            <w:tcW w:w="4920" w:type="dxa"/>
          </w:tcPr>
          <w:p>
            <w:pPr/>
            <w:r>
              <w:t xml:space="preserve">Requirements gathering, literature review, installing Ollama/Garak frameworks.</w:t>
            </w:r>
          </w:p>
        </w:tc>
        <w:tc>
          <w:tcPr>
            <w:tcW w:w="2260" w:type="dxa"/>
          </w:tcPr>
          <w:p>
            <w:pPr/>
            <w:r>
              <w:t xml:space="preserve">Weeks 1–4</w:t>
            </w:r>
          </w:p>
        </w:tc>
      </w:tr>
      <w:tr>
        <w:tc>
          <w:tcPr>
            <w:tcW w:w="2180" w:type="dxa"/>
          </w:tcPr>
          <w:p>
            <w:pPr/>
            <w:r>
              <w:t xml:space="preserve">Phase 2: Engine Development</w:t>
            </w:r>
          </w:p>
        </w:tc>
        <w:tc>
          <w:tcPr>
            <w:tcW w:w="4920" w:type="dxa"/>
          </w:tcPr>
          <w:p>
            <w:pPr/>
            <w:r>
              <w:t xml:space="preserve">Building Target API adapters, probe generator modules, and regex detectors.</w:t>
            </w:r>
          </w:p>
        </w:tc>
        <w:tc>
          <w:tcPr>
            <w:tcW w:w="2260" w:type="dxa"/>
          </w:tcPr>
          <w:p>
            <w:pPr/>
            <w:r>
              <w:t xml:space="preserve">Weeks 5–10</w:t>
            </w:r>
          </w:p>
        </w:tc>
      </w:tr>
      <w:tr>
        <w:tc>
          <w:tcPr>
            <w:tcW w:w="2180" w:type="dxa"/>
          </w:tcPr>
          <w:p>
            <w:pPr/>
            <w:r>
              <w:t xml:space="preserve">Phase 3: Multi-Turn Logic</w:t>
            </w:r>
          </w:p>
        </w:tc>
        <w:tc>
          <w:tcPr>
            <w:tcW w:w="4920" w:type="dxa"/>
          </w:tcPr>
          <w:p>
            <w:pPr/>
            <w:r>
              <w:t xml:space="preserve">Implementing Crescendo state machine and LlamaGuard classifier module.</w:t>
            </w:r>
          </w:p>
        </w:tc>
        <w:tc>
          <w:tcPr>
            <w:tcW w:w="2260" w:type="dxa"/>
          </w:tcPr>
          <w:p>
            <w:pPr/>
            <w:r>
              <w:t xml:space="preserve">Weeks 11–16</w:t>
            </w:r>
          </w:p>
        </w:tc>
      </w:tr>
      <w:tr>
        <w:tc>
          <w:tcPr>
            <w:tcW w:w="2180" w:type="dxa"/>
          </w:tcPr>
          <w:p>
            <w:pPr/>
            <w:r>
              <w:t xml:space="preserve">Phase 4: Integration &amp; UI</w:t>
            </w:r>
          </w:p>
        </w:tc>
        <w:tc>
          <w:tcPr>
            <w:tcW w:w="4920" w:type="dxa"/>
          </w:tcPr>
          <w:p>
            <w:pPr/>
            <w:r>
              <w:t xml:space="preserve">Building web dashboard, connecting backend evaluation harness, report generation.</w:t>
            </w:r>
          </w:p>
        </w:tc>
        <w:tc>
          <w:tcPr>
            <w:tcW w:w="2260" w:type="dxa"/>
          </w:tcPr>
          <w:p>
            <w:pPr/>
            <w:r>
              <w:t xml:space="preserve">Weeks 17–20</w:t>
            </w:r>
          </w:p>
        </w:tc>
      </w:tr>
      <w:tr>
        <w:tc>
          <w:tcPr>
            <w:tcW w:w="2180" w:type="dxa"/>
          </w:tcPr>
          <w:p>
            <w:pPr/>
            <w:r>
              <w:t xml:space="preserve">Phase 5: Testing &amp; Benchmarking</w:t>
            </w:r>
          </w:p>
        </w:tc>
        <w:tc>
          <w:tcPr>
            <w:tcW w:w="4920" w:type="dxa"/>
          </w:tcPr>
          <w:p>
            <w:pPr/>
            <w:r>
              <w:t xml:space="preserve">Running security scans on models, calculating ASR and RI metrics.</w:t>
            </w:r>
          </w:p>
        </w:tc>
        <w:tc>
          <w:tcPr>
            <w:tcW w:w="2260" w:type="dxa"/>
          </w:tcPr>
          <w:p>
            <w:pPr/>
            <w:r>
              <w:t xml:space="preserve">Weeks 21–24</w:t>
            </w:r>
          </w:p>
        </w:tc>
      </w:tr>
      <w:tr>
        <w:tc>
          <w:tcPr>
            <w:tcW w:w="2180" w:type="dxa"/>
          </w:tcPr>
          <w:p>
            <w:pPr/>
            <w:r>
              <w:t xml:space="preserve">Phase 6: Final Documentation</w:t>
            </w:r>
          </w:p>
        </w:tc>
        <w:tc>
          <w:tcPr>
            <w:tcW w:w="4920" w:type="dxa"/>
          </w:tcPr>
          <w:p>
            <w:pPr/>
            <w:r>
              <w:t xml:space="preserve">Writing final project thesis, compiling SRS/SDD documents, and presentation prep.</w:t>
            </w:r>
          </w:p>
        </w:tc>
        <w:tc>
          <w:tcPr>
            <w:tcW w:w="2260" w:type="dxa"/>
          </w:tcPr>
          <w:p>
            <w:pPr/>
            <w:r>
              <w:t xml:space="preserve">Weeks 25–28</w:t>
            </w:r>
          </w:p>
        </w:tc>
      </w:tr>
    </w:tbl>
    <w:p>
      <w:pPr>
        <w:pStyle w:val="Heading2"/>
      </w:pPr>
      <w:r>
        <w:t xml:space="preserve">13. References</w:t>
      </w:r>
    </w:p>
    <w:p>
      <w:pPr>
        <w:pStyle w:val="ListParagraph"/>
        <w:numPr>
          <w:ilvl w:val="0"/>
          <w:numId w:val="2"/>
        </w:numPr>
      </w:pPr>
      <w:r>
        <w:t xml:space="preserve">OWASP Top 10 for Large Language Model Applications (2025 Edition). OWASP Foundation, 2025.</w:t>
      </w:r>
    </w:p>
    <w:p>
      <w:pPr>
        <w:pStyle w:val="ListParagraph"/>
        <w:numPr>
          <w:ilvl w:val="0"/>
          <w:numId w:val="2"/>
        </w:numPr>
      </w:pPr>
      <w:r>
        <w:t xml:space="preserve">Trend Micro. What is OWASP Top 10 for AI? Trend Micro Research, 2025.</w:t>
      </w:r>
    </w:p>
    <w:p>
      <w:pPr>
        <w:pStyle w:val="ListParagraph"/>
        <w:numPr>
          <w:ilvl w:val="0"/>
          <w:numId w:val="2"/>
        </w:numPr>
      </w:pPr>
      <w:r>
        <w:t xml:space="preserve">Securiti AI. CISO’s GenAI Security Blueprint: OWASP Top 10 LLM Risks. Securiti Knowledge Center, 2024.</w:t>
      </w:r>
    </w:p>
    <w:p>
      <w:pPr>
        <w:pStyle w:val="ListParagraph"/>
        <w:numPr>
          <w:ilvl w:val="0"/>
          <w:numId w:val="2"/>
        </w:numPr>
      </w:pPr>
      <w:r>
        <w:t xml:space="preserve">NVIDIA / Garak Contributors. garak: Generative AI Red-teaming &amp; Assessment Kit. GitHub Repository, 2024.</w:t>
      </w:r>
    </w:p>
    <w:p>
      <w:pPr>
        <w:pStyle w:val="ListParagraph"/>
        <w:numPr>
          <w:ilvl w:val="0"/>
          <w:numId w:val="2"/>
        </w:numPr>
      </w:pPr>
      <w:r>
        <w:t xml:space="preserve">Russinovich, M., et al. Crescendo: A Multi-Turn Conversation-Based Jailbreak Attack Against AI Systems. arXiv:2404.01833, 2024.</w:t>
      </w:r>
    </w:p>
    <w:p>
      <w:pPr>
        <w:pStyle w:val="ListParagraph"/>
        <w:numPr>
          <w:ilvl w:val="0"/>
          <w:numId w:val="2"/>
        </w:numPr>
      </w:pPr>
      <w:r>
        <w:t xml:space="preserve">Microsoft. Python Risk Identification Tool for Generative AI (PyRIT). Microsoft Security, 2024.</w:t>
      </w:r>
    </w:p>
    <w:p>
      <w:pPr>
        <w:pStyle w:val="ListParagraph"/>
        <w:numPr>
          <w:ilvl w:val="0"/>
          <w:numId w:val="2"/>
        </w:numPr>
      </w:pPr>
      <w:r>
        <w:t xml:space="preserve">Mazeika, M., et al. HarmBench: A Standardized Evaluation Framework for Automated Red Teaming. arXiv:2402.04249, 2024.</w:t>
      </w:r>
    </w:p>
    <w:p>
      <w:pPr>
        <w:pStyle w:val="ListParagraph"/>
        <w:numPr>
          <w:ilvl w:val="0"/>
          <w:numId w:val="2"/>
        </w:numPr>
      </w:pPr>
      <w:r>
        <w:t xml:space="preserve">Chao, P., et al. JailbreakBench: An Open Robustness Benchmark for Jailbreaking Large Language Models. arXiv:2404.01318, 2024.</w:t>
      </w:r>
    </w:p>
    <w:p>
      <w:pPr>
        <w:pStyle w:val="ListParagraph"/>
        <w:numPr>
          <w:ilvl w:val="0"/>
          <w:numId w:val="2"/>
        </w:numPr>
      </w:pPr>
      <w:r>
        <w:t xml:space="preserve">Inan, H., et al. Llama Guard: LLM-based Input-Output Safeguard for Human-AI Conversations. Meta AI, 2023.</w:t>
      </w:r>
    </w:p>
    <w:p>
      <w:pPr>
        <w:pStyle w:val="ListParagraph"/>
        <w:numPr>
          <w:ilvl w:val="0"/>
          <w:numId w:val="2"/>
        </w:numPr>
      </w:pPr>
      <w:r>
        <w:t xml:space="preserve">IEEE / ISO Standards. ISO/IEC/IEEE 29148: Systems and software engineering — Life cycle processes — Requirements engineering. IEEE, 2018.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Automated Multi-Turn Red-Teaming and Security Benchmarking Platform for GenAI Ap</dc:title>
  <dc:description>Claude Docs node/9258bd85-1fc3@1 docx-w7</dc:description>
  <cp:revision>1</cp:revision>
</cp:coreProperties>
</file>