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100"/>
        <w:jc w:val="center"/>
        <w:keepLines/>
      </w:pPr>
      <w:r>
        <w:rPr>
          <w:rFonts w:ascii="Arial" w:hAnsi="Arial"/>
          <w:b/>
          <w:i w:val="0"/>
          <w:color w:val="17324D"/>
          <w:sz w:val="56"/>
        </w:rPr>
        <w:t>XBOT EV</w:t>
      </w:r>
    </w:p>
    <w:p>
      <w:pPr>
        <w:spacing w:after="40"/>
        <w:jc w:val="center"/>
        <w:keepLines/>
      </w:pPr>
      <w:r>
        <w:rPr>
          <w:rFonts w:ascii="Arial" w:hAnsi="Arial"/>
          <w:b/>
          <w:i w:val="0"/>
          <w:color w:val="2F6F9F"/>
          <w:sz w:val="26"/>
        </w:rPr>
        <w:t>TASK 3</w:t>
      </w:r>
    </w:p>
    <w:p>
      <w:pPr>
        <w:spacing w:before="360" w:after="120"/>
        <w:jc w:val="center"/>
        <w:keepLines/>
      </w:pPr>
      <w:r>
        <w:rPr>
          <w:rFonts w:ascii="Arial" w:hAnsi="Arial"/>
          <w:b/>
          <w:i w:val="0"/>
          <w:color w:val="20262D"/>
          <w:sz w:val="36"/>
        </w:rPr>
        <w:t>Automation: Workflow Design</w:t>
      </w:r>
    </w:p>
    <w:p>
      <w:pPr>
        <w:spacing w:after="360"/>
        <w:jc w:val="center"/>
        <w:keepLines/>
      </w:pPr>
      <w:r>
        <w:rPr>
          <w:rFonts w:ascii="Arial" w:hAnsi="Arial"/>
          <w:b w:val="0"/>
          <w:i w:val="0"/>
          <w:color w:val="5B6570"/>
          <w:sz w:val="21"/>
        </w:rPr>
        <w:t>WhatsApp Conversation Architecture  •  Backend/API Design  •  Fallbacks  •  Security  • 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</w:tblGrid>
      <w:tr>
        <w:tc>
          <w:tcPr>
            <w:tcW w:type="dxa" w:w="3278"/>
            <w:shd w:fill="2F6F9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3278"/>
            <w:shd w:fill="E5B93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3278"/>
            <w:shd w:fill="17324D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before="640" w:after="0"/>
        <w:jc w:val="center"/>
        <w:keepLines/>
      </w:pPr>
      <w:r>
        <w:rPr>
          <w:rFonts w:ascii="Arial" w:hAnsi="Arial"/>
          <w:b w:val="0"/>
          <w:i/>
          <w:color w:val="5B6570"/>
          <w:sz w:val="19"/>
        </w:rPr>
        <w:t>Proposed design for the XBOT EV hiring assessment</w:t>
      </w:r>
    </w:p>
    <w:p>
      <w:r>
        <w:br w:type="page"/>
      </w:r>
    </w:p>
    <w:p>
      <w:pPr>
        <w:pStyle w:val="Heading1"/>
        <w:spacing w:before="0" w:after="180"/>
        <w:keepNext/>
        <w:pBdr>
          <w:bottom w:val="single" w:sz="12" w:space="4" w:color="2F6F9F"/>
        </w:pBdr>
        <w:keepLines/>
      </w:pPr>
      <w:r>
        <w:rPr>
          <w:rFonts w:ascii="Arial" w:hAnsi="Arial"/>
          <w:b/>
          <w:color w:val="17324D"/>
          <w:sz w:val="32"/>
        </w:rPr>
        <w:t>1. Executive Overview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This submission presents a proposed WhatsApp automation design for XBOT EV covering the two required customer intents: checking the official price of a specified bike model and booking a test ride.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The design combines conversational AI with controlled backend validation, server-side persistence, fallback handling, human handoff, security, observability, and governance.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EAF3F8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Design guardrail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AI understands the customer; the backend validates business rules; PostgreSQL stores the source of truth. This is an implementation-oriented design and does not claim that the bot, APIs, database, or integrations are already live in production.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  <w:keepNext/>
        <w:keepLines/>
      </w:pPr>
      <w:r>
        <w:rPr>
          <w:rFonts w:ascii="Arial" w:hAnsi="Arial"/>
          <w:b/>
          <w:color w:val="2F6F9F"/>
          <w:sz w:val="23"/>
        </w:rPr>
        <w:t>Assessment scope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tblHeader w:val="true"/>
        </w:trPr>
        <w:tc>
          <w:tcPr>
            <w:tcW w:type="dxa" w:w="2880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552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Proposed design response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Primary channel</w:t>
            </w:r>
          </w:p>
        </w:tc>
        <w:tc>
          <w:tcPr>
            <w:tcW w:type="dxa" w:w="65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WhatsApp via Twilio WhatsApp API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Intent 1</w:t>
            </w:r>
          </w:p>
        </w:tc>
        <w:tc>
          <w:tcPr>
            <w:tcW w:type="dxa" w:w="65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Official bike price enquiry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Intent 2</w:t>
            </w:r>
          </w:p>
        </w:tc>
        <w:tc>
          <w:tcPr>
            <w:tcW w:type="dxa" w:w="65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Test-ride booking with explicit confirmation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Business logic</w:t>
            </w:r>
          </w:p>
        </w:tc>
        <w:tc>
          <w:tcPr>
            <w:tcW w:type="dxa" w:w="65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FastAPI + Python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Source of truth</w:t>
            </w:r>
          </w:p>
        </w:tc>
        <w:tc>
          <w:tcPr>
            <w:tcW w:type="dxa" w:w="65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PostgreSQL for catalog, slots, bookings, and status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Exception handling</w:t>
            </w:r>
          </w:p>
        </w:tc>
        <w:tc>
          <w:tcPr>
            <w:tcW w:type="dxa" w:w="65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Guided fallback plus human handoff</w:t>
            </w:r>
          </w:p>
        </w:tc>
      </w:tr>
    </w:tbl>
    <w:p>
      <w:pPr>
        <w:pStyle w:val="Heading1"/>
        <w:spacing w:before="0" w:after="180"/>
        <w:keepNext/>
        <w:pBdr>
          <w:bottom w:val="single" w:sz="12" w:space="4" w:color="2F6F9F"/>
        </w:pBdr>
        <w:keepLines/>
      </w:pPr>
      <w:r>
        <w:rPr>
          <w:rFonts w:ascii="Arial" w:hAnsi="Arial"/>
          <w:b/>
          <w:color w:val="17324D"/>
          <w:sz w:val="32"/>
        </w:rPr>
        <w:t>2. Channel Decision — WhatsApp vs Voice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WhatsApp is selected for this assessment because the two required intents benefit from structured text, visible confirmations, persistent conversation context, and straightforward recovery when information is missing or invalid.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5112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Evaluation criterion</w:t>
            </w:r>
          </w:p>
        </w:tc>
        <w:tc>
          <w:tcPr>
            <w:tcW w:type="dxa" w:w="2088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WhatsApp</w:t>
            </w:r>
          </w:p>
        </w:tc>
        <w:tc>
          <w:tcPr>
            <w:tcW w:type="dxa" w:w="2232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Voice</w:t>
            </w:r>
          </w:p>
        </w:tc>
      </w:tr>
      <w:tr>
        <w:trPr>
          <w:cantSplit/>
        </w:trPr>
        <w:tc>
          <w:tcPr>
            <w:tcW w:type="dxa" w:w="511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Structured data capture</w:t>
            </w:r>
          </w:p>
        </w:tc>
        <w:tc>
          <w:tcPr>
            <w:tcW w:type="dxa" w:w="208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Strong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Moderate</w:t>
            </w:r>
          </w:p>
        </w:tc>
      </w:tr>
      <w:tr>
        <w:trPr>
          <w:cantSplit/>
        </w:trPr>
        <w:tc>
          <w:tcPr>
            <w:tcW w:type="dxa" w:w="511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Visible booking confirmation</w:t>
            </w:r>
          </w:p>
        </w:tc>
        <w:tc>
          <w:tcPr>
            <w:tcW w:type="dxa" w:w="208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Strong</w:t>
            </w:r>
          </w:p>
        </w:tc>
        <w:tc>
          <w:tcPr>
            <w:tcW w:type="dxa" w:w="223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Limited</w:t>
            </w:r>
          </w:p>
        </w:tc>
      </w:tr>
      <w:tr>
        <w:trPr>
          <w:cantSplit/>
        </w:trPr>
        <w:tc>
          <w:tcPr>
            <w:tcW w:type="dxa" w:w="511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Error correction / retry</w:t>
            </w:r>
          </w:p>
        </w:tc>
        <w:tc>
          <w:tcPr>
            <w:tcW w:type="dxa" w:w="208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Straightforward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More complex</w:t>
            </w:r>
          </w:p>
        </w:tc>
      </w:tr>
      <w:tr>
        <w:trPr>
          <w:cantSplit/>
        </w:trPr>
        <w:tc>
          <w:tcPr>
            <w:tcW w:type="dxa" w:w="511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Demo clarity for assessment</w:t>
            </w:r>
          </w:p>
        </w:tc>
        <w:tc>
          <w:tcPr>
            <w:tcW w:type="dxa" w:w="208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Strong</w:t>
            </w:r>
          </w:p>
        </w:tc>
        <w:tc>
          <w:tcPr>
            <w:tcW w:type="dxa" w:w="223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Moderate</w:t>
            </w:r>
          </w:p>
        </w:tc>
      </w:tr>
      <w:tr>
        <w:trPr>
          <w:cantSplit/>
        </w:trPr>
        <w:tc>
          <w:tcPr>
            <w:tcW w:type="dxa" w:w="511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Additional speech stack</w:t>
            </w:r>
          </w:p>
        </w:tc>
        <w:tc>
          <w:tcPr>
            <w:tcW w:type="dxa" w:w="208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Not required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ASR + TTS required</w:t>
            </w:r>
          </w:p>
        </w:tc>
      </w:tr>
      <w:tr>
        <w:trPr>
          <w:cantSplit/>
        </w:trPr>
        <w:tc>
          <w:tcPr>
            <w:tcW w:type="dxa" w:w="511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Selected for this design</w:t>
            </w:r>
          </w:p>
        </w:tc>
        <w:tc>
          <w:tcPr>
            <w:tcW w:type="dxa" w:w="208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Yes</w:t>
            </w:r>
          </w:p>
        </w:tc>
        <w:tc>
          <w:tcPr>
            <w:tcW w:type="dxa" w:w="223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No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FFF7D6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Decision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Use WhatsApp as the proposed customer channel, with Twilio WhatsApp API as the messaging gateway. Voice remains a valid future channel, but it adds speech-recognition, text-to-speech, latency, interruption, and testing complexity that is unnecessary for this assessment scope.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80"/>
        <w:keepNext/>
        <w:pBdr>
          <w:bottom w:val="single" w:sz="12" w:space="4" w:color="2F6F9F"/>
        </w:pBdr>
        <w:keepLines/>
      </w:pPr>
      <w:r>
        <w:rPr>
          <w:rFonts w:ascii="Arial" w:hAnsi="Arial"/>
          <w:b/>
          <w:color w:val="17324D"/>
          <w:sz w:val="32"/>
        </w:rPr>
        <w:t>3. System Architecture &amp; Master Flow Diagram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The architecture separates the customer-facing conversation from backend business logic and persistent data. The controlled path is: Customer → WhatsApp → Twilio webhook → FastAPI backend → intent routing → business logic → PostgreSQL / optional integrations → response, logging, or human handoff.</w:t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794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ot_ev_whatsapp_workflow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4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  <w:keepLines/>
      </w:pPr>
      <w:r>
        <w:rPr>
          <w:rFonts w:ascii="Arial" w:hAnsi="Arial"/>
          <w:b w:val="0"/>
          <w:i/>
          <w:color w:val="5B6570"/>
          <w:sz w:val="17"/>
        </w:rPr>
        <w:t>Figure 1. XBOT EV WhatsApp master conversation workflow — price enquiry, test-ride booking, fallback handling, and human handoff.</w:t>
      </w:r>
    </w:p>
    <w:p>
      <w:r>
        <w:br w:type="page"/>
      </w:r>
    </w:p>
    <w:p>
      <w:pPr>
        <w:pStyle w:val="Heading1"/>
        <w:spacing w:before="0" w:after="180"/>
        <w:keepNext/>
        <w:pBdr>
          <w:bottom w:val="single" w:sz="12" w:space="4" w:color="2F6F9F"/>
        </w:pBdr>
        <w:keepLines/>
      </w:pPr>
      <w:r>
        <w:rPr>
          <w:rFonts w:ascii="Arial" w:hAnsi="Arial"/>
          <w:b/>
          <w:color w:val="17324D"/>
          <w:sz w:val="32"/>
        </w:rPr>
        <w:t>4. Price Enquiry Intent — Detailed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EAF3F8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Purpose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Allow a customer to request the official price of a specific XBOT EV model. AI can interpret the wording, but it must never invent or guess a price.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952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1. Receive enquiry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Customer asks for the price of an XBOT EV bike model.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2. Extract model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Identify the model name from the customer message.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3. Validate model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Backend checks the model against the approved XBOT EV bike catalog.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4. Missing / invalid model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Ask the customer to select or provide a valid model; do not guess.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5. Retrieve official price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Backend reads the price from the approved pricing source / PostgreSQL catalog.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6. Price unavailable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Do not invent a value; offer human support.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7. Price available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Show the exact official price and currency.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8. Next action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End the interaction or continue into the test-ride booking flow.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FFF7D6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Source-of-truth rule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Official pricing must come from a controlled backend data source. The language model is not an authoritative pricing system.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80"/>
        <w:keepNext/>
        <w:pBdr>
          <w:bottom w:val="single" w:sz="12" w:space="4" w:color="2F6F9F"/>
        </w:pBdr>
        <w:keepLines/>
      </w:pPr>
      <w:r>
        <w:rPr>
          <w:rFonts w:ascii="Arial" w:hAnsi="Arial"/>
          <w:b/>
          <w:color w:val="17324D"/>
          <w:sz w:val="32"/>
        </w:rPr>
        <w:t>5. Test-Ride Booking Intent — Detailed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EAF3F8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Purpose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Collect the required booking details, validate them, check availability, show a summary, and require explicit customer confirmation before any booking is created.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952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1. Receive request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Customer asks to book a test ride.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2. Collect details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Capture selected model, preferred location, date, time, and customer name.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3. Validate model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Confirm the selected XBOT EV model is valid.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4. Validate date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Require a valid future date.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5. Validate time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Require a supported operating window / available booking window.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6. Check availability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Query the booking source of truth for the requested slot.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7. Slot unavailable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Offer alternative available slots.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8. Show summary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Display model, location, date, and time before creation.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9. Customer decision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Allow Confirm, Change, or Cancel.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10. Confirm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Run an idempotency / duplicate check, then create the booking.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11. Change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Return to the requested field, update it, and show the summary again.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12. Cancel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Stop without creating a booking.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13. Booking success</w:t>
            </w:r>
          </w:p>
        </w:tc>
        <w:tc>
          <w:tcPr>
            <w:tcW w:type="dxa" w:w="648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Return the confirmed booking ID and confirmation only after backend success.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14. Booking failure</w:t>
            </w:r>
          </w:p>
        </w:tc>
        <w:tc>
          <w:tcPr>
            <w:tcW w:type="dxa" w:w="648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Do not claim success; offer retry or human support.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EAF7EE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Persistence &amp; duplicate-protection rule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The booking is created through the backend and stored server-side in PostgreSQL. Repeated confirmations or network retries must return the existing booking result rather than create a second booking.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80"/>
        <w:keepNext/>
        <w:pBdr>
          <w:bottom w:val="single" w:sz="12" w:space="4" w:color="2F6F9F"/>
        </w:pBdr>
        <w:keepLines/>
      </w:pPr>
      <w:r>
        <w:rPr>
          <w:rFonts w:ascii="Arial" w:hAnsi="Arial"/>
          <w:b/>
          <w:color w:val="17324D"/>
          <w:sz w:val="32"/>
        </w:rPr>
        <w:t>6. Fallback &amp; Edge-Case Handling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The fallback design prevents guessing, endless loops, duplicate bookings, and false success messages. The system should fail safely and escalate when automation should stop.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520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Scenario</w:t>
            </w:r>
          </w:p>
        </w:tc>
        <w:tc>
          <w:tcPr>
            <w:tcW w:type="dxa" w:w="4608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Safe system response</w:t>
            </w:r>
          </w:p>
        </w:tc>
        <w:tc>
          <w:tcPr>
            <w:tcW w:type="dxa" w:w="2304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Bike model missing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Ask which XBOT EV model the customer means.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Prevents guessing.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Invalid bike model</w:t>
            </w:r>
          </w:p>
        </w:tc>
        <w:tc>
          <w:tcPr>
            <w:tcW w:type="dxa" w:w="460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Show valid XBOT EV models and ask again.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Avoids false product information.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Price unavailable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Do not invent a price; offer human support.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Protects pricing accuracy.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Past / invalid date</w:t>
            </w:r>
          </w:p>
        </w:tc>
        <w:tc>
          <w:tcPr>
            <w:tcW w:type="dxa" w:w="460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Ask for a valid future date.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Prevents invalid bookings.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Invalid / unavailable time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Show supported hours or alternative available slots.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Keeps bookings realistic.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Customer cancels</w:t>
            </w:r>
          </w:p>
        </w:tc>
        <w:tc>
          <w:tcPr>
            <w:tcW w:type="dxa" w:w="460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Stop without creating a final booking.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Prevents accidental bookings.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Duplicate confirmation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Return the existing booking result.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Prevents duplicate bookings.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Customer changes details</w:t>
            </w:r>
          </w:p>
        </w:tc>
        <w:tc>
          <w:tcPr>
            <w:tcW w:type="dxa" w:w="460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Update the requested field and show the summary again.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Allows safe corrections.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Booking creation fails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Do not say confirmed; offer retry or human support.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Keeps status truthful.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Booking succeeds; message fails</w:t>
            </w:r>
          </w:p>
        </w:tc>
        <w:tc>
          <w:tcPr>
            <w:tcW w:type="dxa" w:w="460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Keep the booking; retry only the notification.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Prevents a second booking.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Repeated misunderstanding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Clarify, show guided options, then escalate if unresolved.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Prevents endless fallback loops.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Customer asks for human</w:t>
            </w:r>
          </w:p>
        </w:tc>
        <w:tc>
          <w:tcPr>
            <w:tcW w:type="dxa" w:w="460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Transfer with conversation summary and booking context.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Avoids restarting from zero.</w:t>
            </w:r>
          </w:p>
        </w:tc>
      </w:tr>
    </w:tbl>
    <w:p>
      <w:pPr>
        <w:pStyle w:val="Heading2"/>
        <w:spacing w:before="160" w:after="80"/>
        <w:keepNext/>
        <w:keepLines/>
      </w:pPr>
      <w:r>
        <w:rPr>
          <w:rFonts w:ascii="Arial" w:hAnsi="Arial"/>
          <w:b/>
          <w:color w:val="2F6F9F"/>
          <w:sz w:val="23"/>
        </w:rPr>
        <w:t>Fallback escalation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096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1st misunderstanding</w:t>
            </w:r>
          </w:p>
        </w:tc>
        <w:tc>
          <w:tcPr>
            <w:tcW w:type="dxa" w:w="3240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2nd misunderstanding</w:t>
            </w:r>
          </w:p>
        </w:tc>
        <w:tc>
          <w:tcPr>
            <w:tcW w:type="dxa" w:w="3096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3rd unresolved attempt</w:t>
            </w:r>
          </w:p>
        </w:tc>
      </w:tr>
      <w:tr>
        <w:trPr>
          <w:cantSplit/>
        </w:trPr>
        <w:tc>
          <w:tcPr>
            <w:tcW w:type="dxa" w:w="309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Ask the customer to clarify.</w:t>
            </w:r>
          </w:p>
        </w:tc>
        <w:tc>
          <w:tcPr>
            <w:tcW w:type="dxa" w:w="324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Show guided options: Check bike price • Book a test ride • Talk to support</w:t>
            </w:r>
          </w:p>
        </w:tc>
        <w:tc>
          <w:tcPr>
            <w:tcW w:type="dxa" w:w="309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Transfer to human support with current conversation context.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FDECEC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Loop-prevention rule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The system must never remain in an endless “I didn’t understand” loop.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80"/>
        <w:keepNext/>
        <w:pBdr>
          <w:bottom w:val="single" w:sz="12" w:space="4" w:color="2F6F9F"/>
        </w:pBdr>
        <w:keepLines/>
      </w:pPr>
      <w:r>
        <w:rPr>
          <w:rFonts w:ascii="Arial" w:hAnsi="Arial"/>
          <w:b/>
          <w:color w:val="17324D"/>
          <w:sz w:val="32"/>
        </w:rPr>
        <w:t>7. Proposed Tool / API Stack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The stack below separates messaging, AI understanding, business logic, persistence, automation, observability, security, and human support. All components are proposed for this assessment; no live integration is claimed unless explicitly demonstrated.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656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2304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Proposed tool</w:t>
            </w:r>
          </w:p>
        </w:tc>
        <w:tc>
          <w:tcPr>
            <w:tcW w:type="dxa" w:w="3816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Role / justification</w:t>
            </w:r>
          </w:p>
        </w:tc>
        <w:tc>
          <w:tcPr>
            <w:tcW w:type="dxa" w:w="1728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Guardrail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Channel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Twilio WhatsApp API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Receives WhatsApp messages and sends replies through webhooks.</w:t>
            </w:r>
          </w:p>
        </w:tc>
        <w:tc>
          <w:tcPr>
            <w:tcW w:type="dxa" w:w="172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Verify webhook signatures; use HTTPS.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Backend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FastAPI + Python</w:t>
            </w:r>
          </w:p>
        </w:tc>
        <w:tc>
          <w:tcPr>
            <w:tcW w:type="dxa" w:w="381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Owns validation, business logic, API requests, and booking operations.</w:t>
            </w:r>
          </w:p>
        </w:tc>
        <w:tc>
          <w:tcPr>
            <w:tcW w:type="dxa" w:w="172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Business decisions stay server-side.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Database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PostgreSQL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Durable source of truth for models, prices, slots, bookings, and status.</w:t>
            </w:r>
          </w:p>
        </w:tc>
        <w:tc>
          <w:tcPr>
            <w:tcW w:type="dxa" w:w="172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No browser-only storage or AI-generated official values.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AI / NLP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OpenAI API with Structured Outputs</w:t>
            </w:r>
          </w:p>
        </w:tc>
        <w:tc>
          <w:tcPr>
            <w:tcW w:type="dxa" w:w="381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Classifies intent and extracts structured fields from natural language.</w:t>
            </w:r>
          </w:p>
        </w:tc>
        <w:tc>
          <w:tcPr>
            <w:tcW w:type="dxa" w:w="172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Must not invent prices, availability, booking IDs, or success.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Workflow automation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n8n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Handles secondary automation such as dealer alerts, CRM updates, email, and follow-up.</w:t>
            </w:r>
          </w:p>
        </w:tc>
        <w:tc>
          <w:tcPr>
            <w:tcW w:type="dxa" w:w="172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Not the booking source of truth.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Availability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Internal slot system (PostgreSQL); optional Google Calendar API</w:t>
            </w:r>
          </w:p>
        </w:tc>
        <w:tc>
          <w:tcPr>
            <w:tcW w:type="dxa" w:w="381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Checks availability; optionally creates a calendar event after confirmed booking.</w:t>
            </w:r>
          </w:p>
        </w:tc>
        <w:tc>
          <w:tcPr>
            <w:tcW w:type="dxa" w:w="172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Calendar is downstream / optional, not authoritative unless designed that way.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Observability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Structured application logs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Records request/conversation IDs, intent, tools, result, errors, latency, and timestamps.</w:t>
            </w:r>
          </w:p>
        </w:tc>
        <w:tc>
          <w:tcPr>
            <w:tcW w:type="dxa" w:w="172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Avoid unnecessary PII in logs.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Secrets</w:t>
            </w:r>
          </w:p>
        </w:tc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Environment variables or secret manager</w:t>
            </w:r>
          </w:p>
        </w:tc>
        <w:tc>
          <w:tcPr>
            <w:tcW w:type="dxa" w:w="381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Protects API keys, database credentials, and webhook secrets.</w:t>
            </w:r>
          </w:p>
        </w:tc>
        <w:tc>
          <w:tcPr>
            <w:tcW w:type="dxa" w:w="172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Never hard-code or expose secrets publicly.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Human handoff</w:t>
            </w:r>
          </w:p>
        </w:tc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Internal CRM / support queue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Transfers unresolved or customer-requested conversations with context.</w:t>
            </w:r>
          </w:p>
        </w:tc>
        <w:tc>
          <w:tcPr>
            <w:tcW w:type="dxa" w:w="172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Pass summary, model, current step, and escalation reason.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FFF7D6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Architecture principle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n8n and AI can assist the workflow, but confirmed booking state and official business data remain controlled by the backend and PostgreSQL.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80"/>
        <w:keepNext/>
        <w:pBdr>
          <w:bottom w:val="single" w:sz="12" w:space="4" w:color="2F6F9F"/>
        </w:pBdr>
        <w:keepLines/>
      </w:pPr>
      <w:r>
        <w:rPr>
          <w:rFonts w:ascii="Arial" w:hAnsi="Arial"/>
          <w:b/>
          <w:color w:val="17324D"/>
          <w:sz w:val="32"/>
        </w:rPr>
        <w:t>8. Security, Privacy &amp; Governance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Security and governance are part of the design because the workflow handles customer information, backend APIs, booking data, third-party integrations, and AI-driven language understanding.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304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4968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Implementation</w:t>
            </w:r>
          </w:p>
        </w:tc>
        <w:tc>
          <w:tcPr>
            <w:tcW w:type="dxa" w:w="2232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HTTPS &amp; secure webhooks</w:t>
            </w:r>
          </w:p>
        </w:tc>
        <w:tc>
          <w:tcPr>
            <w:tcW w:type="dxa" w:w="496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Use HTTPS for API traffic and verify incoming webhook signatures.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Reduces fake-request and interception risk.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API keys &amp; secrets</w:t>
            </w:r>
          </w:p>
        </w:tc>
        <w:tc>
          <w:tcPr>
            <w:tcW w:type="dxa" w:w="496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Store keys, database passwords, and webhook secrets server-side in environment variables or a secret manager.</w:t>
            </w:r>
          </w:p>
        </w:tc>
        <w:tc>
          <w:tcPr>
            <w:tcW w:type="dxa" w:w="223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Prevents credential exposure.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Customer data / PII</w:t>
            </w:r>
          </w:p>
        </w:tc>
        <w:tc>
          <w:tcPr>
            <w:tcW w:type="dxa" w:w="496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Collect only information needed for the test ride; store securely and restrict access.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Reduces unnecessary privacy exposure.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Least privilege</w:t>
            </w:r>
          </w:p>
        </w:tc>
        <w:tc>
          <w:tcPr>
            <w:tcW w:type="dxa" w:w="496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Give staff and system components only the permissions required for their responsibilities.</w:t>
            </w:r>
          </w:p>
        </w:tc>
        <w:tc>
          <w:tcPr>
            <w:tcW w:type="dxa" w:w="223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Limits the impact of misuse.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Input validation &amp; rate limiting</w:t>
            </w:r>
          </w:p>
        </w:tc>
        <w:tc>
          <w:tcPr>
            <w:tcW w:type="dxa" w:w="496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Reject malformed requests and apply sensible rate limits.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Reduces bad data, overload, and abuse.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Data retention &amp; safe logging</w:t>
            </w:r>
          </w:p>
        </w:tc>
        <w:tc>
          <w:tcPr>
            <w:tcW w:type="dxa" w:w="496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Keep only required customer/operational data and define a production retention policy.</w:t>
            </w:r>
          </w:p>
        </w:tc>
        <w:tc>
          <w:tcPr>
            <w:tcW w:type="dxa" w:w="223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Avoids indefinite unnecessary retention.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AI governance</w:t>
            </w:r>
          </w:p>
        </w:tc>
        <w:tc>
          <w:tcPr>
            <w:tcW w:type="dxa" w:w="4968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Allow AI to classify/extract, while official prices, availability, IDs, and booking status come from validated services.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Reduces hallucination and unsafe automated actions.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7"/>
              </w:rPr>
            </w:r>
            <w:r>
              <w:rPr>
                <w:rFonts w:ascii="Arial" w:hAnsi="Arial"/>
                <w:b/>
                <w:i w:val="0"/>
                <w:color w:val="20262D"/>
                <w:sz w:val="17"/>
              </w:rPr>
              <w:t>Auditability &amp; change control</w:t>
            </w:r>
          </w:p>
        </w:tc>
        <w:tc>
          <w:tcPr>
            <w:tcW w:type="dxa" w:w="4968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Record key events and review important workflow/business-rule changes before production use.</w:t>
            </w:r>
          </w:p>
        </w:tc>
        <w:tc>
          <w:tcPr>
            <w:tcW w:type="dxa" w:w="2232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7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7"/>
              </w:rPr>
              <w:t>Supports QA, investigation, and traceability.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EAF7EE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Governance summary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AI understands language. Backend services enforce business rules. PostgreSQL stores authoritative state. Human support receives cases that should leave automation.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180"/>
        <w:keepNext/>
        <w:pBdr>
          <w:bottom w:val="single" w:sz="12" w:space="4" w:color="2F6F9F"/>
        </w:pBdr>
        <w:keepLines/>
      </w:pPr>
      <w:r>
        <w:rPr>
          <w:rFonts w:ascii="Arial" w:hAnsi="Arial"/>
          <w:b/>
          <w:color w:val="17324D"/>
          <w:sz w:val="32"/>
        </w:rPr>
        <w:t>9. Short Case Study</w:t>
      </w:r>
    </w:p>
    <w:p>
      <w:pPr>
        <w:pStyle w:val="Heading2"/>
        <w:spacing w:before="160" w:after="80"/>
        <w:keepNext/>
        <w:keepLines/>
      </w:pPr>
      <w:r>
        <w:rPr>
          <w:rFonts w:ascii="Arial" w:hAnsi="Arial"/>
          <w:b/>
          <w:color w:val="2F6F9F"/>
          <w:sz w:val="23"/>
        </w:rPr>
        <w:t>9.1 Business Problem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XBOT EV customers may contact the company to ask for bike prices or arrange a test ride. If these requests are handled manually, customers may wait for responses, staff may repeat the same answers, and booking details can become inconsistent.</w:t>
      </w:r>
    </w:p>
    <w:p>
      <w:pPr>
        <w:pStyle w:val="Heading2"/>
        <w:spacing w:before="160" w:after="80"/>
        <w:keepNext/>
        <w:keepLines/>
      </w:pPr>
      <w:r>
        <w:rPr>
          <w:rFonts w:ascii="Arial" w:hAnsi="Arial"/>
          <w:b/>
          <w:color w:val="2F6F9F"/>
          <w:sz w:val="23"/>
        </w:rPr>
        <w:t>9.2 Proposed Solution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The proposed solution is a WhatsApp-based XBOT EV bot supporting two primary intents: provide the official price of a selected bike model, and book a test ride. AI is used to understand customer language and intent; official prices, slot availability, booking IDs, and booking status come from controlled backend services and server-side data sources.</w:t>
      </w:r>
    </w:p>
    <w:p>
      <w:pPr>
        <w:pStyle w:val="Heading2"/>
        <w:spacing w:before="160" w:after="80"/>
        <w:keepNext/>
        <w:keepLines/>
      </w:pPr>
      <w:r>
        <w:rPr>
          <w:rFonts w:ascii="Arial" w:hAnsi="Arial"/>
          <w:b/>
          <w:color w:val="2F6F9F"/>
          <w:sz w:val="23"/>
        </w:rPr>
        <w:t>9.3 Workflow Design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For a price request, the bot identifies and validates the model, then retrieves the official price from the backend source of truth. For a test-ride request, it collects required details, validates date and time, checks slot availability, shows a summary, and asks for explicit confirmation before creation. The customer can Change, Cancel, or request Human Support. Duplicate protection prevents repeated confirmations or network retries from creating multiple bookings.</w:t>
      </w:r>
    </w:p>
    <w:p>
      <w:pPr>
        <w:pStyle w:val="Heading2"/>
        <w:spacing w:before="160" w:after="80"/>
        <w:keepNext/>
        <w:keepLines/>
      </w:pPr>
      <w:r>
        <w:rPr>
          <w:rFonts w:ascii="Arial" w:hAnsi="Arial"/>
          <w:b/>
          <w:color w:val="2F6F9F"/>
          <w:sz w:val="23"/>
        </w:rPr>
        <w:t>9.4 Reliability, Safety &amp; Governance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0262D"/>
          <w:sz w:val="21"/>
        </w:rPr>
        <w:t>The design separates AI understanding from deterministic business logic. Fallback handling, human handoff, secure secret management, minimal customer-data collection, logging, auditability, and controlled backend actions reduce hallucination risk and keep booking outcomes traceable.</w:t>
      </w:r>
    </w:p>
    <w:p>
      <w:pPr>
        <w:pStyle w:val="Heading2"/>
        <w:spacing w:before="160" w:after="80"/>
        <w:keepNext/>
        <w:keepLines/>
      </w:pPr>
      <w:r>
        <w:rPr>
          <w:rFonts w:ascii="Arial" w:hAnsi="Arial"/>
          <w:b/>
          <w:color w:val="2F6F9F"/>
          <w:sz w:val="23"/>
        </w:rPr>
        <w:t>9.5 Business Value &amp; Expected Benefits</w:t>
      </w:r>
    </w:p>
    <w:p>
      <w:pPr>
        <w:pStyle w:val="ListBullet"/>
        <w:spacing w:after="40"/>
        <w:ind w:left="317" w:hanging="173"/>
        <w:keepLines/>
      </w:pPr>
      <w:r>
        <w:rPr>
          <w:rFonts w:ascii="Arial" w:hAnsi="Arial"/>
          <w:b w:val="0"/>
          <w:i w:val="0"/>
          <w:color w:val="20262D"/>
          <w:sz w:val="20"/>
        </w:rPr>
        <w:t>Faster responses to common price enquiries.</w:t>
      </w:r>
    </w:p>
    <w:p>
      <w:pPr>
        <w:pStyle w:val="ListBullet"/>
        <w:spacing w:after="40"/>
        <w:ind w:left="317" w:hanging="173"/>
        <w:keepLines/>
      </w:pPr>
      <w:r>
        <w:rPr>
          <w:rFonts w:ascii="Arial" w:hAnsi="Arial"/>
          <w:b w:val="0"/>
          <w:i w:val="0"/>
          <w:color w:val="20262D"/>
          <w:sz w:val="20"/>
        </w:rPr>
        <w:t>More consistent use of official pricing data.</w:t>
      </w:r>
    </w:p>
    <w:p>
      <w:pPr>
        <w:pStyle w:val="ListBullet"/>
        <w:spacing w:after="40"/>
        <w:ind w:left="317" w:hanging="173"/>
        <w:keepLines/>
      </w:pPr>
      <w:r>
        <w:rPr>
          <w:rFonts w:ascii="Arial" w:hAnsi="Arial"/>
          <w:b w:val="0"/>
          <w:i w:val="0"/>
          <w:color w:val="20262D"/>
          <w:sz w:val="20"/>
        </w:rPr>
        <w:t>Fewer incomplete or invalid test-ride booking attempts.</w:t>
      </w:r>
    </w:p>
    <w:p>
      <w:pPr>
        <w:pStyle w:val="ListBullet"/>
        <w:spacing w:after="40"/>
        <w:ind w:left="317" w:hanging="173"/>
        <w:keepLines/>
      </w:pPr>
      <w:r>
        <w:rPr>
          <w:rFonts w:ascii="Arial" w:hAnsi="Arial"/>
          <w:b w:val="0"/>
          <w:i w:val="0"/>
          <w:color w:val="20262D"/>
          <w:sz w:val="20"/>
        </w:rPr>
        <w:t>Reduced duplicate-booking risk through idempotency controls.</w:t>
      </w:r>
    </w:p>
    <w:p>
      <w:pPr>
        <w:pStyle w:val="ListBullet"/>
        <w:spacing w:after="40"/>
        <w:ind w:left="317" w:hanging="173"/>
        <w:keepLines/>
      </w:pPr>
      <w:r>
        <w:rPr>
          <w:rFonts w:ascii="Arial" w:hAnsi="Arial"/>
          <w:b w:val="0"/>
          <w:i w:val="0"/>
          <w:color w:val="20262D"/>
          <w:sz w:val="20"/>
        </w:rPr>
        <w:t>Better handoff to human support when automation should stop.</w:t>
      </w:r>
    </w:p>
    <w:p>
      <w:pPr>
        <w:pStyle w:val="ListBullet"/>
        <w:spacing w:after="40"/>
        <w:ind w:left="317" w:hanging="173"/>
        <w:keepLines/>
      </w:pPr>
      <w:r>
        <w:rPr>
          <w:rFonts w:ascii="Arial" w:hAnsi="Arial"/>
          <w:b w:val="0"/>
          <w:i w:val="0"/>
          <w:color w:val="20262D"/>
          <w:sz w:val="20"/>
        </w:rPr>
        <w:t>Clearer operational records for support, QA, and troubleshooting.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FFF7D6"/>
            <w:vAlign w:val="center"/>
            <w:tcBorders>
              <w:top w:val="single" w:sz="8" w:color="D8DEE5"/>
              <w:left w:val="single" w:sz="8" w:color="D8DEE5"/>
              <w:bottom w:val="single" w:sz="8" w:color="D8DEE5"/>
              <w:right w:val="single" w:sz="8" w:color="D8DEE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0"/>
              </w:rPr>
              <w:t>Evidence statement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20262D"/>
                <w:sz w:val="19"/>
              </w:rPr>
              <w:t>These are expected benefits of the proposed design, not claimed production results.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  <w:keepNext/>
        <w:keepLines/>
      </w:pPr>
      <w:r>
        <w:rPr>
          <w:rFonts w:ascii="Arial" w:hAnsi="Arial"/>
          <w:b/>
          <w:color w:val="2F6F9F"/>
          <w:sz w:val="23"/>
        </w:rPr>
        <w:t>Assessment Deliverable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5040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 deliverable</w:t>
            </w:r>
          </w:p>
        </w:tc>
        <w:tc>
          <w:tcPr>
            <w:tcW w:type="dxa" w:w="2376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Where it appears</w:t>
            </w:r>
          </w:p>
        </w:tc>
        <w:tc>
          <w:tcPr>
            <w:tcW w:type="dxa" w:w="2016"/>
            <w:vAlign w:val="top"/>
            <w:shd w:fill="17324D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504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Flow diagram covering both intents + fallback / edge cases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Sections 3, 4, 5, and 6</w:t>
            </w:r>
          </w:p>
        </w:tc>
        <w:tc>
          <w:tcPr>
            <w:tcW w:type="dxa" w:w="201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Covered</w:t>
            </w:r>
          </w:p>
        </w:tc>
      </w:tr>
      <w:tr>
        <w:trPr>
          <w:cantSplit/>
        </w:trPr>
        <w:tc>
          <w:tcPr>
            <w:tcW w:type="dxa" w:w="5040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Proposed tool / API stack with justification</w:t>
            </w:r>
          </w:p>
        </w:tc>
        <w:tc>
          <w:tcPr>
            <w:tcW w:type="dxa" w:w="237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Section 7</w:t>
            </w:r>
          </w:p>
        </w:tc>
        <w:tc>
          <w:tcPr>
            <w:tcW w:type="dxa" w:w="2016"/>
            <w:vAlign w:val="top"/>
            <w:shd w:fill="F8FAFB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Covered</w:t>
            </w:r>
          </w:p>
        </w:tc>
      </w:tr>
      <w:tr>
        <w:trPr>
          <w:cantSplit/>
        </w:trPr>
        <w:tc>
          <w:tcPr>
            <w:tcW w:type="dxa" w:w="5040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/>
                <w:color w:val="20262D"/>
                <w:sz w:val="18"/>
              </w:rPr>
            </w:r>
            <w:r>
              <w:rPr>
                <w:rFonts w:ascii="Arial" w:hAnsi="Arial"/>
                <w:b/>
                <w:i w:val="0"/>
                <w:color w:val="20262D"/>
                <w:sz w:val="18"/>
              </w:rPr>
              <w:t>Short case study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Section 9</w:t>
            </w:r>
          </w:p>
        </w:tc>
        <w:tc>
          <w:tcPr>
            <w:tcW w:type="dxa" w:w="2016"/>
            <w:vAlign w:val="top"/>
            <w:shd w:fill="FFFFFF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30" w:line="245" w:lineRule="auto" w:before="0"/>
            </w:pPr>
            <w:r>
              <w:rPr>
                <w:rFonts w:ascii="Arial" w:hAnsi="Arial"/>
                <w:b w:val="0"/>
                <w:color w:val="20262D"/>
                <w:sz w:val="18"/>
              </w:rPr>
            </w:r>
            <w:r>
              <w:rPr>
                <w:rFonts w:ascii="Arial" w:hAnsi="Arial"/>
                <w:b w:val="0"/>
                <w:i w:val="0"/>
                <w:color w:val="20262D"/>
                <w:sz w:val="18"/>
              </w:rPr>
              <w:t>Covered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79" w:left="1037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57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8DEE5"/>
      </w:pBdr>
    </w:pPr>
    <w:r>
      <w:rPr>
        <w:rFonts w:ascii="Arial" w:hAnsi="Arial"/>
        <w:b w:val="0"/>
        <w:i w:val="0"/>
        <w:color w:val="5B6570"/>
        <w:sz w:val="16"/>
      </w:rPr>
      <w:t>XBOT EV  |  TASK 3 — Automation: Workflow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XBOT EV — Task 3: Automation Workflow Design</dc:title>
  <dc:subject>WhatsApp automation workflow design assessment</dc:subject>
  <dc:creator/>
  <cp:keywords>XBOT EV, WhatsApp, workflow design, FastAPI, PostgreSQL,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