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18686" w14:textId="77777777" w:rsidR="00622035" w:rsidRPr="00622035" w:rsidRDefault="00622035" w:rsidP="002037CF">
      <w:pPr>
        <w:jc w:val="center"/>
        <w:rPr>
          <w:b/>
          <w:bCs/>
        </w:rPr>
      </w:pPr>
      <w:r w:rsidRPr="00622035">
        <w:rPr>
          <w:b/>
          <w:bCs/>
        </w:rPr>
        <w:t>Introduction to service-oriented design</w:t>
      </w:r>
    </w:p>
    <w:p w14:paraId="1EDB38A6" w14:textId="7F7C8A1D" w:rsidR="001E6B36" w:rsidRDefault="00F37F3E" w:rsidP="002037CF">
      <w:pPr>
        <w:jc w:val="both"/>
      </w:pPr>
      <w:r>
        <w:t>Definition</w:t>
      </w:r>
      <w:r w:rsidR="00622035">
        <w:t>:</w:t>
      </w:r>
      <w:r>
        <w:t xml:space="preserve"> </w:t>
      </w:r>
      <w:r w:rsidR="00622035" w:rsidRPr="00622035">
        <w:t>Service-oriented design is the process by which concrete physical service designs are derived from logical service candidates and then assembled into abstract compositions that implement a business process.</w:t>
      </w:r>
    </w:p>
    <w:p w14:paraId="03F774CB" w14:textId="77777777" w:rsidR="00F37F3E" w:rsidRPr="00F37F3E" w:rsidRDefault="00F37F3E" w:rsidP="002037CF">
      <w:pPr>
        <w:jc w:val="both"/>
      </w:pPr>
      <w:r w:rsidRPr="00F37F3E">
        <w:t>The overall goals of performing a service-oriented design are as follows:</w:t>
      </w:r>
    </w:p>
    <w:p w14:paraId="47483AE8" w14:textId="77777777" w:rsidR="00F37F3E" w:rsidRPr="00F37F3E" w:rsidRDefault="00F37F3E" w:rsidP="002037CF">
      <w:pPr>
        <w:numPr>
          <w:ilvl w:val="0"/>
          <w:numId w:val="1"/>
        </w:numPr>
        <w:jc w:val="both"/>
      </w:pPr>
      <w:r w:rsidRPr="00F37F3E">
        <w:t>Determine the core set of architectural extensions.</w:t>
      </w:r>
    </w:p>
    <w:p w14:paraId="3908A1BC" w14:textId="77777777" w:rsidR="00F37F3E" w:rsidRPr="00F37F3E" w:rsidRDefault="00F37F3E" w:rsidP="002037CF">
      <w:pPr>
        <w:numPr>
          <w:ilvl w:val="0"/>
          <w:numId w:val="1"/>
        </w:numPr>
        <w:jc w:val="both"/>
      </w:pPr>
      <w:r w:rsidRPr="00F37F3E">
        <w:t>Set the boundaries of the architecture.</w:t>
      </w:r>
    </w:p>
    <w:p w14:paraId="1B317FC4" w14:textId="77777777" w:rsidR="00F37F3E" w:rsidRPr="00F37F3E" w:rsidRDefault="00F37F3E" w:rsidP="002037CF">
      <w:pPr>
        <w:numPr>
          <w:ilvl w:val="0"/>
          <w:numId w:val="1"/>
        </w:numPr>
        <w:jc w:val="both"/>
      </w:pPr>
      <w:r w:rsidRPr="00F37F3E">
        <w:t>Identify required design standards.</w:t>
      </w:r>
    </w:p>
    <w:p w14:paraId="54FF4D35" w14:textId="77777777" w:rsidR="00F37F3E" w:rsidRPr="00F37F3E" w:rsidRDefault="00F37F3E" w:rsidP="002037CF">
      <w:pPr>
        <w:numPr>
          <w:ilvl w:val="0"/>
          <w:numId w:val="1"/>
        </w:numPr>
        <w:jc w:val="both"/>
      </w:pPr>
      <w:r w:rsidRPr="00F37F3E">
        <w:t>Define abstract service interface designs.</w:t>
      </w:r>
    </w:p>
    <w:p w14:paraId="6141BD46" w14:textId="77777777" w:rsidR="00F37F3E" w:rsidRPr="00F37F3E" w:rsidRDefault="00F37F3E" w:rsidP="002037CF">
      <w:pPr>
        <w:numPr>
          <w:ilvl w:val="0"/>
          <w:numId w:val="1"/>
        </w:numPr>
        <w:jc w:val="both"/>
      </w:pPr>
      <w:r w:rsidRPr="00F37F3E">
        <w:t>Identify potential service compositions.</w:t>
      </w:r>
    </w:p>
    <w:p w14:paraId="32070A29" w14:textId="77777777" w:rsidR="00F37F3E" w:rsidRPr="00F37F3E" w:rsidRDefault="00F37F3E" w:rsidP="002037CF">
      <w:pPr>
        <w:numPr>
          <w:ilvl w:val="0"/>
          <w:numId w:val="1"/>
        </w:numPr>
        <w:jc w:val="both"/>
      </w:pPr>
      <w:r w:rsidRPr="00F37F3E">
        <w:t>Assess support for service-orientation principles.</w:t>
      </w:r>
    </w:p>
    <w:p w14:paraId="531D97AB" w14:textId="77777777" w:rsidR="00F37F3E" w:rsidRPr="00F37F3E" w:rsidRDefault="00F37F3E" w:rsidP="002037CF">
      <w:pPr>
        <w:numPr>
          <w:ilvl w:val="0"/>
          <w:numId w:val="1"/>
        </w:numPr>
        <w:jc w:val="both"/>
      </w:pPr>
      <w:r w:rsidRPr="00F37F3E">
        <w:t>Explore support for characteristics of contemporary SOA.</w:t>
      </w:r>
    </w:p>
    <w:p w14:paraId="02140EB9" w14:textId="77777777" w:rsidR="00F37F3E" w:rsidRDefault="00F37F3E" w:rsidP="002037CF">
      <w:pPr>
        <w:jc w:val="both"/>
      </w:pPr>
    </w:p>
    <w:p w14:paraId="3B1B0FF3" w14:textId="32CB8FB8" w:rsidR="002037CF" w:rsidRDefault="002037CF" w:rsidP="002037CF">
      <w:pPr>
        <w:jc w:val="both"/>
      </w:pPr>
      <w:r w:rsidRPr="002037CF">
        <w:t>A high-level service-oriented design process</w:t>
      </w:r>
      <w:r>
        <w:t>:</w:t>
      </w:r>
    </w:p>
    <w:p w14:paraId="4FC6C1FA" w14:textId="124F53F6" w:rsidR="002037CF" w:rsidRDefault="002037CF" w:rsidP="002037CF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91886D8" wp14:editId="3C4F22B4">
                <wp:extent cx="304800" cy="304800"/>
                <wp:effectExtent l="0" t="0" r="0" b="0"/>
                <wp:docPr id="20966361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5B9D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C10AAE6" wp14:editId="2D9DAB17">
            <wp:extent cx="2761247" cy="4629150"/>
            <wp:effectExtent l="0" t="0" r="1270" b="0"/>
            <wp:docPr id="259592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619" cy="4634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C0BE2C" w14:textId="77777777" w:rsidR="002037CF" w:rsidRDefault="002037CF" w:rsidP="002037CF">
      <w:pPr>
        <w:jc w:val="both"/>
      </w:pPr>
    </w:p>
    <w:p w14:paraId="5815D8E1" w14:textId="77777777" w:rsidR="002037CF" w:rsidRPr="002037CF" w:rsidRDefault="002037CF" w:rsidP="002037CF">
      <w:pPr>
        <w:jc w:val="both"/>
      </w:pPr>
      <w:r w:rsidRPr="002037CF">
        <w:lastRenderedPageBreak/>
        <w:t>Step 1: Compose SOA</w:t>
      </w:r>
    </w:p>
    <w:p w14:paraId="592E14D1" w14:textId="77777777" w:rsidR="002037CF" w:rsidRPr="002037CF" w:rsidRDefault="002037CF" w:rsidP="002037CF">
      <w:pPr>
        <w:jc w:val="both"/>
      </w:pPr>
      <w:r w:rsidRPr="002037CF">
        <w:t>A fundamental quality of SOA is that each instance of a service-oriented architecture is uniquely composable. Although most SOAs will implement a common set of shared technologies based on key XML and first-generation Web services specifications, the modular nature of the WS-* specification landscape allows for extensions to this core architecture to be added as required.</w:t>
      </w:r>
    </w:p>
    <w:p w14:paraId="57E1710A" w14:textId="77777777" w:rsidR="002037CF" w:rsidRPr="002037CF" w:rsidRDefault="002037CF" w:rsidP="002037CF">
      <w:pPr>
        <w:jc w:val="both"/>
      </w:pPr>
      <w:r w:rsidRPr="002037CF">
        <w:t>This step consists of the following three further steps that are explained in Chapter 14: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"/>
        <w:gridCol w:w="2555"/>
      </w:tblGrid>
      <w:tr w:rsidR="002037CF" w:rsidRPr="002037CF" w14:paraId="3382DE07" w14:textId="77777777" w:rsidTr="002037C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BA61AC" w14:textId="77777777" w:rsidR="002037CF" w:rsidRPr="002037CF" w:rsidRDefault="002037CF" w:rsidP="002037CF">
            <w:pPr>
              <w:jc w:val="both"/>
            </w:pPr>
            <w:r w:rsidRPr="002037CF">
              <w:rPr>
                <w:b/>
                <w:bCs/>
              </w:rPr>
              <w:t>1.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4209E8" w14:textId="77777777" w:rsidR="002037CF" w:rsidRPr="002037CF" w:rsidRDefault="002037CF" w:rsidP="002037CF">
            <w:pPr>
              <w:jc w:val="both"/>
            </w:pPr>
            <w:r w:rsidRPr="002037CF">
              <w:t>Choose service layers.</w:t>
            </w:r>
            <w:r w:rsidRPr="002037CF">
              <w:br/>
              <w:t> </w:t>
            </w:r>
          </w:p>
        </w:tc>
      </w:tr>
      <w:tr w:rsidR="002037CF" w:rsidRPr="002037CF" w14:paraId="5F73956A" w14:textId="77777777" w:rsidTr="002037C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8C76BA" w14:textId="77777777" w:rsidR="002037CF" w:rsidRPr="002037CF" w:rsidRDefault="002037CF" w:rsidP="002037CF">
            <w:pPr>
              <w:jc w:val="both"/>
            </w:pPr>
            <w:r w:rsidRPr="002037CF">
              <w:rPr>
                <w:b/>
                <w:bCs/>
              </w:rPr>
              <w:t>2.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3A2A6" w14:textId="77777777" w:rsidR="002037CF" w:rsidRPr="002037CF" w:rsidRDefault="002037CF" w:rsidP="002037CF">
            <w:pPr>
              <w:jc w:val="both"/>
            </w:pPr>
            <w:r w:rsidRPr="002037CF">
              <w:t>Position core SOA standards.</w:t>
            </w:r>
            <w:r w:rsidRPr="002037CF">
              <w:br/>
              <w:t> </w:t>
            </w:r>
          </w:p>
        </w:tc>
      </w:tr>
      <w:tr w:rsidR="002037CF" w:rsidRPr="002037CF" w14:paraId="0DBC5BEC" w14:textId="77777777" w:rsidTr="002037C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37FEE9" w14:textId="77777777" w:rsidR="002037CF" w:rsidRPr="002037CF" w:rsidRDefault="002037CF" w:rsidP="002037CF">
            <w:pPr>
              <w:jc w:val="both"/>
            </w:pPr>
            <w:r w:rsidRPr="002037CF">
              <w:rPr>
                <w:b/>
                <w:bCs/>
              </w:rPr>
              <w:t>3.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B3711" w14:textId="77777777" w:rsidR="002037CF" w:rsidRPr="002037CF" w:rsidRDefault="002037CF" w:rsidP="002037CF">
            <w:pPr>
              <w:jc w:val="both"/>
            </w:pPr>
            <w:r w:rsidRPr="002037CF">
              <w:t>Choose SOA extensions.</w:t>
            </w:r>
            <w:r w:rsidRPr="002037CF">
              <w:br/>
              <w:t> </w:t>
            </w:r>
          </w:p>
        </w:tc>
      </w:tr>
    </w:tbl>
    <w:p w14:paraId="0E1F30EC" w14:textId="77777777" w:rsidR="002037CF" w:rsidRPr="002037CF" w:rsidRDefault="002037CF" w:rsidP="002037CF">
      <w:pPr>
        <w:jc w:val="both"/>
      </w:pPr>
      <w:r w:rsidRPr="002037CF">
        <w:t>Steps 2 to 4: Design services</w:t>
      </w:r>
    </w:p>
    <w:p w14:paraId="5DA48C73" w14:textId="77777777" w:rsidR="002037CF" w:rsidRPr="002037CF" w:rsidRDefault="002037CF" w:rsidP="002037CF">
      <w:pPr>
        <w:jc w:val="both"/>
      </w:pPr>
      <w:r w:rsidRPr="002037CF">
        <w:t>These steps are represented by the following three separate processes provided in Chapter 15:</w:t>
      </w:r>
    </w:p>
    <w:p w14:paraId="0CACF2E5" w14:textId="77777777" w:rsidR="002037CF" w:rsidRPr="002037CF" w:rsidRDefault="002037CF" w:rsidP="002037CF">
      <w:pPr>
        <w:numPr>
          <w:ilvl w:val="0"/>
          <w:numId w:val="2"/>
        </w:numPr>
        <w:jc w:val="both"/>
      </w:pPr>
      <w:r w:rsidRPr="002037CF">
        <w:t>Entity-centric business service design process.</w:t>
      </w:r>
    </w:p>
    <w:p w14:paraId="61EEE9DF" w14:textId="77777777" w:rsidR="002037CF" w:rsidRPr="002037CF" w:rsidRDefault="002037CF" w:rsidP="002037CF">
      <w:pPr>
        <w:numPr>
          <w:ilvl w:val="0"/>
          <w:numId w:val="2"/>
        </w:numPr>
        <w:jc w:val="both"/>
      </w:pPr>
      <w:r w:rsidRPr="002037CF">
        <w:t>Application service design process.</w:t>
      </w:r>
    </w:p>
    <w:p w14:paraId="258EF012" w14:textId="77777777" w:rsidR="002037CF" w:rsidRPr="002037CF" w:rsidRDefault="002037CF" w:rsidP="002037CF">
      <w:pPr>
        <w:numPr>
          <w:ilvl w:val="0"/>
          <w:numId w:val="2"/>
        </w:numPr>
        <w:jc w:val="both"/>
      </w:pPr>
      <w:r w:rsidRPr="002037CF">
        <w:t>Task-centric business service design process.</w:t>
      </w:r>
    </w:p>
    <w:p w14:paraId="779CB721" w14:textId="77777777" w:rsidR="002037CF" w:rsidRPr="002037CF" w:rsidRDefault="002037CF" w:rsidP="002037CF">
      <w:pPr>
        <w:jc w:val="both"/>
      </w:pPr>
      <w:r w:rsidRPr="002037CF">
        <w:t xml:space="preserve">Our primary input for each of these service design processes is the corresponding service candidates we produced in the service </w:t>
      </w:r>
      <w:proofErr w:type="spellStart"/>
      <w:r w:rsidRPr="002037CF">
        <w:t>modeling</w:t>
      </w:r>
      <w:proofErr w:type="spellEnd"/>
      <w:r w:rsidRPr="002037CF">
        <w:t xml:space="preserve"> process during the service-oriented analysis.</w:t>
      </w:r>
    </w:p>
    <w:p w14:paraId="522A6FF6" w14:textId="77777777" w:rsidR="002037CF" w:rsidRPr="002037CF" w:rsidRDefault="002037CF" w:rsidP="002037CF">
      <w:pPr>
        <w:jc w:val="both"/>
      </w:pPr>
      <w:r w:rsidRPr="002037CF">
        <w:t>Step 5: Design service-oriented business process</w:t>
      </w:r>
    </w:p>
    <w:p w14:paraId="41161DB0" w14:textId="77777777" w:rsidR="002037CF" w:rsidRPr="002037CF" w:rsidRDefault="002037CF" w:rsidP="002037CF">
      <w:pPr>
        <w:jc w:val="both"/>
      </w:pPr>
      <w:r w:rsidRPr="002037CF">
        <w:t xml:space="preserve">Upon establishing an inventory of service designs, we proceed to create our orchestration </w:t>
      </w:r>
      <w:proofErr w:type="spellStart"/>
      <w:r w:rsidRPr="002037CF">
        <w:t>layerthe</w:t>
      </w:r>
      <w:proofErr w:type="spellEnd"/>
      <w:r w:rsidRPr="002037CF">
        <w:t xml:space="preserve"> glue that binds our services with business process logic. This step results in the formal, executable definition of workflow logic, which translates into the creation of a WS-BPEL process definition (as explained in Chapter 16).</w:t>
      </w:r>
    </w:p>
    <w:p w14:paraId="087DC34E" w14:textId="77777777" w:rsidR="002037CF" w:rsidRPr="002037CF" w:rsidRDefault="002037CF" w:rsidP="002037CF">
      <w:pPr>
        <w:jc w:val="both"/>
      </w:pPr>
      <w:r w:rsidRPr="002037CF">
        <w:t>13.1.4. Prerequisites</w:t>
      </w:r>
    </w:p>
    <w:p w14:paraId="5BBA3D0F" w14:textId="77777777" w:rsidR="002037CF" w:rsidRPr="002037CF" w:rsidRDefault="002037CF" w:rsidP="002037CF">
      <w:pPr>
        <w:jc w:val="both"/>
      </w:pPr>
      <w:r w:rsidRPr="002037CF">
        <w:t>Before we get into the details of the service-oriented design process, we should make sure that we have a sufficient understanding of key parts of the languages required to design services.</w:t>
      </w:r>
    </w:p>
    <w:p w14:paraId="35E8B2E8" w14:textId="77777777" w:rsidR="002037CF" w:rsidRDefault="002037CF" w:rsidP="002037CF">
      <w:pPr>
        <w:jc w:val="both"/>
      </w:pPr>
      <w:r w:rsidRPr="002037CF">
        <w:t>Figure 13.2. Three core specifications associated with service design.</w:t>
      </w:r>
    </w:p>
    <w:p w14:paraId="25E4AE9E" w14:textId="5C90625F" w:rsidR="002037CF" w:rsidRDefault="002037CF" w:rsidP="002037CF">
      <w:pPr>
        <w:jc w:val="both"/>
      </w:pPr>
      <w:r>
        <w:rPr>
          <w:noProof/>
        </w:rPr>
        <w:drawing>
          <wp:inline distT="0" distB="0" distL="0" distR="0" wp14:anchorId="0AC9466B" wp14:editId="5EA6EC41">
            <wp:extent cx="4762500" cy="1933575"/>
            <wp:effectExtent l="0" t="0" r="0" b="9525"/>
            <wp:docPr id="6744098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33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1C3EE6" w14:textId="77777777" w:rsidR="00A728A5" w:rsidRPr="00A728A5" w:rsidRDefault="00A728A5" w:rsidP="00A728A5"/>
    <w:sectPr w:rsidR="00A728A5" w:rsidRPr="00A72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843B5"/>
    <w:multiLevelType w:val="multilevel"/>
    <w:tmpl w:val="660C4A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EA84683"/>
    <w:multiLevelType w:val="multilevel"/>
    <w:tmpl w:val="9342B9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49304062">
    <w:abstractNumId w:val="1"/>
  </w:num>
  <w:num w:numId="2" w16cid:durableId="114053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83"/>
    <w:rsid w:val="00186583"/>
    <w:rsid w:val="001E6B36"/>
    <w:rsid w:val="002037CF"/>
    <w:rsid w:val="00235C05"/>
    <w:rsid w:val="00622035"/>
    <w:rsid w:val="00A728A5"/>
    <w:rsid w:val="00DB145B"/>
    <w:rsid w:val="00F37F3E"/>
    <w:rsid w:val="00F8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2F497"/>
  <w15:chartTrackingRefBased/>
  <w15:docId w15:val="{20D068F2-9894-4079-94EC-20C309BE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342</Words>
  <Characters>2043</Characters>
  <Application>Microsoft Office Word</Application>
  <DocSecurity>0</DocSecurity>
  <Lines>48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Mangal</dc:creator>
  <cp:keywords/>
  <dc:description/>
  <cp:lastModifiedBy>Riya Mangal</cp:lastModifiedBy>
  <cp:revision>5</cp:revision>
  <dcterms:created xsi:type="dcterms:W3CDTF">2024-11-05T10:06:00Z</dcterms:created>
  <dcterms:modified xsi:type="dcterms:W3CDTF">2024-11-05T10:20:00Z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be7677055c613cbfb5691b0756320c25e52b82b11793eacf1770ef3bb5109073</vt:lpwstr>
  </property>
</Properties>
</file>