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NetraScan AI</w:t>
      </w:r>
    </w:p>
    <w:p>
      <w:pPr>
        <w:jc w:val="center"/>
      </w:pPr>
      <w:r>
        <w:rPr>
          <w:b/>
          <w:sz w:val="28"/>
        </w:rPr>
        <w:t>Dataset Engineering &amp; Pre-Training Pipeline Summary</w:t>
      </w:r>
    </w:p>
    <w:p>
      <w:pPr>
        <w:jc w:val="center"/>
      </w:pPr>
      <w:r>
        <w:rPr>
          <w:i/>
          <w:sz w:val="20"/>
        </w:rPr>
        <w:t>Resume / Interview Reference</w:t>
      </w:r>
    </w:p>
    <w:p>
      <w:pPr>
        <w:pStyle w:val="Heading1"/>
      </w:pPr>
      <w:r>
        <w:t>1. Project Scope</w:t>
      </w:r>
    </w:p>
    <w:p>
      <w:r>
        <w:t>NetraScan AI is an anterior-eye cataract screening project. The current Transformer branch targets three-class classification: Normal, Immature Cataract, and Mature Cataract. The planned models are ViT, Swin Transformer, and MobileViT, followed by Explainable AI (XAI) and a Generative AI reporting/explanation layer. A separate CNN implementation will serve as the comparison baseline.</w:t>
      </w:r>
    </w:p>
    <w:p>
      <w:pPr>
        <w:pStyle w:val="Heading1"/>
      </w:pPr>
      <w:r>
        <w:t>2. Raw Data Audit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Source</w:t>
            </w:r>
          </w:p>
        </w:tc>
        <w:tc>
          <w:tcPr>
            <w:tcW w:type="dxa" w:w="3360"/>
          </w:tcPr>
          <w:p>
            <w:r>
              <w:t>Images</w:t>
            </w:r>
          </w:p>
        </w:tc>
        <w:tc>
          <w:tcPr>
            <w:tcW w:type="dxa" w:w="3360"/>
          </w:tcPr>
          <w:p>
            <w:r>
              <w:t>Role / Notes</w:t>
            </w:r>
          </w:p>
        </w:tc>
      </w:tr>
      <w:tr>
        <w:tc>
          <w:tcPr>
            <w:tcW w:type="dxa" w:w="3360"/>
          </w:tcPr>
          <w:p>
            <w:r>
              <w:t>Cataract v01</w:t>
            </w:r>
          </w:p>
        </w:tc>
        <w:tc>
          <w:tcPr>
            <w:tcW w:type="dxa" w:w="3360"/>
          </w:tcPr>
          <w:p>
            <w:r>
              <w:t>587</w:t>
            </w:r>
          </w:p>
        </w:tc>
        <w:tc>
          <w:tcPr>
            <w:tcW w:type="dxa" w:w="3360"/>
          </w:tcPr>
          <w:p>
            <w:r>
              <w:t>Normal / immature / mature anterior-eye images</w:t>
            </w:r>
          </w:p>
        </w:tc>
      </w:tr>
      <w:tr>
        <w:tc>
          <w:tcPr>
            <w:tcW w:type="dxa" w:w="3360"/>
          </w:tcPr>
          <w:p>
            <w:r>
              <w:t>Dataset Katarak</w:t>
            </w:r>
          </w:p>
        </w:tc>
        <w:tc>
          <w:tcPr>
            <w:tcW w:type="dxa" w:w="3360"/>
          </w:tcPr>
          <w:p>
            <w:r>
              <w:t>2,955</w:t>
            </w:r>
          </w:p>
        </w:tc>
        <w:tc>
          <w:tcPr>
            <w:tcW w:type="dxa" w:w="3360"/>
          </w:tcPr>
          <w:p>
            <w:r>
              <w:t>Normal / immature / mature; train and test folders</w:t>
            </w:r>
          </w:p>
        </w:tc>
      </w:tr>
      <w:tr>
        <w:tc>
          <w:tcPr>
            <w:tcW w:type="dxa" w:w="3360"/>
          </w:tcPr>
          <w:p>
            <w:r>
              <w:t>SLID</w:t>
            </w:r>
          </w:p>
        </w:tc>
        <w:tc>
          <w:tcPr>
            <w:tcW w:type="dxa" w:w="3360"/>
          </w:tcPr>
          <w:p>
            <w:r>
              <w:t>2,617</w:t>
            </w:r>
          </w:p>
        </w:tc>
        <w:tc>
          <w:tcPr>
            <w:tcW w:type="dxa" w:w="3360"/>
          </w:tcPr>
          <w:p>
            <w:r>
              <w:t>Slit-lamp images with 10,204 annotation rows</w:t>
            </w:r>
          </w:p>
        </w:tc>
      </w:tr>
      <w:tr>
        <w:tc>
          <w:tcPr>
            <w:tcW w:type="dxa" w:w="3360"/>
          </w:tcPr>
          <w:p>
            <w:r>
              <w:t>Total audited</w:t>
            </w:r>
          </w:p>
        </w:tc>
        <w:tc>
          <w:tcPr>
            <w:tcW w:type="dxa" w:w="3360"/>
          </w:tcPr>
          <w:p>
            <w:r>
              <w:t>6,159</w:t>
            </w:r>
          </w:p>
        </w:tc>
        <w:tc>
          <w:tcPr>
            <w:tcW w:type="dxa" w:w="3360"/>
          </w:tcPr>
          <w:p>
            <w:r>
              <w:t>All sources inspected before model training</w:t>
            </w:r>
          </w:p>
        </w:tc>
      </w:tr>
    </w:tbl>
    <w:p>
      <w:r>
        <w:t>SLID analysis identified 225 cataract-containing images, 119 intraocular-lens images, 245 no-lesion/normal images, and 2,028 images mapped to other anterior-eye conditions. SLID was not blindly merged into the primary three-class training set because its slit-lamp acquisition domain differs from the other sources and could introduce source-label confounding.</w:t>
      </w:r>
    </w:p>
    <w:p>
      <w:pPr>
        <w:pStyle w:val="Heading1"/>
      </w:pPr>
      <w:r>
        <w:t>3. Unified Metadata Pipeline</w:t>
      </w:r>
    </w:p>
    <w:p>
      <w:r>
        <w:t>A unified metadata table was created to track source, original split, filename, class, original label, image path, modality, and whether an image was eligible for primary training. This provides traceability and makes the dataset preparation reproducible instead of relying on manual folder manipulation.</w:t>
      </w:r>
    </w:p>
    <w:p>
      <w:pPr>
        <w:pStyle w:val="Heading1"/>
      </w:pPr>
      <w:r>
        <w:t>4. Exact Duplicate Detection</w:t>
      </w:r>
    </w:p>
    <w:p>
      <w:r>
        <w:t>SHA-256 hashing was computed successfully for all 6,159 images. All 6,159 files had unique byte-level hashes: 0 exact duplicate groups, 0 cross-source exact duplicates, and 0 exact duplicate label conflicts.</w:t>
      </w:r>
    </w:p>
    <w:p>
      <w:pPr>
        <w:pStyle w:val="Heading1"/>
      </w:pPr>
      <w:r>
        <w:t>5. Perceptual Duplicate Analysis</w:t>
      </w:r>
    </w:p>
    <w:p>
      <w:r>
        <w:t>Perceptual hashing (pHash) was then used because resizing, recompression, or augmentation can change a file's SHA-256 hash while preserving essentially the same visual sample.</w:t>
      </w:r>
    </w:p>
    <w:p>
      <w:pPr>
        <w:pStyle w:val="ListBullet"/>
      </w:pPr>
      <w:r>
        <w:t>5,715 unique perceptual hashes.</w:t>
      </w:r>
    </w:p>
    <w:p>
      <w:pPr>
        <w:pStyle w:val="ListBullet"/>
      </w:pPr>
      <w:r>
        <w:t>211 identical-pHash groups containing 655 images.</w:t>
      </w:r>
    </w:p>
    <w:p>
      <w:pPr>
        <w:pStyle w:val="ListBullet"/>
      </w:pPr>
      <w:r>
        <w:t>39 identical-pHash groups occurred across multiple datasets.</w:t>
      </w:r>
    </w:p>
    <w:p>
      <w:pPr>
        <w:pStyle w:val="ListBullet"/>
      </w:pPr>
      <w:r>
        <w:t>0 identical-pHash groups had conflicting class labels.</w:t>
      </w:r>
    </w:p>
    <w:p>
      <w:r>
        <w:t>Visual inspection confirmed genuine overlap between Cataract v01 and Dataset Katarak, demonstrating that byte-level deduplication alone would have missed important leakage risks.</w:t>
      </w:r>
    </w:p>
    <w:p>
      <w:pPr>
        <w:pStyle w:val="Heading1"/>
      </w:pPr>
      <w:r>
        <w:t>6. Near-Duplicate Investigation</w:t>
      </w:r>
    </w:p>
    <w:p>
      <w:r>
        <w:t>For the 3,542 primary cataract images, pHash Hamming distance &lt;= 4 was used to identify candidate near-duplicate relationships. This produced 1,378 candidate pairs: 875 at distance 0, 235 at distance 2, and 268 at distance 4. There were 169 cross-source pairs and only one different-label candidate.</w:t>
      </w:r>
    </w:p>
    <w:p>
      <w:r>
        <w:t>The different-label distance-4 pair was visually inspected and was not automatically treated as a duplicate. This prevented overly aggressive deletion based solely on perceptual similarity. Automatic visual-family grouping therefore used the conservative pHash distance = 0 rule.</w:t>
      </w:r>
    </w:p>
    <w:p>
      <w:pPr>
        <w:pStyle w:val="Heading1"/>
      </w:pPr>
      <w:r>
        <w:t>7. Visual-Family Grouping</w:t>
      </w:r>
    </w:p>
    <w:p>
      <w:r>
        <w:t>A Union-Find (Disjoint Set) algorithm was implemented to place strongly related images into the same visual family. This ensures that multiple augmented or cross-source variants of the same underlying visual sample can be handled as one group during dataset splitting.</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Primary images</w:t>
            </w:r>
          </w:p>
        </w:tc>
        <w:tc>
          <w:tcPr>
            <w:tcW w:type="dxa" w:w="5040"/>
          </w:tcPr>
          <w:p>
            <w:r>
              <w:t>3,542</w:t>
            </w:r>
          </w:p>
        </w:tc>
      </w:tr>
      <w:tr>
        <w:tc>
          <w:tcPr>
            <w:tcW w:type="dxa" w:w="5040"/>
          </w:tcPr>
          <w:p>
            <w:r>
              <w:t>Total visual families</w:t>
            </w:r>
          </w:p>
        </w:tc>
        <w:tc>
          <w:tcPr>
            <w:tcW w:type="dxa" w:w="5040"/>
          </w:tcPr>
          <w:p>
            <w:r>
              <w:t>3,127</w:t>
            </w:r>
          </w:p>
        </w:tc>
      </w:tr>
      <w:tr>
        <w:tc>
          <w:tcPr>
            <w:tcW w:type="dxa" w:w="5040"/>
          </w:tcPr>
          <w:p>
            <w:r>
              <w:t>Single-image families</w:t>
            </w:r>
          </w:p>
        </w:tc>
        <w:tc>
          <w:tcPr>
            <w:tcW w:type="dxa" w:w="5040"/>
          </w:tcPr>
          <w:p>
            <w:r>
              <w:t>2,945</w:t>
            </w:r>
          </w:p>
        </w:tc>
      </w:tr>
      <w:tr>
        <w:tc>
          <w:tcPr>
            <w:tcW w:type="dxa" w:w="5040"/>
          </w:tcPr>
          <w:p>
            <w:r>
              <w:t>Multi-image families</w:t>
            </w:r>
          </w:p>
        </w:tc>
        <w:tc>
          <w:tcPr>
            <w:tcW w:type="dxa" w:w="5040"/>
          </w:tcPr>
          <w:p>
            <w:r>
              <w:t>182</w:t>
            </w:r>
          </w:p>
        </w:tc>
      </w:tr>
      <w:tr>
        <w:tc>
          <w:tcPr>
            <w:tcW w:type="dxa" w:w="5040"/>
          </w:tcPr>
          <w:p>
            <w:r>
              <w:t>Images in multi-image families</w:t>
            </w:r>
          </w:p>
        </w:tc>
        <w:tc>
          <w:tcPr>
            <w:tcW w:type="dxa" w:w="5040"/>
          </w:tcPr>
          <w:p>
            <w:r>
              <w:t>597</w:t>
            </w:r>
          </w:p>
        </w:tc>
      </w:tr>
      <w:tr>
        <w:tc>
          <w:tcPr>
            <w:tcW w:type="dxa" w:w="5040"/>
          </w:tcPr>
          <w:p>
            <w:r>
              <w:t>Largest visual family</w:t>
            </w:r>
          </w:p>
        </w:tc>
        <w:tc>
          <w:tcPr>
            <w:tcW w:type="dxa" w:w="5040"/>
          </w:tcPr>
          <w:p>
            <w:r>
              <w:t>9 images</w:t>
            </w:r>
          </w:p>
        </w:tc>
      </w:tr>
      <w:tr>
        <w:tc>
          <w:tcPr>
            <w:tcW w:type="dxa" w:w="5040"/>
          </w:tcPr>
          <w:p>
            <w:r>
              <w:t>Cross-source families</w:t>
            </w:r>
          </w:p>
        </w:tc>
        <w:tc>
          <w:tcPr>
            <w:tcW w:type="dxa" w:w="5040"/>
          </w:tcPr>
          <w:p>
            <w:r>
              <w:t>39</w:t>
            </w:r>
          </w:p>
        </w:tc>
      </w:tr>
      <w:tr>
        <w:tc>
          <w:tcPr>
            <w:tcW w:type="dxa" w:w="5040"/>
          </w:tcPr>
          <w:p>
            <w:r>
              <w:t>Families with conflicting labels</w:t>
            </w:r>
          </w:p>
        </w:tc>
        <w:tc>
          <w:tcPr>
            <w:tcW w:type="dxa" w:w="5040"/>
          </w:tcPr>
          <w:p>
            <w:r>
              <w:t>0</w:t>
            </w:r>
          </w:p>
        </w:tc>
      </w:tr>
    </w:tbl>
    <w:p>
      <w:r>
        <w:t>Independent visual families by class: Normal 1,051; Immature 1,038; Mature 1,038.</w:t>
      </w:r>
    </w:p>
    <w:p>
      <w:pPr>
        <w:pStyle w:val="Heading1"/>
      </w:pPr>
      <w:r>
        <w:t>8. Leakage-Aware Train / Validation / Test Split</w:t>
      </w:r>
    </w:p>
    <w:p>
      <w:r>
        <w:t>The dataset was split at the visual-family level rather than at the individual-image level. Therefore, related variants belonging to one visual family cannot appear across multiple partitions.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Split</w:t>
            </w:r>
          </w:p>
        </w:tc>
        <w:tc>
          <w:tcPr>
            <w:tcW w:type="dxa" w:w="2016"/>
          </w:tcPr>
          <w:p>
            <w:r>
              <w:t>Images</w:t>
            </w:r>
          </w:p>
        </w:tc>
        <w:tc>
          <w:tcPr>
            <w:tcW w:type="dxa" w:w="2016"/>
          </w:tcPr>
          <w:p>
            <w:r>
              <w:t>Percentage</w:t>
            </w:r>
          </w:p>
        </w:tc>
        <w:tc>
          <w:tcPr>
            <w:tcW w:type="dxa" w:w="2016"/>
          </w:tcPr>
          <w:p>
            <w:r>
              <w:t>Immature</w:t>
            </w:r>
          </w:p>
        </w:tc>
        <w:tc>
          <w:tcPr>
            <w:tcW w:type="dxa" w:w="2016"/>
          </w:tcPr>
          <w:p>
            <w:r>
              <w:t>Mature / Normal</w:t>
            </w:r>
          </w:p>
        </w:tc>
      </w:tr>
      <w:tr>
        <w:tc>
          <w:tcPr>
            <w:tcW w:type="dxa" w:w="2016"/>
          </w:tcPr>
          <w:p>
            <w:r>
              <w:t>Train</w:t>
            </w:r>
          </w:p>
        </w:tc>
        <w:tc>
          <w:tcPr>
            <w:tcW w:type="dxa" w:w="2016"/>
          </w:tcPr>
          <w:p>
            <w:r>
              <w:t>2,487</w:t>
            </w:r>
          </w:p>
        </w:tc>
        <w:tc>
          <w:tcPr>
            <w:tcW w:type="dxa" w:w="2016"/>
          </w:tcPr>
          <w:p>
            <w:r>
              <w:t>70.21%</w:t>
            </w:r>
          </w:p>
        </w:tc>
        <w:tc>
          <w:tcPr>
            <w:tcW w:type="dxa" w:w="2016"/>
          </w:tcPr>
          <w:p>
            <w:r>
              <w:t>839</w:t>
            </w:r>
          </w:p>
        </w:tc>
        <w:tc>
          <w:tcPr>
            <w:tcW w:type="dxa" w:w="2016"/>
          </w:tcPr>
          <w:p>
            <w:r>
              <w:t>822 / 826</w:t>
            </w:r>
          </w:p>
        </w:tc>
      </w:tr>
      <w:tr>
        <w:tc>
          <w:tcPr>
            <w:tcW w:type="dxa" w:w="2016"/>
          </w:tcPr>
          <w:p>
            <w:r>
              <w:t>Validation</w:t>
            </w:r>
          </w:p>
        </w:tc>
        <w:tc>
          <w:tcPr>
            <w:tcW w:type="dxa" w:w="2016"/>
          </w:tcPr>
          <w:p>
            <w:r>
              <w:t>536</w:t>
            </w:r>
          </w:p>
        </w:tc>
        <w:tc>
          <w:tcPr>
            <w:tcW w:type="dxa" w:w="2016"/>
          </w:tcPr>
          <w:p>
            <w:r>
              <w:t>15.13%</w:t>
            </w:r>
          </w:p>
        </w:tc>
        <w:tc>
          <w:tcPr>
            <w:tcW w:type="dxa" w:w="2016"/>
          </w:tcPr>
          <w:p>
            <w:r>
              <w:t>177</w:t>
            </w:r>
          </w:p>
        </w:tc>
        <w:tc>
          <w:tcPr>
            <w:tcW w:type="dxa" w:w="2016"/>
          </w:tcPr>
          <w:p>
            <w:r>
              <w:t>187 / 172</w:t>
            </w:r>
          </w:p>
        </w:tc>
      </w:tr>
      <w:tr>
        <w:tc>
          <w:tcPr>
            <w:tcW w:type="dxa" w:w="2016"/>
          </w:tcPr>
          <w:p>
            <w:r>
              <w:t>Test</w:t>
            </w:r>
          </w:p>
        </w:tc>
        <w:tc>
          <w:tcPr>
            <w:tcW w:type="dxa" w:w="2016"/>
          </w:tcPr>
          <w:p>
            <w:r>
              <w:t>519</w:t>
            </w:r>
          </w:p>
        </w:tc>
        <w:tc>
          <w:tcPr>
            <w:tcW w:type="dxa" w:w="2016"/>
          </w:tcPr>
          <w:p>
            <w:r>
              <w:t>14.65%</w:t>
            </w:r>
          </w:p>
        </w:tc>
        <w:tc>
          <w:tcPr>
            <w:tcW w:type="dxa" w:w="2016"/>
          </w:tcPr>
          <w:p>
            <w:r>
              <w:t>180</w:t>
            </w:r>
          </w:p>
        </w:tc>
        <w:tc>
          <w:tcPr>
            <w:tcW w:type="dxa" w:w="2016"/>
          </w:tcPr>
          <w:p>
            <w:r>
              <w:t>168 / 171</w:t>
            </w:r>
          </w:p>
        </w:tc>
      </w:tr>
    </w:tbl>
    <w:p>
      <w:r>
        <w:rPr>
          <w:b/>
        </w:rPr>
        <w:t xml:space="preserve">Critical leakage check: </w:t>
      </w:r>
      <w:r>
        <w:t>0 visual families appeared in multiple splits (PASS).</w:t>
      </w:r>
    </w:p>
    <w:p>
      <w:r>
        <w:t>Important limitation: this is visual-family-aware splitting, not guaranteed patient-level splitting, because the source datasets do not provide sufficient patient identifiers.</w:t>
      </w:r>
    </w:p>
    <w:p>
      <w:pPr>
        <w:pStyle w:val="Heading1"/>
      </w:pPr>
      <w:r>
        <w:t>9. Reproducible Dataset Manifests</w:t>
      </w:r>
    </w:p>
    <w:p>
      <w:r>
        <w:t>Four CSV manifests were saved as the single source of truth for subsequent experiments:</w:t>
      </w:r>
    </w:p>
    <w:p>
      <w:pPr>
        <w:pStyle w:val="ListBullet"/>
      </w:pPr>
      <w:r>
        <w:t>netrascan_3class_master.csv - 3,542 rows</w:t>
      </w:r>
    </w:p>
    <w:p>
      <w:pPr>
        <w:pStyle w:val="ListBullet"/>
      </w:pPr>
      <w:r>
        <w:t>netrascan_train.csv - 2,487 rows</w:t>
      </w:r>
    </w:p>
    <w:p>
      <w:pPr>
        <w:pStyle w:val="ListBullet"/>
      </w:pPr>
      <w:r>
        <w:t>netrascan_val.csv - 536 rows</w:t>
      </w:r>
    </w:p>
    <w:p>
      <w:pPr>
        <w:pStyle w:val="ListBullet"/>
      </w:pPr>
      <w:r>
        <w:t>netrascan_test.csv - 519 rows</w:t>
      </w:r>
    </w:p>
    <w:p>
      <w:r>
        <w:t>ViT, Swin Transformer, MobileViT, and the CNN baseline should all consume these same partitions so that architecture comparisons are performed on identical data.</w:t>
      </w:r>
    </w:p>
    <w:p>
      <w:pPr>
        <w:pStyle w:val="Heading1"/>
      </w:pPr>
      <w:r>
        <w:t>10. Summary</w:t>
      </w:r>
    </w:p>
    <w:p>
      <w:r>
        <w:t>NetraScan AI currently has a reproducible, leakage-aware dataset pipeline for three-class anterior-eye cataract classification. A total of 6,159 images from Cataract v01, Dataset Katarak, and SLID were audited and standardized through unified metadata. SHA-256 hashing confirmed that no files were byte-identical, while perceptual hashing revealed visually overlapping samples across datasets. Strong duplicate relationships were organized into visual families using a Union-Find algorithm, producing 3,127 visual families from the 3,542 primary classification images. The final Normal, Immature Cataract, and Mature Cataract dataset was split at the visual-family level into 2,487 training, 536 validation, and 519 test images, with zero detected visual-family leakage across partitions. The resulting CSV manifests will be used consistently for ViT, Swin Transformer, MobileViT, and the CNN baseline so that future model comparisons are performed on identical data.</w:t>
      </w:r>
    </w:p>
    <w:p>
      <w:pPr>
        <w:pStyle w:val="Heading1"/>
      </w:pPr>
      <w:r>
        <w:t>11. Next Implementation Phase</w:t>
      </w:r>
    </w:p>
    <w:p>
      <w:r>
        <w:t>PyTorch Dataset/DataLoader -&gt; training-only augmentation -&gt; ViT fine-tuning -&gt; Swin Transformer -&gt; MobileViT -&gt; controlled evaluation -&gt; XAI -&gt; GenAI report/explanation layer.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NetraScan AI | Dataset Engineering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