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2026 FIFA WORLD CUP — STATISTICAL INVESTIGATION</w:t>
      </w:r>
    </w:p>
    <w:p>
      <w:pPr>
        <w:spacing w:after="200"/>
        <w:jc w:val="center"/>
      </w:pPr>
      <w:r>
        <w:rPr>
          <w:i/>
          <w:iCs/>
          <w:sz w:val="22"/>
          <w:szCs w:val="22"/>
        </w:rPr>
        <w:t xml:space="preserve">Descriptive Statistics, Probability &amp; Bayes' Rule, Random Variables &amp; Distributions, Expectation &amp; Variance</w:t>
      </w:r>
    </w:p>
    <w:p>
      <w:pPr>
        <w:spacing w:after="300"/>
        <w:jc w:val="center"/>
      </w:pPr>
      <w:r>
        <w:rPr>
          <w:color w:val="555555"/>
          <w:sz w:val="20"/>
          <w:szCs w:val="20"/>
        </w:rPr>
        <w:t xml:space="preserve">Dataset: total goals scored per match, all 104 matches of the 2026 FIFA World Cup (group stage through final)</w:t>
      </w:r>
    </w:p>
    <w:p>
      <w:pPr>
        <w:pStyle w:val="Heading1"/>
        <w:spacing w:after="150" w:before="300"/>
      </w:pPr>
      <w:r>
        <w:rPr>
          <w:b/>
          <w:bCs/>
          <w:color w:val="1F3864"/>
        </w:rPr>
        <w:t xml:space="preserve">1. Introduction</w:t>
      </w:r>
    </w:p>
    <w:p>
      <w:pPr>
        <w:spacing w:after="160"/>
      </w:pPr>
      <w:r>
        <w:t xml:space="preserve">This report applies the four analytical parts required by the project brief — descriptive statistics, probability and Bayes' Rule, random variables and distributions, and expectation and variance — to real match data from the 2026 FIFA World Cup, held in Canada, Mexico, and the United States from June 11 to July 19, 2026.</w:t>
      </w:r>
    </w:p>
    <w:p>
      <w:pPr>
        <w:spacing w:after="160"/>
      </w:pPr>
      <w:r>
        <w:t xml:space="preserve">The variable analyzed throughout is X = total goals scored in a match (both teams combined), recorded for all 104 matches played across the group stage, round of 32, round of 16, quarterfinals, semifinals, third-place match, and final. Spain won the tournament, beating Argentina 1-0 after extra time in the final.</w:t>
      </w:r>
    </w:p>
    <w:p>
      <w:pPr>
        <w:pStyle w:val="Heading1"/>
        <w:spacing w:after="150" w:before="300"/>
      </w:pPr>
      <w:r>
        <w:rPr>
          <w:b/>
          <w:bCs/>
          <w:color w:val="1F3864"/>
        </w:rPr>
        <w:t xml:space="preserve">2. Part A — Descriptive Statistics</w:t>
      </w:r>
    </w:p>
    <w:p>
      <w:pPr>
        <w:pStyle w:val="Heading2"/>
        <w:spacing w:after="120" w:before="240"/>
      </w:pPr>
      <w:r>
        <w:rPr>
          <w:b/>
          <w:bCs/>
          <w:color w:val="1F3864"/>
        </w:rPr>
        <w:t xml:space="preserve">2.1 Summary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tcPr>
          <w:p>
            <w:r>
              <w:rPr>
                <w:b/>
                <w:bCs/>
                <w:color w:val="FFFFFF"/>
                <w:sz w:val="20"/>
                <w:szCs w:val="20"/>
              </w:rPr>
              <w:t xml:space="preserve">Statistic</w:t>
            </w:r>
          </w:p>
        </w:tc>
        <w:tc>
          <w:tcPr>
            <w:tcW w:type="dxa" w:w="4500"/>
            <w:shd w:fill="1F3864" w:val="clear"/>
            <w:tcMar>
              <w:top w:type="dxa" w:w="80"/>
              <w:left w:type="dxa" w:w="100"/>
              <w:bottom w:type="dxa" w:w="80"/>
              <w:right w:type="dxa" w:w="100"/>
            </w:tcMar>
          </w:tcPr>
          <w:p>
            <w:r>
              <w:rPr>
                <w:b/>
                <w:bCs/>
                <w:color w:val="FFFFFF"/>
                <w:sz w:val="20"/>
                <w:szCs w:val="20"/>
              </w:rPr>
              <w:t xml:space="preserve">Value</w:t>
            </w:r>
          </w:p>
        </w:tc>
      </w:tr>
      <w:tr>
        <w:tc>
          <w:tcPr>
            <w:tcW w:type="dxa" w:w="4500"/>
            <w:shd w:fill="FFFFFF" w:val="clear"/>
            <w:tcMar>
              <w:top w:type="dxa" w:w="60"/>
              <w:left w:type="dxa" w:w="100"/>
              <w:bottom w:type="dxa" w:w="60"/>
              <w:right w:type="dxa" w:w="100"/>
            </w:tcMar>
          </w:tcPr>
          <w:p>
            <w:r>
              <w:rPr>
                <w:sz w:val="20"/>
                <w:szCs w:val="20"/>
              </w:rPr>
              <w:t xml:space="preserve">n (matches)</w:t>
            </w:r>
          </w:p>
        </w:tc>
        <w:tc>
          <w:tcPr>
            <w:tcW w:type="dxa" w:w="4500"/>
            <w:shd w:fill="FFFFFF" w:val="clear"/>
            <w:tcMar>
              <w:top w:type="dxa" w:w="60"/>
              <w:left w:type="dxa" w:w="100"/>
              <w:bottom w:type="dxa" w:w="60"/>
              <w:right w:type="dxa" w:w="100"/>
            </w:tcMar>
          </w:tcPr>
          <w:p>
            <w:r>
              <w:rPr>
                <w:sz w:val="20"/>
                <w:szCs w:val="20"/>
              </w:rPr>
              <w:t xml:space="preserve">104</w:t>
            </w:r>
          </w:p>
        </w:tc>
      </w:tr>
      <w:tr>
        <w:tc>
          <w:tcPr>
            <w:tcW w:type="dxa" w:w="4500"/>
            <w:shd w:fill="DCE6F1" w:val="clear"/>
            <w:tcMar>
              <w:top w:type="dxa" w:w="60"/>
              <w:left w:type="dxa" w:w="100"/>
              <w:bottom w:type="dxa" w:w="60"/>
              <w:right w:type="dxa" w:w="100"/>
            </w:tcMar>
          </w:tcPr>
          <w:p>
            <w:r>
              <w:rPr>
                <w:sz w:val="20"/>
                <w:szCs w:val="20"/>
              </w:rPr>
              <w:t xml:space="preserve">Mean (total goals/match)</w:t>
            </w:r>
          </w:p>
        </w:tc>
        <w:tc>
          <w:tcPr>
            <w:tcW w:type="dxa" w:w="4500"/>
            <w:shd w:fill="DCE6F1" w:val="clear"/>
            <w:tcMar>
              <w:top w:type="dxa" w:w="60"/>
              <w:left w:type="dxa" w:w="100"/>
              <w:bottom w:type="dxa" w:w="60"/>
              <w:right w:type="dxa" w:w="100"/>
            </w:tcMar>
          </w:tcPr>
          <w:p>
            <w:r>
              <w:rPr>
                <w:sz w:val="20"/>
                <w:szCs w:val="20"/>
              </w:rPr>
              <w:t xml:space="preserve">3.14</w:t>
            </w:r>
          </w:p>
        </w:tc>
      </w:tr>
      <w:tr>
        <w:tc>
          <w:tcPr>
            <w:tcW w:type="dxa" w:w="4500"/>
            <w:shd w:fill="FFFFFF" w:val="clear"/>
            <w:tcMar>
              <w:top w:type="dxa" w:w="60"/>
              <w:left w:type="dxa" w:w="100"/>
              <w:bottom w:type="dxa" w:w="60"/>
              <w:right w:type="dxa" w:w="100"/>
            </w:tcMar>
          </w:tcPr>
          <w:p>
            <w:r>
              <w:rPr>
                <w:sz w:val="20"/>
                <w:szCs w:val="20"/>
              </w:rPr>
              <w:t xml:space="preserve">Median</w:t>
            </w:r>
          </w:p>
        </w:tc>
        <w:tc>
          <w:tcPr>
            <w:tcW w:type="dxa" w:w="4500"/>
            <w:shd w:fill="FFFFFF" w:val="clear"/>
            <w:tcMar>
              <w:top w:type="dxa" w:w="60"/>
              <w:left w:type="dxa" w:w="100"/>
              <w:bottom w:type="dxa" w:w="60"/>
              <w:right w:type="dxa" w:w="100"/>
            </w:tcMar>
          </w:tcPr>
          <w:p>
            <w:r>
              <w:rPr>
                <w:sz w:val="20"/>
                <w:szCs w:val="20"/>
              </w:rPr>
              <w:t xml:space="preserve">3</w:t>
            </w:r>
          </w:p>
        </w:tc>
      </w:tr>
      <w:tr>
        <w:tc>
          <w:tcPr>
            <w:tcW w:type="dxa" w:w="4500"/>
            <w:shd w:fill="DCE6F1" w:val="clear"/>
            <w:tcMar>
              <w:top w:type="dxa" w:w="60"/>
              <w:left w:type="dxa" w:w="100"/>
              <w:bottom w:type="dxa" w:w="60"/>
              <w:right w:type="dxa" w:w="100"/>
            </w:tcMar>
          </w:tcPr>
          <w:p>
            <w:r>
              <w:rPr>
                <w:sz w:val="20"/>
                <w:szCs w:val="20"/>
              </w:rPr>
              <w:t xml:space="preserve">Mode</w:t>
            </w:r>
          </w:p>
        </w:tc>
        <w:tc>
          <w:tcPr>
            <w:tcW w:type="dxa" w:w="4500"/>
            <w:shd w:fill="DCE6F1" w:val="clear"/>
            <w:tcMar>
              <w:top w:type="dxa" w:w="60"/>
              <w:left w:type="dxa" w:w="100"/>
              <w:bottom w:type="dxa" w:w="60"/>
              <w:right w:type="dxa" w:w="100"/>
            </w:tcMar>
          </w:tcPr>
          <w:p>
            <w:r>
              <w:rPr>
                <w:sz w:val="20"/>
                <w:szCs w:val="20"/>
              </w:rPr>
              <w:t xml:space="preserve">3 (22 matches)</w:t>
            </w:r>
          </w:p>
        </w:tc>
      </w:tr>
      <w:tr>
        <w:tc>
          <w:tcPr>
            <w:tcW w:type="dxa" w:w="4500"/>
            <w:shd w:fill="FFFFFF" w:val="clear"/>
            <w:tcMar>
              <w:top w:type="dxa" w:w="60"/>
              <w:left w:type="dxa" w:w="100"/>
              <w:bottom w:type="dxa" w:w="60"/>
              <w:right w:type="dxa" w:w="100"/>
            </w:tcMar>
          </w:tcPr>
          <w:p>
            <w:r>
              <w:rPr>
                <w:sz w:val="20"/>
                <w:szCs w:val="20"/>
              </w:rPr>
              <w:t xml:space="preserve">Range</w:t>
            </w:r>
          </w:p>
        </w:tc>
        <w:tc>
          <w:tcPr>
            <w:tcW w:type="dxa" w:w="4500"/>
            <w:shd w:fill="FFFFFF" w:val="clear"/>
            <w:tcMar>
              <w:top w:type="dxa" w:w="60"/>
              <w:left w:type="dxa" w:w="100"/>
              <w:bottom w:type="dxa" w:w="60"/>
              <w:right w:type="dxa" w:w="100"/>
            </w:tcMar>
          </w:tcPr>
          <w:p>
            <w:r>
              <w:rPr>
                <w:sz w:val="20"/>
                <w:szCs w:val="20"/>
              </w:rPr>
              <w:t xml:space="preserve">10 (0 to 10 goals)</w:t>
            </w:r>
          </w:p>
        </w:tc>
      </w:tr>
      <w:tr>
        <w:tc>
          <w:tcPr>
            <w:tcW w:type="dxa" w:w="4500"/>
            <w:shd w:fill="DCE6F1" w:val="clear"/>
            <w:tcMar>
              <w:top w:type="dxa" w:w="60"/>
              <w:left w:type="dxa" w:w="100"/>
              <w:bottom w:type="dxa" w:w="60"/>
              <w:right w:type="dxa" w:w="100"/>
            </w:tcMar>
          </w:tcPr>
          <w:p>
            <w:r>
              <w:rPr>
                <w:sz w:val="20"/>
                <w:szCs w:val="20"/>
              </w:rPr>
              <w:t xml:space="preserve">Sample Variance</w:t>
            </w:r>
          </w:p>
        </w:tc>
        <w:tc>
          <w:tcPr>
            <w:tcW w:type="dxa" w:w="4500"/>
            <w:shd w:fill="DCE6F1" w:val="clear"/>
            <w:tcMar>
              <w:top w:type="dxa" w:w="60"/>
              <w:left w:type="dxa" w:w="100"/>
              <w:bottom w:type="dxa" w:w="60"/>
              <w:right w:type="dxa" w:w="100"/>
            </w:tcMar>
          </w:tcPr>
          <w:p>
            <w:r>
              <w:rPr>
                <w:sz w:val="20"/>
                <w:szCs w:val="20"/>
              </w:rPr>
              <w:t xml:space="preserve">3.78</w:t>
            </w:r>
          </w:p>
        </w:tc>
      </w:tr>
      <w:tr>
        <w:tc>
          <w:tcPr>
            <w:tcW w:type="dxa" w:w="4500"/>
            <w:shd w:fill="FFFFFF" w:val="clear"/>
            <w:tcMar>
              <w:top w:type="dxa" w:w="60"/>
              <w:left w:type="dxa" w:w="100"/>
              <w:bottom w:type="dxa" w:w="60"/>
              <w:right w:type="dxa" w:w="100"/>
            </w:tcMar>
          </w:tcPr>
          <w:p>
            <w:r>
              <w:rPr>
                <w:sz w:val="20"/>
                <w:szCs w:val="20"/>
              </w:rPr>
              <w:t xml:space="preserve">Sample Std. Deviation</w:t>
            </w:r>
          </w:p>
        </w:tc>
        <w:tc>
          <w:tcPr>
            <w:tcW w:type="dxa" w:w="4500"/>
            <w:shd w:fill="FFFFFF" w:val="clear"/>
            <w:tcMar>
              <w:top w:type="dxa" w:w="60"/>
              <w:left w:type="dxa" w:w="100"/>
              <w:bottom w:type="dxa" w:w="60"/>
              <w:right w:type="dxa" w:w="100"/>
            </w:tcMar>
          </w:tcPr>
          <w:p>
            <w:r>
              <w:rPr>
                <w:sz w:val="20"/>
                <w:szCs w:val="20"/>
              </w:rPr>
              <w:t xml:space="preserve">1.94</w:t>
            </w:r>
          </w:p>
        </w:tc>
      </w:tr>
    </w:tbl>
    <w:p>
      <w:pPr>
        <w:spacing w:after="160"/>
      </w:pPr>
      <w:r>
        <w:t xml:space="preserve"/>
      </w:r>
    </w:p>
    <w:p>
      <w:pPr>
        <w:spacing w:after="160"/>
      </w:pPr>
      <w:r>
        <w:t xml:space="preserve">Interpretation: The average World Cup 2026 match produced just over 3 goals, with a typical match deviating by about 1.9 goals from this mean. The mean (3.14) sits slightly above the median (3), indicating a mild right skew — a small number of high-scoring blowouts (e.g., Germany 7-1 Curaçao, France 4-6 England in the third-place match) pull the average upward relative to the typical match.</w:t>
      </w:r>
    </w:p>
    <w:p>
      <w:pPr>
        <w:pStyle w:val="Heading2"/>
        <w:spacing w:after="120" w:before="240"/>
      </w:pPr>
      <w:r>
        <w:rPr>
          <w:b/>
          <w:bCs/>
          <w:color w:val="1F3864"/>
        </w:rPr>
        <w:t xml:space="preserve">2.2 Frequency Table and Chart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Total Goals</w:t>
            </w:r>
          </w:p>
        </w:tc>
        <w:tc>
          <w:tcPr>
            <w:tcW w:type="dxa" w:w="3000"/>
            <w:shd w:fill="1F3864" w:val="clear"/>
            <w:tcMar>
              <w:top w:type="dxa" w:w="80"/>
              <w:left w:type="dxa" w:w="100"/>
              <w:bottom w:type="dxa" w:w="80"/>
              <w:right w:type="dxa" w:w="100"/>
            </w:tcMar>
          </w:tcPr>
          <w:p>
            <w:r>
              <w:rPr>
                <w:b/>
                <w:bCs/>
                <w:color w:val="FFFFFF"/>
                <w:sz w:val="20"/>
                <w:szCs w:val="20"/>
              </w:rPr>
              <w:t xml:space="preserve">Frequency</w:t>
            </w:r>
          </w:p>
        </w:tc>
        <w:tc>
          <w:tcPr>
            <w:tcW w:type="dxa" w:w="3000"/>
            <w:shd w:fill="1F3864" w:val="clear"/>
            <w:tcMar>
              <w:top w:type="dxa" w:w="80"/>
              <w:left w:type="dxa" w:w="100"/>
              <w:bottom w:type="dxa" w:w="80"/>
              <w:right w:type="dxa" w:w="100"/>
            </w:tcMar>
          </w:tcPr>
          <w:p>
            <w:r>
              <w:rPr>
                <w:b/>
                <w:bCs/>
                <w:color w:val="FFFFFF"/>
                <w:sz w:val="20"/>
                <w:szCs w:val="20"/>
              </w:rPr>
              <w:t xml:space="preserve">Proportion</w:t>
            </w:r>
          </w:p>
        </w:tc>
      </w:tr>
      <w:tr>
        <w:tc>
          <w:tcPr>
            <w:tcW w:type="dxa" w:w="3000"/>
            <w:shd w:fill="FFFFFF" w:val="clear"/>
            <w:tcMar>
              <w:top w:type="dxa" w:w="60"/>
              <w:left w:type="dxa" w:w="100"/>
              <w:bottom w:type="dxa" w:w="60"/>
              <w:right w:type="dxa" w:w="100"/>
            </w:tcMar>
          </w:tcPr>
          <w:p>
            <w:r>
              <w:rPr>
                <w:sz w:val="20"/>
                <w:szCs w:val="20"/>
              </w:rPr>
              <w:t xml:space="preserve">0-1</w:t>
            </w:r>
          </w:p>
        </w:tc>
        <w:tc>
          <w:tcPr>
            <w:tcW w:type="dxa" w:w="3000"/>
            <w:shd w:fill="FFFFFF" w:val="clear"/>
            <w:tcMar>
              <w:top w:type="dxa" w:w="60"/>
              <w:left w:type="dxa" w:w="100"/>
              <w:bottom w:type="dxa" w:w="60"/>
              <w:right w:type="dxa" w:w="100"/>
            </w:tcMar>
          </w:tcPr>
          <w:p>
            <w:r>
              <w:rPr>
                <w:sz w:val="20"/>
                <w:szCs w:val="20"/>
              </w:rPr>
              <w:t xml:space="preserve">22</w:t>
            </w:r>
          </w:p>
        </w:tc>
        <w:tc>
          <w:tcPr>
            <w:tcW w:type="dxa" w:w="3000"/>
            <w:shd w:fill="FFFFFF" w:val="clear"/>
            <w:tcMar>
              <w:top w:type="dxa" w:w="60"/>
              <w:left w:type="dxa" w:w="100"/>
              <w:bottom w:type="dxa" w:w="60"/>
              <w:right w:type="dxa" w:w="100"/>
            </w:tcMar>
          </w:tcPr>
          <w:p>
            <w:r>
              <w:rPr>
                <w:sz w:val="20"/>
                <w:szCs w:val="20"/>
              </w:rPr>
              <w:t xml:space="preserve">0.212</w:t>
            </w:r>
          </w:p>
        </w:tc>
      </w:tr>
      <w:tr>
        <w:tc>
          <w:tcPr>
            <w:tcW w:type="dxa" w:w="3000"/>
            <w:shd w:fill="DCE6F1" w:val="clear"/>
            <w:tcMar>
              <w:top w:type="dxa" w:w="60"/>
              <w:left w:type="dxa" w:w="100"/>
              <w:bottom w:type="dxa" w:w="60"/>
              <w:right w:type="dxa" w:w="100"/>
            </w:tcMar>
          </w:tcPr>
          <w:p>
            <w:r>
              <w:rPr>
                <w:sz w:val="20"/>
                <w:szCs w:val="20"/>
              </w:rPr>
              <w:t xml:space="preserve">2-3</w:t>
            </w:r>
          </w:p>
        </w:tc>
        <w:tc>
          <w:tcPr>
            <w:tcW w:type="dxa" w:w="3000"/>
            <w:shd w:fill="DCE6F1" w:val="clear"/>
            <w:tcMar>
              <w:top w:type="dxa" w:w="60"/>
              <w:left w:type="dxa" w:w="100"/>
              <w:bottom w:type="dxa" w:w="60"/>
              <w:right w:type="dxa" w:w="100"/>
            </w:tcMar>
          </w:tcPr>
          <w:p>
            <w:r>
              <w:rPr>
                <w:sz w:val="20"/>
                <w:szCs w:val="20"/>
              </w:rPr>
              <w:t xml:space="preserve">42</w:t>
            </w:r>
          </w:p>
        </w:tc>
        <w:tc>
          <w:tcPr>
            <w:tcW w:type="dxa" w:w="3000"/>
            <w:shd w:fill="DCE6F1" w:val="clear"/>
            <w:tcMar>
              <w:top w:type="dxa" w:w="60"/>
              <w:left w:type="dxa" w:w="100"/>
              <w:bottom w:type="dxa" w:w="60"/>
              <w:right w:type="dxa" w:w="100"/>
            </w:tcMar>
          </w:tcPr>
          <w:p>
            <w:r>
              <w:rPr>
                <w:sz w:val="20"/>
                <w:szCs w:val="20"/>
              </w:rPr>
              <w:t xml:space="preserve">0.404</w:t>
            </w:r>
          </w:p>
        </w:tc>
      </w:tr>
      <w:tr>
        <w:tc>
          <w:tcPr>
            <w:tcW w:type="dxa" w:w="3000"/>
            <w:shd w:fill="FFFFFF" w:val="clear"/>
            <w:tcMar>
              <w:top w:type="dxa" w:w="60"/>
              <w:left w:type="dxa" w:w="100"/>
              <w:bottom w:type="dxa" w:w="60"/>
              <w:right w:type="dxa" w:w="100"/>
            </w:tcMar>
          </w:tcPr>
          <w:p>
            <w:r>
              <w:rPr>
                <w:sz w:val="20"/>
                <w:szCs w:val="20"/>
              </w:rPr>
              <w:t xml:space="preserve">4-5</w:t>
            </w:r>
          </w:p>
        </w:tc>
        <w:tc>
          <w:tcPr>
            <w:tcW w:type="dxa" w:w="3000"/>
            <w:shd w:fill="FFFFFF" w:val="clear"/>
            <w:tcMar>
              <w:top w:type="dxa" w:w="60"/>
              <w:left w:type="dxa" w:w="100"/>
              <w:bottom w:type="dxa" w:w="60"/>
              <w:right w:type="dxa" w:w="100"/>
            </w:tcMar>
          </w:tcPr>
          <w:p>
            <w:r>
              <w:rPr>
                <w:sz w:val="20"/>
                <w:szCs w:val="20"/>
              </w:rPr>
              <w:t xml:space="preserve">28</w:t>
            </w:r>
          </w:p>
        </w:tc>
        <w:tc>
          <w:tcPr>
            <w:tcW w:type="dxa" w:w="3000"/>
            <w:shd w:fill="FFFFFF" w:val="clear"/>
            <w:tcMar>
              <w:top w:type="dxa" w:w="60"/>
              <w:left w:type="dxa" w:w="100"/>
              <w:bottom w:type="dxa" w:w="60"/>
              <w:right w:type="dxa" w:w="100"/>
            </w:tcMar>
          </w:tcPr>
          <w:p>
            <w:r>
              <w:rPr>
                <w:sz w:val="20"/>
                <w:szCs w:val="20"/>
              </w:rPr>
              <w:t xml:space="preserve">0.269</w:t>
            </w:r>
          </w:p>
        </w:tc>
      </w:tr>
      <w:tr>
        <w:tc>
          <w:tcPr>
            <w:tcW w:type="dxa" w:w="3000"/>
            <w:shd w:fill="DCE6F1" w:val="clear"/>
            <w:tcMar>
              <w:top w:type="dxa" w:w="60"/>
              <w:left w:type="dxa" w:w="100"/>
              <w:bottom w:type="dxa" w:w="60"/>
              <w:right w:type="dxa" w:w="100"/>
            </w:tcMar>
          </w:tcPr>
          <w:p>
            <w:r>
              <w:rPr>
                <w:sz w:val="20"/>
                <w:szCs w:val="20"/>
              </w:rPr>
              <w:t xml:space="preserve">6-7</w:t>
            </w:r>
          </w:p>
        </w:tc>
        <w:tc>
          <w:tcPr>
            <w:tcW w:type="dxa" w:w="3000"/>
            <w:shd w:fill="DCE6F1" w:val="clear"/>
            <w:tcMar>
              <w:top w:type="dxa" w:w="60"/>
              <w:left w:type="dxa" w:w="100"/>
              <w:bottom w:type="dxa" w:w="60"/>
              <w:right w:type="dxa" w:w="100"/>
            </w:tcMar>
          </w:tcPr>
          <w:p>
            <w:r>
              <w:rPr>
                <w:sz w:val="20"/>
                <w:szCs w:val="20"/>
              </w:rPr>
              <w:t xml:space="preserve">10</w:t>
            </w:r>
          </w:p>
        </w:tc>
        <w:tc>
          <w:tcPr>
            <w:tcW w:type="dxa" w:w="3000"/>
            <w:shd w:fill="DCE6F1" w:val="clear"/>
            <w:tcMar>
              <w:top w:type="dxa" w:w="60"/>
              <w:left w:type="dxa" w:w="100"/>
              <w:bottom w:type="dxa" w:w="60"/>
              <w:right w:type="dxa" w:w="100"/>
            </w:tcMar>
          </w:tcPr>
          <w:p>
            <w:r>
              <w:rPr>
                <w:sz w:val="20"/>
                <w:szCs w:val="20"/>
              </w:rPr>
              <w:t xml:space="preserve">0.096</w:t>
            </w:r>
          </w:p>
        </w:tc>
      </w:tr>
      <w:tr>
        <w:tc>
          <w:tcPr>
            <w:tcW w:type="dxa" w:w="3000"/>
            <w:shd w:fill="FFFFFF" w:val="clear"/>
            <w:tcMar>
              <w:top w:type="dxa" w:w="60"/>
              <w:left w:type="dxa" w:w="100"/>
              <w:bottom w:type="dxa" w:w="60"/>
              <w:right w:type="dxa" w:w="100"/>
            </w:tcMar>
          </w:tcPr>
          <w:p>
            <w:r>
              <w:rPr>
                <w:sz w:val="20"/>
                <w:szCs w:val="20"/>
              </w:rPr>
              <w:t xml:space="preserve">8-10</w:t>
            </w:r>
          </w:p>
        </w:tc>
        <w:tc>
          <w:tcPr>
            <w:tcW w:type="dxa" w:w="3000"/>
            <w:shd w:fill="FFFFFF" w:val="clear"/>
            <w:tcMar>
              <w:top w:type="dxa" w:w="60"/>
              <w:left w:type="dxa" w:w="100"/>
              <w:bottom w:type="dxa" w:w="60"/>
              <w:right w:type="dxa" w:w="100"/>
            </w:tcMar>
          </w:tcPr>
          <w:p>
            <w:r>
              <w:rPr>
                <w:sz w:val="20"/>
                <w:szCs w:val="20"/>
              </w:rPr>
              <w:t xml:space="preserve">2</w:t>
            </w:r>
          </w:p>
        </w:tc>
        <w:tc>
          <w:tcPr>
            <w:tcW w:type="dxa" w:w="3000"/>
            <w:shd w:fill="FFFFFF" w:val="clear"/>
            <w:tcMar>
              <w:top w:type="dxa" w:w="60"/>
              <w:left w:type="dxa" w:w="100"/>
              <w:bottom w:type="dxa" w:w="60"/>
              <w:right w:type="dxa" w:w="100"/>
            </w:tcMar>
          </w:tcPr>
          <w:p>
            <w:r>
              <w:rPr>
                <w:sz w:val="20"/>
                <w:szCs w:val="20"/>
              </w:rPr>
              <w:t xml:space="preserve">0.019</w:t>
            </w:r>
          </w:p>
        </w:tc>
      </w:tr>
    </w:tbl>
    <w:p>
      <w:pPr>
        <w:spacing w:after="160"/>
      </w:pPr>
      <w:r>
        <w:t xml:space="preserve"/>
      </w:r>
    </w:p>
    <w:p>
      <w:pPr>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43200"/>
                    </a:xfrm>
                    <a:prstGeom prst="rect">
                      <a:avLst/>
                    </a:prstGeom>
                  </pic:spPr>
                </pic:pic>
              </a:graphicData>
            </a:graphic>
          </wp:inline>
        </w:drawing>
      </w:r>
    </w:p>
    <w:p>
      <w:pPr>
        <w:pStyle w:val="Heading2"/>
        <w:spacing w:after="120" w:before="240"/>
      </w:pPr>
      <w:r>
        <w:rPr>
          <w:b/>
          <w:bCs/>
          <w:color w:val="1F3864"/>
        </w:rPr>
        <w:t xml:space="preserve">2.3 Comparing Two Groups: Group Stage vs. Knockout Stage</w:t>
      </w:r>
    </w:p>
    <w:p>
      <w:pPr>
        <w:spacing w:after="160"/>
      </w:pPr>
      <w:r>
        <w:t xml:space="preserve">Group-stage matches (72 total) averaged 215 / 72 = 2.99 goals per match, while knockout-stage matches (32 total, round of 32 through the final) averaged 112 / 32 = 3.50 goals per match — a gap of about 0.51 goals, roughly 17% higher scoring in the knockout rounds. This is plausible given that several knockout matches went to extra time (adding up to 30 extra minutes for further scoring) and eliminated weaker teams progressively, leaving contests between stronger, more attacking sides. Whether this difference is statistically meaningful (versus normal match-to-match variability) would need a formal hypothesis test, which is outside the scope of this descriptive comparison.</w:t>
      </w:r>
    </w:p>
    <w:p>
      <w:pPr>
        <w:pStyle w:val="Heading1"/>
        <w:spacing w:after="150" w:before="300"/>
      </w:pPr>
      <w:r>
        <w:rPr>
          <w:b/>
          <w:bCs/>
          <w:color w:val="1F3864"/>
        </w:rPr>
        <w:t xml:space="preserve">3. Part B — Probability and Bayes' Rule</w:t>
      </w:r>
    </w:p>
    <w:p>
      <w:pPr>
        <w:pStyle w:val="Heading2"/>
        <w:spacing w:after="120" w:before="240"/>
      </w:pPr>
      <w:r>
        <w:rPr>
          <w:b/>
          <w:bCs/>
          <w:color w:val="1F3864"/>
        </w:rPr>
        <w:t xml:space="preserve">3.1 Basic Probabilities</w:t>
      </w:r>
    </w:p>
    <w:p>
      <w:pPr>
        <w:pStyle w:val="ListParagraph"/>
        <w:numPr>
          <w:ilvl w:val="0"/>
          <w:numId w:val="2"/>
        </w:numPr>
        <w:spacing w:after="80"/>
      </w:pPr>
      <w:r>
        <w:t xml:space="preserve">P(a group-stage match ends in a draw) = 20/72 ≈ 0.278</w:t>
      </w:r>
    </w:p>
    <w:p>
      <w:pPr>
        <w:pStyle w:val="ListParagraph"/>
        <w:numPr>
          <w:ilvl w:val="0"/>
          <w:numId w:val="2"/>
        </w:numPr>
        <w:spacing w:after="80"/>
      </w:pPr>
      <w:r>
        <w:t xml:space="preserve">P(a match has 4 or more total goals) = 40/104 ≈ 0.385</w:t>
      </w:r>
    </w:p>
    <w:p>
      <w:pPr>
        <w:pStyle w:val="ListParagraph"/>
        <w:numPr>
          <w:ilvl w:val="0"/>
          <w:numId w:val="2"/>
        </w:numPr>
        <w:spacing w:after="80"/>
      </w:pPr>
      <w:r>
        <w:t xml:space="preserve">P(a knockout-stage match requires extra time or penalties) = 9/32 ≈ 0.281</w:t>
      </w:r>
    </w:p>
    <w:p>
      <w:pPr>
        <w:pStyle w:val="Heading2"/>
        <w:spacing w:after="120" w:before="240"/>
      </w:pPr>
      <w:r>
        <w:rPr>
          <w:b/>
          <w:bCs/>
          <w:color w:val="1F3864"/>
        </w:rPr>
        <w:t xml:space="preserve">3.2 Conditional Probability</w:t>
      </w:r>
    </w:p>
    <w:p>
      <w:pPr>
        <w:spacing w:after="160"/>
      </w:pPr>
      <w:r>
        <w:t xml:space="preserve">Let A = the event that a match has 4+ total goals, and K = the event that a match is a knockout-stage fixture (round of 32 or later).</w:t>
      </w:r>
    </w:p>
    <w:p>
      <w:pPr>
        <w:spacing w:after="160"/>
      </w:pPr>
      <w:r>
        <w:t xml:space="preserve">P(A | K) = 11/32 ≈ 0.344, compared with the unconditional P(A) = 40/104 ≈ 0.385.</w:t>
      </w:r>
    </w:p>
    <w:p>
      <w:pPr>
        <w:spacing w:after="160"/>
      </w:pPr>
      <w:r>
        <w:t xml:space="preserve">Interpretation: high-scoring matches (4+ goals) were actually slightly less common in the knockout stage than across the tournament overall — despite knockout matches averaging more total goals (see 2.3), they were less likely to be true blowouts. This is consistent with knockout fixtures being tighter, more cautious contests between closely matched teams, with the higher average driven partly by extra-time minutes rather than by a higher rate of blowout scorelines.</w:t>
      </w:r>
    </w:p>
    <w:p>
      <w:pPr>
        <w:pStyle w:val="Heading2"/>
        <w:spacing w:after="120" w:before="240"/>
      </w:pPr>
      <w:r>
        <w:rPr>
          <w:b/>
          <w:bCs/>
          <w:color w:val="1F3864"/>
        </w:rPr>
        <w:t xml:space="preserve">3.3 Bayes' Rule</w:t>
      </w:r>
    </w:p>
    <w:p>
      <w:pPr>
        <w:spacing w:after="160"/>
      </w:pPr>
      <w:r>
        <w:t xml:space="preserve">Question: given that a match had 4+ total goals, what is the probability it was a knockout-stage match?</w:t>
      </w:r>
    </w:p>
    <w:p>
      <w:pPr>
        <w:spacing w:after="160"/>
      </w:pPr>
      <w:r>
        <w:t xml:space="preserve">Let K = knockout-stage match, P(K) = 32/104 ≈ 0.308 (prior). Let A = match has 4+ total goals.</w:t>
      </w:r>
    </w:p>
    <w:p>
      <w:pPr>
        <w:spacing w:after="160"/>
      </w:pPr>
      <w:r>
        <w:t xml:space="preserve">P(A | K) = 11/32 ≈ 0.344 (likelihood, knockout). P(A | K′) = 29/72 ≈ 0.403 (likelihood, group stage).</w:t>
      </w:r>
    </w:p>
    <w:p>
      <w:pPr>
        <w:spacing w:after="160"/>
      </w:pPr>
      <w:r>
        <w:t xml:space="preserve">P(A) = P(A|K)P(K) + P(A|K′)P(K′) = (11/32)(32/104) + (29/72)(72/104) = 11/104 + 29/104 = 40/104 ≈ 0.385</w:t>
      </w:r>
    </w:p>
    <w:p>
      <w:pPr>
        <w:spacing w:after="160"/>
      </w:pPr>
      <w:r>
        <w:t xml:space="preserve">P(K | A) = P(A|K)P(K) / P(A) = (11/104) / (40/104) = 11/40 = 0.275 (posterior)</w:t>
      </w:r>
    </w:p>
    <w:p>
      <w:pPr>
        <w:spacing w:after="160"/>
      </w:pPr>
      <w:r>
        <w:t xml:space="preserve">Interpretation: before knowing anything about goals, there was a 30.8% chance a randomly chosen match was a knockout fixture (32 of 104 total matches). Learning that a match had 4+ goals actually lowers that belief slightly, to 27.5% — because the group stage, with more than double the number of matches, produced most of the tournament's outright blowouts.</w:t>
      </w:r>
    </w:p>
    <w:p>
      <w:pPr>
        <w:pStyle w:val="Heading1"/>
        <w:spacing w:after="150" w:before="300"/>
      </w:pPr>
      <w:r>
        <w:rPr>
          <w:b/>
          <w:bCs/>
          <w:color w:val="1F3864"/>
        </w:rPr>
        <w:t xml:space="preserve">4. Part C — Random Variables and Distributions</w:t>
      </w:r>
    </w:p>
    <w:p>
      <w:pPr>
        <w:pStyle w:val="Heading2"/>
        <w:spacing w:after="120" w:before="240"/>
      </w:pPr>
      <w:r>
        <w:rPr>
          <w:b/>
          <w:bCs/>
          <w:color w:val="1F3864"/>
        </w:rPr>
        <w:t xml:space="preserve">4.1 Empirical PMF of X = Goals Bin</w:t>
      </w:r>
    </w:p>
    <w:p>
      <w:pPr>
        <w:spacing w:after="160"/>
      </w:pPr>
      <w:r>
        <w:t xml:space="preserve">Using the frequency table in 2.2, dividing each frequency by 104 gives the empirical PMF; the probabilities sum to 1 (22/104 + 42/104 + 28/104 + 10/104 + 2/104 = 104/104 = 1).</w:t>
      </w:r>
    </w:p>
    <w:p>
      <w:pPr>
        <w:pStyle w:val="Heading2"/>
        <w:spacing w:after="120" w:before="240"/>
      </w:pPr>
      <w:r>
        <w:rPr>
          <w:b/>
          <w:bCs/>
          <w:color w:val="1F3864"/>
        </w:rPr>
        <w:t xml:space="preserve">4.2 Fitting a Poisson Model</w:t>
      </w:r>
    </w:p>
    <w:p>
      <w:pPr>
        <w:spacing w:after="160"/>
      </w:pPr>
      <w:r>
        <w:t xml:space="preserve">With sample mean λ = 3.14, the fitted Poisson model gives P(X = k) = e^(−λ) λ^k / k!. Fitted vs. observed proportions (X = total goals in a match) are compared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k (goals)</w:t>
            </w:r>
          </w:p>
        </w:tc>
        <w:tc>
          <w:tcPr>
            <w:tcW w:type="dxa" w:w="3000"/>
            <w:shd w:fill="1F3864" w:val="clear"/>
            <w:tcMar>
              <w:top w:type="dxa" w:w="80"/>
              <w:left w:type="dxa" w:w="100"/>
              <w:bottom w:type="dxa" w:w="80"/>
              <w:right w:type="dxa" w:w="100"/>
            </w:tcMar>
          </w:tcPr>
          <w:p>
            <w:r>
              <w:rPr>
                <w:b/>
                <w:bCs/>
                <w:color w:val="FFFFFF"/>
                <w:sz w:val="20"/>
                <w:szCs w:val="20"/>
              </w:rPr>
              <w:t xml:space="preserve">Fitted Poisson P(X=k)</w:t>
            </w:r>
          </w:p>
        </w:tc>
        <w:tc>
          <w:tcPr>
            <w:tcW w:type="dxa" w:w="3000"/>
            <w:shd w:fill="1F3864" w:val="clear"/>
            <w:tcMar>
              <w:top w:type="dxa" w:w="80"/>
              <w:left w:type="dxa" w:w="100"/>
              <w:bottom w:type="dxa" w:w="80"/>
              <w:right w:type="dxa" w:w="100"/>
            </w:tcMar>
          </w:tcPr>
          <w:p>
            <w:r>
              <w:rPr>
                <w:b/>
                <w:bCs/>
                <w:color w:val="FFFFFF"/>
                <w:sz w:val="20"/>
                <w:szCs w:val="20"/>
              </w:rPr>
              <w:t xml:space="preserve">Observed proportion</w:t>
            </w:r>
          </w:p>
        </w:tc>
      </w:tr>
      <w:tr>
        <w:tc>
          <w:tcPr>
            <w:tcW w:type="dxa" w:w="3000"/>
            <w:shd w:fill="FFFFFF" w:val="clear"/>
            <w:tcMar>
              <w:top w:type="dxa" w:w="60"/>
              <w:left w:type="dxa" w:w="100"/>
              <w:bottom w:type="dxa" w:w="60"/>
              <w:right w:type="dxa" w:w="100"/>
            </w:tcMar>
          </w:tcPr>
          <w:p>
            <w:r>
              <w:rPr>
                <w:sz w:val="20"/>
                <w:szCs w:val="20"/>
              </w:rPr>
              <w:t xml:space="preserve">0</w:t>
            </w:r>
          </w:p>
        </w:tc>
        <w:tc>
          <w:tcPr>
            <w:tcW w:type="dxa" w:w="3000"/>
            <w:shd w:fill="FFFFFF" w:val="clear"/>
            <w:tcMar>
              <w:top w:type="dxa" w:w="60"/>
              <w:left w:type="dxa" w:w="100"/>
              <w:bottom w:type="dxa" w:w="60"/>
              <w:right w:type="dxa" w:w="100"/>
            </w:tcMar>
          </w:tcPr>
          <w:p>
            <w:r>
              <w:rPr>
                <w:sz w:val="20"/>
                <w:szCs w:val="20"/>
              </w:rPr>
              <w:t xml:space="preserve">0.043</w:t>
            </w:r>
          </w:p>
        </w:tc>
        <w:tc>
          <w:tcPr>
            <w:tcW w:type="dxa" w:w="3000"/>
            <w:shd w:fill="FFFFFF" w:val="clear"/>
            <w:tcMar>
              <w:top w:type="dxa" w:w="60"/>
              <w:left w:type="dxa" w:w="100"/>
              <w:bottom w:type="dxa" w:w="60"/>
              <w:right w:type="dxa" w:w="100"/>
            </w:tcMar>
          </w:tcPr>
          <w:p>
            <w:r>
              <w:rPr>
                <w:sz w:val="20"/>
                <w:szCs w:val="20"/>
              </w:rPr>
              <w:t xml:space="preserve">0.067</w:t>
            </w:r>
          </w:p>
        </w:tc>
      </w:tr>
      <w:tr>
        <w:tc>
          <w:tcPr>
            <w:tcW w:type="dxa" w:w="3000"/>
            <w:shd w:fill="DCE6F1" w:val="clear"/>
            <w:tcMar>
              <w:top w:type="dxa" w:w="60"/>
              <w:left w:type="dxa" w:w="100"/>
              <w:bottom w:type="dxa" w:w="60"/>
              <w:right w:type="dxa" w:w="100"/>
            </w:tcMar>
          </w:tcPr>
          <w:p>
            <w:r>
              <w:rPr>
                <w:sz w:val="20"/>
                <w:szCs w:val="20"/>
              </w:rPr>
              <w:t xml:space="preserve">1</w:t>
            </w:r>
          </w:p>
        </w:tc>
        <w:tc>
          <w:tcPr>
            <w:tcW w:type="dxa" w:w="3000"/>
            <w:shd w:fill="DCE6F1" w:val="clear"/>
            <w:tcMar>
              <w:top w:type="dxa" w:w="60"/>
              <w:left w:type="dxa" w:w="100"/>
              <w:bottom w:type="dxa" w:w="60"/>
              <w:right w:type="dxa" w:w="100"/>
            </w:tcMar>
          </w:tcPr>
          <w:p>
            <w:r>
              <w:rPr>
                <w:sz w:val="20"/>
                <w:szCs w:val="20"/>
              </w:rPr>
              <w:t xml:space="preserve">0.136</w:t>
            </w:r>
          </w:p>
        </w:tc>
        <w:tc>
          <w:tcPr>
            <w:tcW w:type="dxa" w:w="3000"/>
            <w:shd w:fill="DCE6F1" w:val="clear"/>
            <w:tcMar>
              <w:top w:type="dxa" w:w="60"/>
              <w:left w:type="dxa" w:w="100"/>
              <w:bottom w:type="dxa" w:w="60"/>
              <w:right w:type="dxa" w:w="100"/>
            </w:tcMar>
          </w:tcPr>
          <w:p>
            <w:r>
              <w:rPr>
                <w:sz w:val="20"/>
                <w:szCs w:val="20"/>
              </w:rPr>
              <w:t xml:space="preserve">0.144</w:t>
            </w:r>
          </w:p>
        </w:tc>
      </w:tr>
      <w:tr>
        <w:tc>
          <w:tcPr>
            <w:tcW w:type="dxa" w:w="3000"/>
            <w:shd w:fill="FFFFFF" w:val="clear"/>
            <w:tcMar>
              <w:top w:type="dxa" w:w="60"/>
              <w:left w:type="dxa" w:w="100"/>
              <w:bottom w:type="dxa" w:w="60"/>
              <w:right w:type="dxa" w:w="100"/>
            </w:tcMar>
          </w:tcPr>
          <w:p>
            <w:r>
              <w:rPr>
                <w:sz w:val="20"/>
                <w:szCs w:val="20"/>
              </w:rPr>
              <w:t xml:space="preserve">2</w:t>
            </w:r>
          </w:p>
        </w:tc>
        <w:tc>
          <w:tcPr>
            <w:tcW w:type="dxa" w:w="3000"/>
            <w:shd w:fill="FFFFFF" w:val="clear"/>
            <w:tcMar>
              <w:top w:type="dxa" w:w="60"/>
              <w:left w:type="dxa" w:w="100"/>
              <w:bottom w:type="dxa" w:w="60"/>
              <w:right w:type="dxa" w:w="100"/>
            </w:tcMar>
          </w:tcPr>
          <w:p>
            <w:r>
              <w:rPr>
                <w:sz w:val="20"/>
                <w:szCs w:val="20"/>
              </w:rPr>
              <w:t xml:space="preserve">0.213</w:t>
            </w:r>
          </w:p>
        </w:tc>
        <w:tc>
          <w:tcPr>
            <w:tcW w:type="dxa" w:w="3000"/>
            <w:shd w:fill="FFFFFF" w:val="clear"/>
            <w:tcMar>
              <w:top w:type="dxa" w:w="60"/>
              <w:left w:type="dxa" w:w="100"/>
              <w:bottom w:type="dxa" w:w="60"/>
              <w:right w:type="dxa" w:w="100"/>
            </w:tcMar>
          </w:tcPr>
          <w:p>
            <w:r>
              <w:rPr>
                <w:sz w:val="20"/>
                <w:szCs w:val="20"/>
              </w:rPr>
              <w:t xml:space="preserve">0.192</w:t>
            </w:r>
          </w:p>
        </w:tc>
      </w:tr>
      <w:tr>
        <w:tc>
          <w:tcPr>
            <w:tcW w:type="dxa" w:w="3000"/>
            <w:shd w:fill="DCE6F1" w:val="clear"/>
            <w:tcMar>
              <w:top w:type="dxa" w:w="60"/>
              <w:left w:type="dxa" w:w="100"/>
              <w:bottom w:type="dxa" w:w="60"/>
              <w:right w:type="dxa" w:w="100"/>
            </w:tcMar>
          </w:tcPr>
          <w:p>
            <w:r>
              <w:rPr>
                <w:sz w:val="20"/>
                <w:szCs w:val="20"/>
              </w:rPr>
              <w:t xml:space="preserve">3</w:t>
            </w:r>
          </w:p>
        </w:tc>
        <w:tc>
          <w:tcPr>
            <w:tcW w:type="dxa" w:w="3000"/>
            <w:shd w:fill="DCE6F1" w:val="clear"/>
            <w:tcMar>
              <w:top w:type="dxa" w:w="60"/>
              <w:left w:type="dxa" w:w="100"/>
              <w:bottom w:type="dxa" w:w="60"/>
              <w:right w:type="dxa" w:w="100"/>
            </w:tcMar>
          </w:tcPr>
          <w:p>
            <w:r>
              <w:rPr>
                <w:sz w:val="20"/>
                <w:szCs w:val="20"/>
              </w:rPr>
              <w:t xml:space="preserve">0.223</w:t>
            </w:r>
          </w:p>
        </w:tc>
        <w:tc>
          <w:tcPr>
            <w:tcW w:type="dxa" w:w="3000"/>
            <w:shd w:fill="DCE6F1" w:val="clear"/>
            <w:tcMar>
              <w:top w:type="dxa" w:w="60"/>
              <w:left w:type="dxa" w:w="100"/>
              <w:bottom w:type="dxa" w:w="60"/>
              <w:right w:type="dxa" w:w="100"/>
            </w:tcMar>
          </w:tcPr>
          <w:p>
            <w:r>
              <w:rPr>
                <w:sz w:val="20"/>
                <w:szCs w:val="20"/>
              </w:rPr>
              <w:t xml:space="preserve">0.212</w:t>
            </w:r>
          </w:p>
        </w:tc>
      </w:tr>
      <w:tr>
        <w:tc>
          <w:tcPr>
            <w:tcW w:type="dxa" w:w="3000"/>
            <w:shd w:fill="FFFFFF" w:val="clear"/>
            <w:tcMar>
              <w:top w:type="dxa" w:w="60"/>
              <w:left w:type="dxa" w:w="100"/>
              <w:bottom w:type="dxa" w:w="60"/>
              <w:right w:type="dxa" w:w="100"/>
            </w:tcMar>
          </w:tcPr>
          <w:p>
            <w:r>
              <w:rPr>
                <w:sz w:val="20"/>
                <w:szCs w:val="20"/>
              </w:rPr>
              <w:t xml:space="preserve">4</w:t>
            </w:r>
          </w:p>
        </w:tc>
        <w:tc>
          <w:tcPr>
            <w:tcW w:type="dxa" w:w="3000"/>
            <w:shd w:fill="FFFFFF" w:val="clear"/>
            <w:tcMar>
              <w:top w:type="dxa" w:w="60"/>
              <w:left w:type="dxa" w:w="100"/>
              <w:bottom w:type="dxa" w:w="60"/>
              <w:right w:type="dxa" w:w="100"/>
            </w:tcMar>
          </w:tcPr>
          <w:p>
            <w:r>
              <w:rPr>
                <w:sz w:val="20"/>
                <w:szCs w:val="20"/>
              </w:rPr>
              <w:t xml:space="preserve">0.176</w:t>
            </w:r>
          </w:p>
        </w:tc>
        <w:tc>
          <w:tcPr>
            <w:tcW w:type="dxa" w:w="3000"/>
            <w:shd w:fill="FFFFFF" w:val="clear"/>
            <w:tcMar>
              <w:top w:type="dxa" w:w="60"/>
              <w:left w:type="dxa" w:w="100"/>
              <w:bottom w:type="dxa" w:w="60"/>
              <w:right w:type="dxa" w:w="100"/>
            </w:tcMar>
          </w:tcPr>
          <w:p>
            <w:r>
              <w:rPr>
                <w:sz w:val="20"/>
                <w:szCs w:val="20"/>
              </w:rPr>
              <w:t xml:space="preserve">0.135</w:t>
            </w:r>
          </w:p>
        </w:tc>
      </w:tr>
      <w:tr>
        <w:tc>
          <w:tcPr>
            <w:tcW w:type="dxa" w:w="3000"/>
            <w:shd w:fill="DCE6F1" w:val="clear"/>
            <w:tcMar>
              <w:top w:type="dxa" w:w="60"/>
              <w:left w:type="dxa" w:w="100"/>
              <w:bottom w:type="dxa" w:w="60"/>
              <w:right w:type="dxa" w:w="100"/>
            </w:tcMar>
          </w:tcPr>
          <w:p>
            <w:r>
              <w:rPr>
                <w:sz w:val="20"/>
                <w:szCs w:val="20"/>
              </w:rPr>
              <w:t xml:space="preserve">5</w:t>
            </w:r>
          </w:p>
        </w:tc>
        <w:tc>
          <w:tcPr>
            <w:tcW w:type="dxa" w:w="3000"/>
            <w:shd w:fill="DCE6F1" w:val="clear"/>
            <w:tcMar>
              <w:top w:type="dxa" w:w="60"/>
              <w:left w:type="dxa" w:w="100"/>
              <w:bottom w:type="dxa" w:w="60"/>
              <w:right w:type="dxa" w:w="100"/>
            </w:tcMar>
          </w:tcPr>
          <w:p>
            <w:r>
              <w:rPr>
                <w:sz w:val="20"/>
                <w:szCs w:val="20"/>
              </w:rPr>
              <w:t xml:space="preserve">0.110</w:t>
            </w:r>
          </w:p>
        </w:tc>
        <w:tc>
          <w:tcPr>
            <w:tcW w:type="dxa" w:w="3000"/>
            <w:shd w:fill="DCE6F1" w:val="clear"/>
            <w:tcMar>
              <w:top w:type="dxa" w:w="60"/>
              <w:left w:type="dxa" w:w="100"/>
              <w:bottom w:type="dxa" w:w="60"/>
              <w:right w:type="dxa" w:w="100"/>
            </w:tcMar>
          </w:tcPr>
          <w:p>
            <w:r>
              <w:rPr>
                <w:sz w:val="20"/>
                <w:szCs w:val="20"/>
              </w:rPr>
              <w:t xml:space="preserve">0.135</w:t>
            </w:r>
          </w:p>
        </w:tc>
      </w:tr>
      <w:tr>
        <w:tc>
          <w:tcPr>
            <w:tcW w:type="dxa" w:w="3000"/>
            <w:shd w:fill="FFFFFF" w:val="clear"/>
            <w:tcMar>
              <w:top w:type="dxa" w:w="60"/>
              <w:left w:type="dxa" w:w="100"/>
              <w:bottom w:type="dxa" w:w="60"/>
              <w:right w:type="dxa" w:w="100"/>
            </w:tcMar>
          </w:tcPr>
          <w:p>
            <w:r>
              <w:rPr>
                <w:sz w:val="20"/>
                <w:szCs w:val="20"/>
              </w:rPr>
              <w:t xml:space="preserve">6</w:t>
            </w:r>
          </w:p>
        </w:tc>
        <w:tc>
          <w:tcPr>
            <w:tcW w:type="dxa" w:w="3000"/>
            <w:shd w:fill="FFFFFF" w:val="clear"/>
            <w:tcMar>
              <w:top w:type="dxa" w:w="60"/>
              <w:left w:type="dxa" w:w="100"/>
              <w:bottom w:type="dxa" w:w="60"/>
              <w:right w:type="dxa" w:w="100"/>
            </w:tcMar>
          </w:tcPr>
          <w:p>
            <w:r>
              <w:rPr>
                <w:sz w:val="20"/>
                <w:szCs w:val="20"/>
              </w:rPr>
              <w:t xml:space="preserve">0.058</w:t>
            </w:r>
          </w:p>
        </w:tc>
        <w:tc>
          <w:tcPr>
            <w:tcW w:type="dxa" w:w="3000"/>
            <w:shd w:fill="FFFFFF" w:val="clear"/>
            <w:tcMar>
              <w:top w:type="dxa" w:w="60"/>
              <w:left w:type="dxa" w:w="100"/>
              <w:bottom w:type="dxa" w:w="60"/>
              <w:right w:type="dxa" w:w="100"/>
            </w:tcMar>
          </w:tcPr>
          <w:p>
            <w:r>
              <w:rPr>
                <w:sz w:val="20"/>
                <w:szCs w:val="20"/>
              </w:rPr>
              <w:t xml:space="preserve">0.077</w:t>
            </w:r>
          </w:p>
        </w:tc>
      </w:tr>
      <w:tr>
        <w:tc>
          <w:tcPr>
            <w:tcW w:type="dxa" w:w="3000"/>
            <w:shd w:fill="DCE6F1" w:val="clear"/>
            <w:tcMar>
              <w:top w:type="dxa" w:w="60"/>
              <w:left w:type="dxa" w:w="100"/>
              <w:bottom w:type="dxa" w:w="60"/>
              <w:right w:type="dxa" w:w="100"/>
            </w:tcMar>
          </w:tcPr>
          <w:p>
            <w:r>
              <w:rPr>
                <w:sz w:val="20"/>
                <w:szCs w:val="20"/>
              </w:rPr>
              <w:t xml:space="preserve">7</w:t>
            </w:r>
          </w:p>
        </w:tc>
        <w:tc>
          <w:tcPr>
            <w:tcW w:type="dxa" w:w="3000"/>
            <w:shd w:fill="DCE6F1" w:val="clear"/>
            <w:tcMar>
              <w:top w:type="dxa" w:w="60"/>
              <w:left w:type="dxa" w:w="100"/>
              <w:bottom w:type="dxa" w:w="60"/>
              <w:right w:type="dxa" w:w="100"/>
            </w:tcMar>
          </w:tcPr>
          <w:p>
            <w:r>
              <w:rPr>
                <w:sz w:val="20"/>
                <w:szCs w:val="20"/>
              </w:rPr>
              <w:t xml:space="preserve">0.026</w:t>
            </w:r>
          </w:p>
        </w:tc>
        <w:tc>
          <w:tcPr>
            <w:tcW w:type="dxa" w:w="3000"/>
            <w:shd w:fill="DCE6F1" w:val="clear"/>
            <w:tcMar>
              <w:top w:type="dxa" w:w="60"/>
              <w:left w:type="dxa" w:w="100"/>
              <w:bottom w:type="dxa" w:w="60"/>
              <w:right w:type="dxa" w:w="100"/>
            </w:tcMar>
          </w:tcPr>
          <w:p>
            <w:r>
              <w:rPr>
                <w:sz w:val="20"/>
                <w:szCs w:val="20"/>
              </w:rPr>
              <w:t xml:space="preserve">0.019</w:t>
            </w:r>
          </w:p>
        </w:tc>
      </w:tr>
      <w:tr>
        <w:tc>
          <w:tcPr>
            <w:tcW w:type="dxa" w:w="3000"/>
            <w:shd w:fill="FFFFFF" w:val="clear"/>
            <w:tcMar>
              <w:top w:type="dxa" w:w="60"/>
              <w:left w:type="dxa" w:w="100"/>
              <w:bottom w:type="dxa" w:w="60"/>
              <w:right w:type="dxa" w:w="100"/>
            </w:tcMar>
          </w:tcPr>
          <w:p>
            <w:r>
              <w:rPr>
                <w:sz w:val="20"/>
                <w:szCs w:val="20"/>
              </w:rPr>
              <w:t xml:space="preserve">8+</w:t>
            </w:r>
          </w:p>
        </w:tc>
        <w:tc>
          <w:tcPr>
            <w:tcW w:type="dxa" w:w="3000"/>
            <w:shd w:fill="FFFFFF" w:val="clear"/>
            <w:tcMar>
              <w:top w:type="dxa" w:w="60"/>
              <w:left w:type="dxa" w:w="100"/>
              <w:bottom w:type="dxa" w:w="60"/>
              <w:right w:type="dxa" w:w="100"/>
            </w:tcMar>
          </w:tcPr>
          <w:p>
            <w:r>
              <w:rPr>
                <w:sz w:val="20"/>
                <w:szCs w:val="20"/>
              </w:rPr>
              <w:t xml:space="preserve">0.015</w:t>
            </w:r>
          </w:p>
        </w:tc>
        <w:tc>
          <w:tcPr>
            <w:tcW w:type="dxa" w:w="3000"/>
            <w:shd w:fill="FFFFFF" w:val="clear"/>
            <w:tcMar>
              <w:top w:type="dxa" w:w="60"/>
              <w:left w:type="dxa" w:w="100"/>
              <w:bottom w:type="dxa" w:w="60"/>
              <w:right w:type="dxa" w:w="100"/>
            </w:tcMar>
          </w:tcPr>
          <w:p>
            <w:r>
              <w:rPr>
                <w:sz w:val="20"/>
                <w:szCs w:val="20"/>
              </w:rPr>
              <w:t xml:space="preserve">0.019</w:t>
            </w:r>
          </w:p>
        </w:tc>
      </w:tr>
    </w:tbl>
    <w:p>
      <w:pPr>
        <w:spacing w:after="160"/>
      </w:pPr>
      <w:r>
        <w:t xml:space="preserve"/>
      </w:r>
    </w:p>
    <w:p>
      <w:pPr>
        <w:spacing w:after="160"/>
      </w:pPr>
      <w:r>
        <w:t xml:space="preserve">Comment on fit: the Poisson model slightly under-predicts the number of very low-scoring matches (0-1 goals) and over-predicts the middle of the distribution (2-4 goals), while the observed data shows a fatter tail at higher goal counts (5+). This pattern — actual variance exceeding the mean — is confirmed numerically in Part D and is a sign the data is overdispersed relative to a pure Poisson process.</w:t>
      </w:r>
    </w:p>
    <w:p>
      <w:pPr>
        <w:pStyle w:val="Heading2"/>
        <w:spacing w:after="120" w:before="240"/>
      </w:pPr>
      <w:r>
        <w:rPr>
          <w:b/>
          <w:bCs/>
          <w:color w:val="1F3864"/>
        </w:rPr>
        <w:t xml:space="preserve">4.3 Binomial Model, Parallel to Free Throws / Penalties</w:t>
      </w:r>
    </w:p>
    <w:p>
      <w:pPr>
        <w:spacing w:after="160"/>
      </w:pPr>
      <w:r>
        <w:t xml:space="preserve">A natural binomial analogue in football is a team's win count across its three fixed group-stage matches. Let Y = number of wins for a randomly selected team in its 3 group-stage games. Across all 72 group matches (144 team-match instances), 52 matches produced a winner and 20 ended in draws, giving an estimated per-match win probability p = 52/144 ≈ 0.361. Then Y ~ Binomial(n = 3, p = 0.361), giving: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tcPr>
          <w:p>
            <w:r>
              <w:rPr>
                <w:b/>
                <w:bCs/>
                <w:color w:val="FFFFFF"/>
                <w:sz w:val="20"/>
                <w:szCs w:val="20"/>
              </w:rPr>
              <w:t xml:space="preserve">Y (wins in 3 group matches)</w:t>
            </w:r>
          </w:p>
        </w:tc>
        <w:tc>
          <w:tcPr>
            <w:tcW w:type="dxa" w:w="4500"/>
            <w:shd w:fill="1F3864" w:val="clear"/>
            <w:tcMar>
              <w:top w:type="dxa" w:w="80"/>
              <w:left w:type="dxa" w:w="100"/>
              <w:bottom w:type="dxa" w:w="80"/>
              <w:right w:type="dxa" w:w="100"/>
            </w:tcMar>
          </w:tcPr>
          <w:p>
            <w:r>
              <w:rPr>
                <w:b/>
                <w:bCs/>
                <w:color w:val="FFFFFF"/>
                <w:sz w:val="20"/>
                <w:szCs w:val="20"/>
              </w:rPr>
              <w:t xml:space="preserve">Binomial P(Y)</w:t>
            </w:r>
          </w:p>
        </w:tc>
      </w:tr>
      <w:tr>
        <w:tc>
          <w:tcPr>
            <w:tcW w:type="dxa" w:w="4500"/>
            <w:shd w:fill="FFFFFF" w:val="clear"/>
            <w:tcMar>
              <w:top w:type="dxa" w:w="60"/>
              <w:left w:type="dxa" w:w="100"/>
              <w:bottom w:type="dxa" w:w="60"/>
              <w:right w:type="dxa" w:w="100"/>
            </w:tcMar>
          </w:tcPr>
          <w:p>
            <w:r>
              <w:rPr>
                <w:sz w:val="20"/>
                <w:szCs w:val="20"/>
              </w:rPr>
              <w:t xml:space="preserve">0</w:t>
            </w:r>
          </w:p>
        </w:tc>
        <w:tc>
          <w:tcPr>
            <w:tcW w:type="dxa" w:w="4500"/>
            <w:shd w:fill="FFFFFF" w:val="clear"/>
            <w:tcMar>
              <w:top w:type="dxa" w:w="60"/>
              <w:left w:type="dxa" w:w="100"/>
              <w:bottom w:type="dxa" w:w="60"/>
              <w:right w:type="dxa" w:w="100"/>
            </w:tcMar>
          </w:tcPr>
          <w:p>
            <w:r>
              <w:rPr>
                <w:sz w:val="20"/>
                <w:szCs w:val="20"/>
              </w:rPr>
              <w:t xml:space="preserve">0.261</w:t>
            </w:r>
          </w:p>
        </w:tc>
      </w:tr>
      <w:tr>
        <w:tc>
          <w:tcPr>
            <w:tcW w:type="dxa" w:w="4500"/>
            <w:shd w:fill="DCE6F1" w:val="clear"/>
            <w:tcMar>
              <w:top w:type="dxa" w:w="60"/>
              <w:left w:type="dxa" w:w="100"/>
              <w:bottom w:type="dxa" w:w="60"/>
              <w:right w:type="dxa" w:w="100"/>
            </w:tcMar>
          </w:tcPr>
          <w:p>
            <w:r>
              <w:rPr>
                <w:sz w:val="20"/>
                <w:szCs w:val="20"/>
              </w:rPr>
              <w:t xml:space="preserve">1</w:t>
            </w:r>
          </w:p>
        </w:tc>
        <w:tc>
          <w:tcPr>
            <w:tcW w:type="dxa" w:w="4500"/>
            <w:shd w:fill="DCE6F1" w:val="clear"/>
            <w:tcMar>
              <w:top w:type="dxa" w:w="60"/>
              <w:left w:type="dxa" w:w="100"/>
              <w:bottom w:type="dxa" w:w="60"/>
              <w:right w:type="dxa" w:w="100"/>
            </w:tcMar>
          </w:tcPr>
          <w:p>
            <w:r>
              <w:rPr>
                <w:sz w:val="20"/>
                <w:szCs w:val="20"/>
              </w:rPr>
              <w:t xml:space="preserve">0.442</w:t>
            </w:r>
          </w:p>
        </w:tc>
      </w:tr>
      <w:tr>
        <w:tc>
          <w:tcPr>
            <w:tcW w:type="dxa" w:w="4500"/>
            <w:shd w:fill="FFFFFF" w:val="clear"/>
            <w:tcMar>
              <w:top w:type="dxa" w:w="60"/>
              <w:left w:type="dxa" w:w="100"/>
              <w:bottom w:type="dxa" w:w="60"/>
              <w:right w:type="dxa" w:w="100"/>
            </w:tcMar>
          </w:tcPr>
          <w:p>
            <w:r>
              <w:rPr>
                <w:sz w:val="20"/>
                <w:szCs w:val="20"/>
              </w:rPr>
              <w:t xml:space="preserve">2</w:t>
            </w:r>
          </w:p>
        </w:tc>
        <w:tc>
          <w:tcPr>
            <w:tcW w:type="dxa" w:w="4500"/>
            <w:shd w:fill="FFFFFF" w:val="clear"/>
            <w:tcMar>
              <w:top w:type="dxa" w:w="60"/>
              <w:left w:type="dxa" w:w="100"/>
              <w:bottom w:type="dxa" w:w="60"/>
              <w:right w:type="dxa" w:w="100"/>
            </w:tcMar>
          </w:tcPr>
          <w:p>
            <w:r>
              <w:rPr>
                <w:sz w:val="20"/>
                <w:szCs w:val="20"/>
              </w:rPr>
              <w:t xml:space="preserve">0.250</w:t>
            </w:r>
          </w:p>
        </w:tc>
      </w:tr>
      <w:tr>
        <w:tc>
          <w:tcPr>
            <w:tcW w:type="dxa" w:w="4500"/>
            <w:shd w:fill="DCE6F1" w:val="clear"/>
            <w:tcMar>
              <w:top w:type="dxa" w:w="60"/>
              <w:left w:type="dxa" w:w="100"/>
              <w:bottom w:type="dxa" w:w="60"/>
              <w:right w:type="dxa" w:w="100"/>
            </w:tcMar>
          </w:tcPr>
          <w:p>
            <w:r>
              <w:rPr>
                <w:sz w:val="20"/>
                <w:szCs w:val="20"/>
              </w:rPr>
              <w:t xml:space="preserve">3</w:t>
            </w:r>
          </w:p>
        </w:tc>
        <w:tc>
          <w:tcPr>
            <w:tcW w:type="dxa" w:w="4500"/>
            <w:shd w:fill="DCE6F1" w:val="clear"/>
            <w:tcMar>
              <w:top w:type="dxa" w:w="60"/>
              <w:left w:type="dxa" w:w="100"/>
              <w:bottom w:type="dxa" w:w="60"/>
              <w:right w:type="dxa" w:w="100"/>
            </w:tcMar>
          </w:tcPr>
          <w:p>
            <w:r>
              <w:rPr>
                <w:sz w:val="20"/>
                <w:szCs w:val="20"/>
              </w:rPr>
              <w:t xml:space="preserve">0.047</w:t>
            </w:r>
          </w:p>
        </w:tc>
      </w:tr>
    </w:tbl>
    <w:p>
      <w:pPr>
        <w:spacing w:after="160"/>
      </w:pPr>
      <w:r>
        <w:t xml:space="preserve"/>
      </w:r>
    </w:p>
    <w:p>
      <w:pPr>
        <w:spacing w:after="160"/>
      </w:pPr>
      <w:r>
        <w:t xml:space="preserve">This means a randomly chosen team had roughly a 5% modeled chance of winning all three group matches, and about a 26% chance of failing to win any (consistent with 16 of 48 teams being eliminated at the group stage without qualifying).</w:t>
      </w:r>
    </w:p>
    <w:p>
      <w:pPr>
        <w:pStyle w:val="Heading2"/>
        <w:spacing w:after="120" w:before="240"/>
      </w:pPr>
      <w:r>
        <w:rPr>
          <w:b/>
          <w:bCs/>
          <w:color w:val="1F3864"/>
        </w:rPr>
        <w:t xml:space="preserve">4.4 Assumptions</w:t>
      </w:r>
    </w:p>
    <w:p>
      <w:pPr>
        <w:spacing w:after="160"/>
      </w:pPr>
      <w:r>
        <w:t xml:space="preserve">The Poisson model assumes goals occur independently at a constant average rate over 90+ minutes, with no two goals at exactly the same instant. This is a simplification: scoring rate is not constant across a match — teams change tactics when protecting or chasing a result, and stoppage-time goals cluster near the final whistle (several matches in this dataset, including Argentina's group games, saw late goals in minute 90+). The binomial win model assumes each team's three group matches are independent trials with a fixed win probability, which ignores real effects such as group difficulty, fatigue, and mid-tournament tactical adjustments. Both are useful first approximations rather than exact descriptions of how football matches unfold.</w:t>
      </w:r>
    </w:p>
    <w:p>
      <w:pPr>
        <w:pStyle w:val="Heading1"/>
        <w:spacing w:after="150" w:before="300"/>
      </w:pPr>
      <w:r>
        <w:rPr>
          <w:b/>
          <w:bCs/>
          <w:color w:val="1F3864"/>
        </w:rPr>
        <w:t xml:space="preserve">5. Part D — Expectation, Variance, and Prediction</w:t>
      </w:r>
    </w:p>
    <w:p>
      <w:pPr>
        <w:spacing w:after="160"/>
      </w:pPr>
      <w:r>
        <w:t xml:space="preserve">From the empirical distribution, E(X) = 3.14 and Var(X) = E(X²) − [E(X)]² = 3.78 (sample variance, computed directly from the 104-match dataset in Part A).</w:t>
      </w:r>
    </w:p>
    <w:p>
      <w:pPr>
        <w:spacing w:after="160"/>
      </w:pPr>
      <w:r>
        <w:t xml:space="preserve">Comparing to the fitted Poisson model, where mean = variance = λ = 3.14 by definition: the empirical variance (3.78) is noticeably larger than the mean, confirming the data is overdispersed relative to Poisson. This makes sense in football — some matches are cagey, low-event affairs while others become open, high-scoring games once one side is chasing the result, producing more spread than a constant-rate Poisson process would predict.</w:t>
      </w:r>
    </w:p>
    <w:p>
      <w:pPr>
        <w:spacing w:after="160"/>
      </w:pPr>
      <w:r>
        <w:t xml:space="preserve">Example function of a random variable: if a simple fantasy-style score is defined as W = 2X (2 points awarded per total goal in the match), then by linearity of expectation, E(W) = 2 × E(X) = 2 × 3.14 = 6.29.</w:t>
      </w:r>
    </w:p>
    <w:p>
      <w:pPr>
        <w:spacing w:after="160"/>
      </w:pPr>
      <w:r>
        <w:t xml:space="preserve">Example prediction: based on the fitted model and the empirical mode, a randomly selected future match between comparable teams would most likely fall in the 2–3 total goal range — the single most common outcome in this dataset (42 of 104 matches, ≈40%) — while noting this prediction assumes conditions (competition level, stakes, rule set) stay similar to the sampled matches, a stated and honest limitation given the small sample of major tournaments this rule set has been used in.</w:t>
      </w:r>
    </w:p>
    <w:p>
      <w:pPr>
        <w:pStyle w:val="Heading1"/>
        <w:spacing w:after="150" w:before="300"/>
      </w:pPr>
      <w:r>
        <w:rPr>
          <w:b/>
          <w:bCs/>
          <w:color w:val="1F3864"/>
        </w:rPr>
        <w:t xml:space="preserve">6. Data Source &amp; Methodology</w:t>
      </w:r>
    </w:p>
    <w:p>
      <w:pPr>
        <w:spacing w:after="160"/>
      </w:pPr>
      <w:r>
        <w:t xml:space="preserve">All 104 match scorelines (goals for each team, all matches from the June 11, 2026 opener through the July 19, 2026 final) were compiled from worldfootball.net's 2026 FIFA World Cup results archive, cross-checked against Wikipedia's 2026 FIFA World Cup article. Extra-time and penalty-shootout goals are included in the total-goals count for the match in which they occurred; where a match went to a penalty shootout after a draw, the reported score reflects goals scored in normal and extra time only (per standard football scoring convention).</w:t>
      </w:r>
    </w:p>
    <w:p>
      <w:pPr>
        <w:pStyle w:val="ListParagraph"/>
        <w:numPr>
          <w:ilvl w:val="0"/>
          <w:numId w:val="2"/>
        </w:numPr>
        <w:spacing w:after="80"/>
      </w:pPr>
      <w:r>
        <w:t xml:space="preserve">Group stage: 72 matches across Groups A–L (12 groups × 6 matches each).</w:t>
      </w:r>
    </w:p>
    <w:p>
      <w:pPr>
        <w:pStyle w:val="ListParagraph"/>
        <w:numPr>
          <w:ilvl w:val="0"/>
          <w:numId w:val="2"/>
        </w:numPr>
        <w:spacing w:after="80"/>
      </w:pPr>
      <w:r>
        <w:t xml:space="preserve">Knockout stage: 32 matches — round of 32 (16), round of 16 (8), quarterfinals (4), semifinals (2), third-place match (1), final (1).</w:t>
      </w:r>
    </w:p>
    <w:p>
      <w:pPr>
        <w:pStyle w:val="ListParagraph"/>
        <w:numPr>
          <w:ilvl w:val="0"/>
          <w:numId w:val="2"/>
        </w:numPr>
        <w:spacing w:after="80"/>
      </w:pPr>
      <w:r>
        <w:t xml:space="preserve">All calculations (mean, variance, frequency counts, conditional and Bayesian probabilities, Poisson and binomial fits) were computed directly from the full 104-match scoreline list and can be reproduced by hand from that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d822e4504762592959c1a2b7d33c6a3a2f750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2026-08-06T07:16:11.728Z</dcterms:created>
  <dcterms:modified xsi:type="dcterms:W3CDTF">2026-08-06T07:16:11.728Z</dcterms:modified>
</cp:coreProperties>
</file>

<file path=docProps/custom.xml><?xml version="1.0" encoding="utf-8"?>
<Properties xmlns="http://schemas.openxmlformats.org/officeDocument/2006/custom-properties" xmlns:vt="http://schemas.openxmlformats.org/officeDocument/2006/docPropsVTypes"/>
</file>