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700"/>
        <w:jc w:val="center"/>
      </w:pPr>
      <w:r>
        <w:drawing>
          <wp:inline distT="0" distB="0" distL="0" distR="0">
            <wp:extent cx="209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71500"/>
                    </a:xfrm>
                    <a:prstGeom prst="rect">
                      <a:avLst/>
                    </a:prstGeom>
                  </pic:spPr>
                </pic:pic>
              </a:graphicData>
            </a:graphic>
          </wp:inline>
        </w:drawing>
      </w:r>
    </w:p>
    <w:p>
      <w:pPr>
        <w:spacing w:after="200" w:before="0"/>
        <w:jc w:val="center"/>
      </w:pPr>
      <w:r>
        <w:drawing>
          <wp:inline distT="0" distB="0" distL="0" distR="0">
            <wp:extent cx="2857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95400"/>
                    </a:xfrm>
                    <a:prstGeom prst="rect">
                      <a:avLst/>
                    </a:prstGeom>
                  </pic:spPr>
                </pic:pic>
              </a:graphicData>
            </a:graphic>
          </wp:inline>
        </w:drawing>
      </w:r>
    </w:p>
    <w:p>
      <w:pPr>
        <w:spacing w:after="60" w:before="400"/>
        <w:jc w:val="center"/>
      </w:pPr>
      <w:r>
        <w:rPr>
          <w:rFonts w:ascii="Times New Roman" w:cs="Times New Roman" w:eastAsia="Times New Roman" w:hAnsi="Times New Roman"/>
          <w:b/>
          <w:bCs/>
          <w:sz w:val="26"/>
          <w:szCs w:val="26"/>
        </w:rPr>
        <w:t xml:space="preserve">Instituto Universitario de Ciencias de la Educación</w:t>
      </w:r>
    </w:p>
    <w:p>
      <w:pPr>
        <w:spacing w:after="900" w:before="0"/>
        <w:jc w:val="center"/>
      </w:pPr>
      <w:r>
        <w:rPr>
          <w:rFonts w:ascii="Times New Roman" w:cs="Times New Roman" w:eastAsia="Times New Roman" w:hAnsi="Times New Roman"/>
          <w:b/>
          <w:bCs/>
          <w:sz w:val="26"/>
          <w:szCs w:val="26"/>
        </w:rPr>
        <w:t xml:space="preserve">Universidad de Salamanca</w:t>
      </w:r>
    </w:p>
    <w:p>
      <w:pPr>
        <w:spacing w:after="500" w:before="0"/>
        <w:jc w:val="center"/>
      </w:pPr>
      <w:r>
        <w:rPr>
          <w:rFonts w:ascii="Times New Roman" w:cs="Times New Roman" w:eastAsia="Times New Roman" w:hAnsi="Times New Roman"/>
          <w:b/>
          <w:bCs/>
          <w:sz w:val="26"/>
          <w:szCs w:val="26"/>
        </w:rPr>
        <w:t xml:space="preserve">Documentación del proyecto</w:t>
      </w:r>
    </w:p>
    <w:p>
      <w:pPr>
        <w:shd w:fill="E9E8F6" w:val="clear"/>
        <w:spacing w:after="0" w:before="100" w:line="300"/>
        <w:ind w:left="400" w:right="400"/>
        <w:jc w:val="center"/>
      </w:pPr>
      <w:r>
        <w:rPr>
          <w:rFonts w:ascii="Times New Roman" w:cs="Times New Roman" w:eastAsia="Times New Roman" w:hAnsi="Times New Roman"/>
          <w:b/>
          <w:bCs/>
          <w:sz w:val="32"/>
          <w:szCs w:val="32"/>
        </w:rPr>
        <w:t xml:space="preserve">Web institucional del IUCE</w:t>
      </w:r>
    </w:p>
    <w:p>
      <w:pPr>
        <w:shd w:fill="E9E8F6" w:val="clear"/>
        <w:spacing w:after="700" w:before="0" w:line="300"/>
        <w:ind w:left="400" w:right="400"/>
        <w:jc w:val="center"/>
      </w:pPr>
      <w:r>
        <w:rPr>
          <w:rFonts w:ascii="Times New Roman" w:cs="Times New Roman" w:eastAsia="Times New Roman" w:hAnsi="Times New Roman"/>
          <w:b/>
          <w:bCs/>
          <w:sz w:val="28"/>
          <w:szCs w:val="28"/>
        </w:rPr>
        <w:t xml:space="preserve">Anexo C: Documentación Técnica</w:t>
      </w:r>
    </w:p>
    <w:p>
      <w:pPr>
        <w:spacing w:after="60" w:before="500"/>
        <w:jc w:val="center"/>
      </w:pPr>
      <w:r>
        <w:rPr>
          <w:rFonts w:ascii="Times New Roman" w:cs="Times New Roman" w:eastAsia="Times New Roman" w:hAnsi="Times New Roman"/>
          <w:i/>
          <w:iCs/>
          <w:sz w:val="24"/>
          <w:szCs w:val="24"/>
        </w:rPr>
        <w:t xml:space="preserve">Elaborado por</w:t>
      </w:r>
    </w:p>
    <w:p>
      <w:pPr>
        <w:spacing w:after="700" w:before="0"/>
        <w:jc w:val="center"/>
      </w:pPr>
      <w:r>
        <w:rPr>
          <w:rFonts w:ascii="Times New Roman" w:cs="Times New Roman" w:eastAsia="Times New Roman" w:hAnsi="Times New Roman"/>
          <w:b/>
          <w:bCs/>
          <w:sz w:val="26"/>
          <w:szCs w:val="26"/>
        </w:rPr>
        <w:t xml:space="preserve">Enrique González Gutiérrez</w:t>
      </w:r>
    </w:p>
    <w:p>
      <w:pPr>
        <w:spacing w:after="0" w:before="0"/>
        <w:jc w:val="center"/>
      </w:pPr>
      <w:r>
        <w:rPr>
          <w:rFonts w:ascii="Times New Roman" w:cs="Times New Roman" w:eastAsia="Times New Roman" w:hAnsi="Times New Roman"/>
          <w:sz w:val="24"/>
          <w:szCs w:val="24"/>
        </w:rPr>
        <w:t xml:space="preserve">Salamanca, septiembre de 2026</w:t>
      </w:r>
    </w:p>
    <w:p>
      <w:pPr>
        <w:pageBreakBefore/>
      </w:pPr>
    </w:p>
    <w:p>
      <w:pPr>
        <w:spacing w:after="360" w:before="0"/>
        <w:jc w:val="center"/>
      </w:pPr>
      <w:r>
        <w:rPr>
          <w:rFonts w:ascii="Arial" w:cs="Arial" w:eastAsia="Arial" w:hAnsi="Arial"/>
          <w:b/>
          <w:bCs/>
          <w:sz w:val="32"/>
          <w:szCs w:val="32"/>
        </w:rPr>
        <w:t xml:space="preserve">Índice</w:t>
      </w:r>
    </w:p>
    <w:p>
      <w:pPr>
        <w:tabs>
          <w:tab w:val="right" w:pos="8787" w:leader="dot"/>
        </w:tabs>
        <w:spacing w:after="60" w:line="276"/>
        <w:ind w:left="0"/>
      </w:pPr>
      <w:r>
        <w:rPr>
          <w:rFonts w:ascii="Times New Roman" w:cs="Times New Roman" w:eastAsia="Times New Roman" w:hAnsi="Times New Roman"/>
          <w:b/>
          <w:bCs/>
          <w:sz w:val="22"/>
          <w:szCs w:val="22"/>
        </w:rPr>
        <w:t xml:space="preserve">Documentación técnica de programación</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C.1. Introducción</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C.2. Estructura de directorios</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C.3. Puesta en marcha, compilación y ejecución</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C.3.1. Requisitos e instalación en local</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C.3.2. Variables de entorno</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C.3.3. Comandos</w:t>
      </w:r>
      <w:r>
        <w:rPr>
          <w:rFonts w:ascii="Times New Roman" w:cs="Times New Roman" w:eastAsia="Times New Roman" w:hAnsi="Times New Roman"/>
          <w:sz w:val="22"/>
          <w:szCs w:val="22"/>
        </w:rPr>
        <w:t xml:space="preserve">	5</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C.4. Manual del programador</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C.4.1. Convenciones generales</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C.4.2. Servicios principales (src/lib)</w:t>
      </w:r>
      <w:r>
        <w:rPr>
          <w:rFonts w:ascii="Times New Roman" w:cs="Times New Roman" w:eastAsia="Times New Roman" w:hAnsi="Times New Roman"/>
          <w:sz w:val="22"/>
          <w:szCs w:val="22"/>
        </w:rPr>
        <w:t xml:space="preserve">	6</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C.4.3. Cómo añadir contenido editable a una página</w:t>
      </w:r>
      <w:r>
        <w:rPr>
          <w:rFonts w:ascii="Times New Roman" w:cs="Times New Roman" w:eastAsia="Times New Roman" w:hAnsi="Times New Roman"/>
          <w:sz w:val="22"/>
          <w:szCs w:val="22"/>
        </w:rPr>
        <w:t xml:space="preserve">	6</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C.4.4. Endpoints de la API</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C.4.5. Scripts de migración y carga de datos</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C.4.6. Correo transaccional</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C.4.7. Internacionalización para el programador</w:t>
      </w:r>
      <w:r>
        <w:rPr>
          <w:rFonts w:ascii="Times New Roman" w:cs="Times New Roman" w:eastAsia="Times New Roman" w:hAnsi="Times New Roman"/>
          <w:sz w:val="22"/>
          <w:szCs w:val="22"/>
        </w:rPr>
        <w:t xml:space="preserve">	9</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C.5. Pruebas del sistema</w:t>
      </w:r>
      <w:r>
        <w:rPr>
          <w:rFonts w:ascii="Times New Roman" w:cs="Times New Roman" w:eastAsia="Times New Roman" w:hAnsi="Times New Roman"/>
          <w:sz w:val="22"/>
          <w:szCs w:val="22"/>
        </w:rPr>
        <w:t xml:space="preserve">	9</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C.6. Despliegue en producción</w:t>
      </w:r>
      <w:r>
        <w:rPr>
          <w:rFonts w:ascii="Times New Roman" w:cs="Times New Roman" w:eastAsia="Times New Roman" w:hAnsi="Times New Roman"/>
          <w:sz w:val="22"/>
          <w:szCs w:val="22"/>
        </w:rPr>
        <w:t xml:space="preserve">	10</w:t>
      </w:r>
    </w:p>
    <w:p>
      <w:pPr>
        <w:pageBreakBefore/>
      </w:pPr>
    </w:p>
    <w:p>
      <w:pPr>
        <w:pStyle w:val="Heading1"/>
        <w:spacing w:after="240" w:before="0"/>
      </w:pPr>
      <w:r>
        <w:rPr>
          <w:rFonts w:ascii="Arial" w:cs="Arial" w:eastAsia="Arial" w:hAnsi="Arial"/>
          <w:b/>
          <w:bCs/>
          <w:color w:val="595959"/>
          <w:sz w:val="24"/>
          <w:szCs w:val="24"/>
        </w:rPr>
        <w:t xml:space="preserve">Anexo C</w:t>
      </w:r>
      <w:r>
        <w:rPr>
          <w:rFonts w:ascii="Arial" w:cs="Arial" w:eastAsia="Arial" w:hAnsi="Arial"/>
          <w:b/>
          <w:bCs/>
          <w:color w:val="000000"/>
          <w:sz w:val="40"/>
          <w:szCs w:val="40"/>
        </w:rPr>
        <w:br/>
        <w:t xml:space="preserve">Documentación técnica de programación</w:t>
      </w:r>
    </w:p>
    <w:p>
      <w:pPr>
        <w:pStyle w:val="Heading2"/>
        <w:spacing w:after="180" w:before="360"/>
      </w:pPr>
      <w:r>
        <w:rPr>
          <w:rFonts w:ascii="Arial" w:cs="Arial" w:eastAsia="Arial" w:hAnsi="Arial"/>
          <w:b/>
          <w:bCs/>
          <w:color w:val="000000"/>
          <w:sz w:val="28"/>
          <w:szCs w:val="28"/>
        </w:rPr>
        <w:t xml:space="preserve">C.1. Introducción</w:t>
      </w:r>
    </w:p>
    <w:p>
      <w:pPr>
        <w:spacing w:after="160" w:line="300"/>
        <w:jc w:val="both"/>
      </w:pPr>
      <w:r>
        <w:rPr>
          <w:rFonts w:ascii="Times New Roman" w:cs="Times New Roman" w:eastAsia="Times New Roman" w:hAnsi="Times New Roman"/>
          <w:sz w:val="24"/>
          <w:szCs w:val="24"/>
        </w:rPr>
        <w:t xml:space="preserve">Este anexo documenta el sistema desde la perspectiva del desarrollo y está dirigido a quien tenga que mantener o evolucionar el código. Recoge la organización del proyecto, la puesta en marcha, el manual del programador (servicios, API, contenido editable, scripts de datos), la estrategia de pruebas y el procedimiento de despliegue.</w:t>
      </w:r>
    </w:p>
    <w:p>
      <w:pPr>
        <w:spacing w:after="160" w:line="300"/>
        <w:jc w:val="both"/>
      </w:pPr>
      <w:r>
        <w:rPr>
          <w:rFonts w:ascii="Times New Roman" w:cs="Times New Roman" w:eastAsia="Times New Roman" w:hAnsi="Times New Roman"/>
          <w:sz w:val="24"/>
          <w:szCs w:val="24"/>
        </w:rPr>
        <w:t xml:space="preserve">El proyecto es una aplicación full-stack en un único repositorio, escrita íntegramente en TypeScript sobre Next.js 14 con el App Router: no hay un backend separado, sino rutas y componentes que conviven bajo src/, y un esquema de datos (prisma/schema.prisma) que actúa como fuente única de verdad de la que derivan tanto la sincronización con la base de datos como los tipos del resto de capas.</w:t>
      </w:r>
    </w:p>
    <w:p>
      <w:pPr>
        <w:pStyle w:val="Heading2"/>
        <w:spacing w:after="180" w:before="360"/>
      </w:pPr>
      <w:r>
        <w:rPr>
          <w:rFonts w:ascii="Arial" w:cs="Arial" w:eastAsia="Arial" w:hAnsi="Arial"/>
          <w:b/>
          <w:bCs/>
          <w:color w:val="000000"/>
          <w:sz w:val="28"/>
          <w:szCs w:val="28"/>
        </w:rPr>
        <w:t xml:space="preserve">C.2. Estructura de directorios</w:t>
      </w:r>
    </w:p>
    <w:p>
      <w:pPr>
        <w:shd w:fill="F5F5F5" w:val="clear"/>
        <w:spacing w:after="0" w:line="240"/>
        <w:ind w:left="400"/>
      </w:pPr>
      <w:r>
        <w:rPr>
          <w:rFonts w:ascii="Courier New" w:cs="Courier New" w:eastAsia="Courier New" w:hAnsi="Courier New"/>
          <w:sz w:val="19"/>
          <w:szCs w:val="19"/>
        </w:rPr>
        <w:t xml:space="preserve">iuce-web/</w:t>
      </w:r>
    </w:p>
    <w:p>
      <w:pPr>
        <w:shd w:fill="F5F5F5" w:val="clear"/>
        <w:spacing w:after="0" w:line="240"/>
        <w:ind w:left="400"/>
      </w:pPr>
      <w:r>
        <w:rPr>
          <w:rFonts w:ascii="Courier New" w:cs="Courier New" w:eastAsia="Courier New" w:hAnsi="Courier New"/>
          <w:sz w:val="19"/>
          <w:szCs w:val="19"/>
        </w:rPr>
        <w:t xml:space="preserve">├─ prisma/            schema.prisma (modelo) · seed.ts (semilla)</w:t>
      </w:r>
    </w:p>
    <w:p>
      <w:pPr>
        <w:shd w:fill="F5F5F5" w:val="clear"/>
        <w:spacing w:after="0" w:line="240"/>
        <w:ind w:left="400"/>
      </w:pPr>
      <w:r>
        <w:rPr>
          <w:rFonts w:ascii="Courier New" w:cs="Courier New" w:eastAsia="Courier New" w:hAnsi="Courier New"/>
          <w:sz w:val="19"/>
          <w:szCs w:val="19"/>
        </w:rPr>
        <w:t xml:space="preserve">├─ public/            logos, imágenes y documentos públicos</w:t>
      </w:r>
    </w:p>
    <w:p>
      <w:pPr>
        <w:shd w:fill="F5F5F5" w:val="clear"/>
        <w:spacing w:after="0" w:line="240"/>
        <w:ind w:left="400"/>
      </w:pPr>
      <w:r>
        <w:rPr>
          <w:rFonts w:ascii="Courier New" w:cs="Courier New" w:eastAsia="Courier New" w:hAnsi="Courier New"/>
          <w:sz w:val="19"/>
          <w:szCs w:val="19"/>
        </w:rPr>
        <w:t xml:space="preserve">│  └─ uploads/        imágenes subidas + histórico (fuera de git)</w:t>
      </w:r>
    </w:p>
    <w:p>
      <w:pPr>
        <w:shd w:fill="F5F5F5" w:val="clear"/>
        <w:spacing w:after="0" w:line="240"/>
        <w:ind w:left="400"/>
      </w:pPr>
      <w:r>
        <w:rPr>
          <w:rFonts w:ascii="Courier New" w:cs="Courier New" w:eastAsia="Courier New" w:hAnsi="Courier New"/>
          <w:sz w:val="19"/>
          <w:szCs w:val="19"/>
        </w:rPr>
        <w:t xml:space="preserve">├─ storage/intranet/  documentos internos (fuera de git y public/)</w:t>
      </w:r>
    </w:p>
    <w:p>
      <w:pPr>
        <w:shd w:fill="F5F5F5" w:val="clear"/>
        <w:spacing w:after="0" w:line="240"/>
        <w:ind w:left="400"/>
      </w:pPr>
      <w:r>
        <w:rPr>
          <w:rFonts w:ascii="Courier New" w:cs="Courier New" w:eastAsia="Courier New" w:hAnsi="Courier New"/>
          <w:sz w:val="19"/>
          <w:szCs w:val="19"/>
        </w:rPr>
        <w:t xml:space="preserve">├─ scripts/           migración y carga de datos (véase C.4.5)</w:t>
      </w:r>
    </w:p>
    <w:p>
      <w:pPr>
        <w:shd w:fill="F5F5F5" w:val="clear"/>
        <w:spacing w:after="0" w:line="240"/>
        <w:ind w:left="400"/>
      </w:pPr>
      <w:r>
        <w:rPr>
          <w:rFonts w:ascii="Courier New" w:cs="Courier New" w:eastAsia="Courier New" w:hAnsi="Courier New"/>
          <w:sz w:val="19"/>
          <w:szCs w:val="19"/>
        </w:rPr>
        <w:t xml:space="preserve">│  └─ data/           datos congelados de los scripts (json)</w:t>
      </w:r>
    </w:p>
    <w:p>
      <w:pPr>
        <w:shd w:fill="F5F5F5" w:val="clear"/>
        <w:spacing w:after="0" w:line="240"/>
        <w:ind w:left="400"/>
      </w:pPr>
      <w:r>
        <w:rPr>
          <w:rFonts w:ascii="Courier New" w:cs="Courier New" w:eastAsia="Courier New" w:hAnsi="Courier New"/>
          <w:sz w:val="19"/>
          <w:szCs w:val="19"/>
        </w:rPr>
        <w:t xml:space="preserve">├─ docs/              design/ (prototipos) · manuales/ (esta doc.)</w:t>
      </w:r>
    </w:p>
    <w:p>
      <w:pPr>
        <w:shd w:fill="F5F5F5" w:val="clear"/>
        <w:spacing w:after="0" w:line="240"/>
        <w:ind w:left="400"/>
      </w:pPr>
      <w:r>
        <w:rPr>
          <w:rFonts w:ascii="Courier New" w:cs="Courier New" w:eastAsia="Courier New" w:hAnsi="Courier New"/>
          <w:sz w:val="19"/>
          <w:szCs w:val="19"/>
        </w:rPr>
        <w:t xml:space="preserve">└─ src/</w:t>
      </w:r>
    </w:p>
    <w:p>
      <w:pPr>
        <w:shd w:fill="F5F5F5" w:val="clear"/>
        <w:spacing w:after="0" w:line="240"/>
        <w:ind w:left="400"/>
      </w:pPr>
      <w:r>
        <w:rPr>
          <w:rFonts w:ascii="Courier New" w:cs="Courier New" w:eastAsia="Courier New" w:hAnsi="Courier New"/>
          <w:sz w:val="19"/>
          <w:szCs w:val="19"/>
        </w:rPr>
        <w:t xml:space="preserve">   ├─ middleware.ts   idioma /en + protección de zonas privadas</w:t>
      </w:r>
    </w:p>
    <w:p>
      <w:pPr>
        <w:shd w:fill="F5F5F5" w:val="clear"/>
        <w:spacing w:after="0" w:line="240"/>
        <w:ind w:left="400"/>
      </w:pPr>
      <w:r>
        <w:rPr>
          <w:rFonts w:ascii="Courier New" w:cs="Courier New" w:eastAsia="Courier New" w:hAnsi="Courier New"/>
          <w:sz w:val="19"/>
          <w:szCs w:val="19"/>
        </w:rPr>
        <w:t xml:space="preserve">   ├─ auth.config.ts  sesión edge-safe (JWT, roles)</w:t>
      </w:r>
    </w:p>
    <w:p>
      <w:pPr>
        <w:shd w:fill="F5F5F5" w:val="clear"/>
        <w:spacing w:after="0" w:line="240"/>
        <w:ind w:left="400"/>
      </w:pPr>
      <w:r>
        <w:rPr>
          <w:rFonts w:ascii="Courier New" w:cs="Courier New" w:eastAsia="Courier New" w:hAnsi="Courier New"/>
          <w:sz w:val="19"/>
          <w:szCs w:val="19"/>
        </w:rPr>
        <w:t xml:space="preserve">   ├─ app/</w:t>
      </w:r>
    </w:p>
    <w:p>
      <w:pPr>
        <w:shd w:fill="F5F5F5" w:val="clear"/>
        <w:spacing w:after="0" w:line="240"/>
        <w:ind w:left="400"/>
      </w:pPr>
      <w:r>
        <w:rPr>
          <w:rFonts w:ascii="Courier New" w:cs="Courier New" w:eastAsia="Courier New" w:hAnsi="Courier New"/>
          <w:sz w:val="19"/>
          <w:szCs w:val="19"/>
        </w:rPr>
        <w:t xml:space="preserve">   │  ├─ (public)/    sitio público + área de miembros /miembros</w:t>
      </w:r>
    </w:p>
    <w:p>
      <w:pPr>
        <w:shd w:fill="F5F5F5" w:val="clear"/>
        <w:spacing w:after="0" w:line="240"/>
        <w:ind w:left="400"/>
      </w:pPr>
      <w:r>
        <w:rPr>
          <w:rFonts w:ascii="Courier New" w:cs="Courier New" w:eastAsia="Courier New" w:hAnsi="Courier New"/>
          <w:sz w:val="19"/>
          <w:szCs w:val="19"/>
        </w:rPr>
        <w:t xml:space="preserve">   │  ├─ (admin)/backstage/  panel: news, pages, visualizacion,</w:t>
      </w:r>
    </w:p>
    <w:p>
      <w:pPr>
        <w:shd w:fill="F5F5F5" w:val="clear"/>
        <w:spacing w:after="0" w:line="240"/>
        <w:ind w:left="400"/>
      </w:pPr>
      <w:r>
        <w:rPr>
          <w:rFonts w:ascii="Courier New" w:cs="Courier New" w:eastAsia="Courier New" w:hAnsi="Courier New"/>
          <w:sz w:val="19"/>
          <w:szCs w:val="19"/>
        </w:rPr>
        <w:t xml:space="preserve">   │  │               members, groups, events, projects, files,</w:t>
      </w:r>
    </w:p>
    <w:p>
      <w:pPr>
        <w:shd w:fill="F5F5F5" w:val="clear"/>
        <w:spacing w:after="0" w:line="240"/>
        <w:ind w:left="400"/>
      </w:pPr>
      <w:r>
        <w:rPr>
          <w:rFonts w:ascii="Courier New" w:cs="Courier New" w:eastAsia="Courier New" w:hAnsi="Courier New"/>
          <w:sz w:val="19"/>
          <w:szCs w:val="19"/>
        </w:rPr>
        <w:t xml:space="preserve">   │  │               messages, intranet, settings</w:t>
      </w:r>
    </w:p>
    <w:p>
      <w:pPr>
        <w:shd w:fill="F5F5F5" w:val="clear"/>
        <w:spacing w:after="0" w:line="240"/>
        <w:ind w:left="400"/>
      </w:pPr>
      <w:r>
        <w:rPr>
          <w:rFonts w:ascii="Courier New" w:cs="Courier New" w:eastAsia="Courier New" w:hAnsi="Courier New"/>
          <w:sz w:val="19"/>
          <w:szCs w:val="19"/>
        </w:rPr>
        <w:t xml:space="preserve">   │  ├─ api/         REST: admin/, intranet/, contact, auth</w:t>
      </w:r>
    </w:p>
    <w:p>
      <w:pPr>
        <w:shd w:fill="F5F5F5" w:val="clear"/>
        <w:spacing w:after="0" w:line="240"/>
        <w:ind w:left="400"/>
      </w:pPr>
      <w:r>
        <w:rPr>
          <w:rFonts w:ascii="Courier New" w:cs="Courier New" w:eastAsia="Courier New" w:hAnsi="Courier New"/>
          <w:sz w:val="19"/>
          <w:szCs w:val="19"/>
        </w:rPr>
        <w:t xml:space="preserve">   │  ├─ auth/signin/ login del panel</w:t>
      </w:r>
    </w:p>
    <w:p>
      <w:pPr>
        <w:shd w:fill="F5F5F5" w:val="clear"/>
        <w:spacing w:after="0" w:line="240"/>
        <w:ind w:left="400"/>
      </w:pPr>
      <w:r>
        <w:rPr>
          <w:rFonts w:ascii="Courier New" w:cs="Courier New" w:eastAsia="Courier New" w:hAnsi="Courier New"/>
          <w:sz w:val="19"/>
          <w:szCs w:val="19"/>
        </w:rPr>
        <w:t xml:space="preserve">   │  └─ feed.xml/, sitemap.ts, robots.ts, opengraph-image…</w:t>
      </w:r>
    </w:p>
    <w:p>
      <w:pPr>
        <w:shd w:fill="F5F5F5" w:val="clear"/>
        <w:spacing w:after="0" w:line="240"/>
        <w:ind w:left="400"/>
      </w:pPr>
      <w:r>
        <w:rPr>
          <w:rFonts w:ascii="Courier New" w:cs="Courier New" w:eastAsia="Courier New" w:hAnsi="Courier New"/>
          <w:sz w:val="19"/>
          <w:szCs w:val="19"/>
        </w:rPr>
        <w:t xml:space="preserve">   ├─ components/     admin/ auth/ contact/ instituto/ intranet/</w:t>
      </w:r>
    </w:p>
    <w:p>
      <w:pPr>
        <w:shd w:fill="F5F5F5" w:val="clear"/>
        <w:spacing w:after="0" w:line="240"/>
        <w:ind w:left="400"/>
      </w:pPr>
      <w:r>
        <w:rPr>
          <w:rFonts w:ascii="Courier New" w:cs="Courier New" w:eastAsia="Courier New" w:hAnsi="Courier New"/>
          <w:sz w:val="19"/>
          <w:szCs w:val="19"/>
        </w:rPr>
        <w:t xml:space="preserve">   │                  investigacion/ layout/ news/ stats/ ui/</w:t>
      </w:r>
    </w:p>
    <w:p>
      <w:pPr>
        <w:shd w:fill="F5F5F5" w:val="clear"/>
        <w:spacing w:after="0" w:line="240"/>
        <w:ind w:left="400"/>
      </w:pPr>
      <w:r>
        <w:rPr>
          <w:rFonts w:ascii="Courier New" w:cs="Courier New" w:eastAsia="Courier New" w:hAnsi="Courier New"/>
          <w:sz w:val="19"/>
          <w:szCs w:val="19"/>
        </w:rPr>
        <w:t xml:space="preserve">   └─ lib/            servicios (C.4.2)</w:t>
      </w:r>
    </w:p>
    <w:p>
      <w:pPr>
        <w:shd w:fill="F5F5F5" w:val="clear"/>
        <w:spacing w:after="0" w:line="240"/>
        <w:ind w:left="400"/>
      </w:pPr>
      <w:r>
        <w:rPr>
          <w:rFonts w:ascii="Courier New" w:cs="Courier New" w:eastAsia="Courier New" w:hAnsi="Courier New"/>
          <w:sz w:val="19"/>
          <w:szCs w:val="19"/>
        </w:rPr>
        <w:t xml:space="preserve">      └─ content/     registros de fábrica ES+EN (bloques, listas,</w:t>
      </w:r>
    </w:p>
    <w:p>
      <w:pPr>
        <w:shd w:fill="F5F5F5" w:val="clear"/>
        <w:spacing w:after="200" w:line="240"/>
        <w:ind w:left="400"/>
      </w:pPr>
      <w:r>
        <w:rPr>
          <w:rFonts w:ascii="Courier New" w:cs="Courier New" w:eastAsia="Courier New" w:hAnsi="Courier New"/>
          <w:sz w:val="19"/>
          <w:szCs w:val="19"/>
        </w:rPr>
        <w:t xml:space="preserve">                      grupos, miembros, eventos, páginas ocultables)</w:t>
      </w:r>
    </w:p>
    <w:p>
      <w:pPr>
        <w:spacing w:after="160" w:line="300"/>
        <w:jc w:val="both"/>
      </w:pPr>
      <w:r>
        <w:rPr>
          <w:rFonts w:ascii="Times New Roman" w:cs="Times New Roman" w:eastAsia="Times New Roman" w:hAnsi="Times New Roman"/>
          <w:sz w:val="24"/>
          <w:szCs w:val="24"/>
        </w:rPr>
        <w:t xml:space="preserve">Las pruebas unitarias viven junto al código que verifican, en carpetas __tests__ (src/lib/__tests__ y src/components/__tests__).</w:t>
      </w:r>
    </w:p>
    <w:p>
      <w:pPr>
        <w:pStyle w:val="Heading2"/>
        <w:spacing w:after="180" w:before="360"/>
      </w:pPr>
      <w:r>
        <w:rPr>
          <w:rFonts w:ascii="Arial" w:cs="Arial" w:eastAsia="Arial" w:hAnsi="Arial"/>
          <w:b/>
          <w:bCs/>
          <w:color w:val="000000"/>
          <w:sz w:val="28"/>
          <w:szCs w:val="28"/>
        </w:rPr>
        <w:t xml:space="preserve">C.3. Puesta en marcha, compilación y ejecución</w:t>
      </w:r>
    </w:p>
    <w:p>
      <w:pPr>
        <w:pStyle w:val="Heading3"/>
        <w:spacing w:after="140" w:before="300"/>
      </w:pPr>
      <w:r>
        <w:rPr>
          <w:rFonts w:ascii="Arial" w:cs="Arial" w:eastAsia="Arial" w:hAnsi="Arial"/>
          <w:b/>
          <w:bCs/>
          <w:color w:val="000000"/>
          <w:sz w:val="24"/>
          <w:szCs w:val="24"/>
        </w:rPr>
        <w:t xml:space="preserve">C.3.1. Requisitos e instalación en local</w:t>
      </w:r>
    </w:p>
    <w:p>
      <w:pPr>
        <w:spacing w:after="160" w:line="300"/>
        <w:jc w:val="both"/>
      </w:pPr>
      <w:r>
        <w:rPr>
          <w:rFonts w:ascii="Times New Roman" w:cs="Times New Roman" w:eastAsia="Times New Roman" w:hAnsi="Times New Roman"/>
          <w:sz w:val="24"/>
          <w:szCs w:val="24"/>
        </w:rPr>
        <w:t xml:space="preserve">Se necesitan Node.js (18.17 o superior, requisito de Next.js 14), Docker con Docker Compose y Git. Docker se emplea únicamente para la base de datos en desarrollo; la aplicación corre con el servidor de desarrollo de Next.js:</w:t>
      </w:r>
    </w:p>
    <w:p>
      <w:pPr>
        <w:shd w:fill="F5F5F5" w:val="clear"/>
        <w:spacing w:after="0" w:line="240"/>
        <w:ind w:left="400"/>
      </w:pPr>
      <w:r>
        <w:rPr>
          <w:rFonts w:ascii="Courier New" w:cs="Courier New" w:eastAsia="Courier New" w:hAnsi="Courier New"/>
          <w:sz w:val="19"/>
          <w:szCs w:val="19"/>
        </w:rPr>
        <w:t xml:space="preserve">git clone &lt;URL-del-repositorio&gt; iuce-web</w:t>
      </w:r>
    </w:p>
    <w:p>
      <w:pPr>
        <w:shd w:fill="F5F5F5" w:val="clear"/>
        <w:spacing w:after="0" w:line="240"/>
        <w:ind w:left="400"/>
      </w:pPr>
      <w:r>
        <w:rPr>
          <w:rFonts w:ascii="Courier New" w:cs="Courier New" w:eastAsia="Courier New" w:hAnsi="Courier New"/>
          <w:sz w:val="19"/>
          <w:szCs w:val="19"/>
        </w:rPr>
        <w:t xml:space="preserve">cd iuce-web</w:t>
      </w:r>
    </w:p>
    <w:p>
      <w:pPr>
        <w:shd w:fill="F5F5F5" w:val="clear"/>
        <w:spacing w:after="0" w:line="240"/>
        <w:ind w:left="400"/>
      </w:pPr>
      <w:r>
        <w:rPr>
          <w:rFonts w:ascii="Courier New" w:cs="Courier New" w:eastAsia="Courier New" w:hAnsi="Courier New"/>
          <w:sz w:val="19"/>
          <w:szCs w:val="19"/>
        </w:rPr>
        <w:t xml:space="preserve">npm install              # instala dependencias y genera el cliente Prisma</w:t>
      </w:r>
    </w:p>
    <w:p>
      <w:pPr>
        <w:shd w:fill="F5F5F5" w:val="clear"/>
        <w:spacing w:after="0" w:line="240"/>
        <w:ind w:left="400"/>
      </w:pPr>
      <w:r>
        <w:rPr>
          <w:rFonts w:ascii="Courier New" w:cs="Courier New" w:eastAsia="Courier New" w:hAnsi="Courier New"/>
          <w:sz w:val="19"/>
          <w:szCs w:val="19"/>
        </w:rPr>
        <w:t xml:space="preserve">cp .env.example .env     # rellenar variables (véase C.3.2)</w:t>
      </w:r>
    </w:p>
    <w:p>
      <w:pPr>
        <w:shd w:fill="F5F5F5" w:val="clear"/>
        <w:spacing w:after="0" w:line="240"/>
        <w:ind w:left="400"/>
      </w:pPr>
      <w:r>
        <w:rPr>
          <w:rFonts w:ascii="Courier New" w:cs="Courier New" w:eastAsia="Courier New" w:hAnsi="Courier New"/>
          <w:sz w:val="19"/>
          <w:szCs w:val="19"/>
        </w:rPr>
        <w:t xml:space="preserve">docker compose up -d     # PostgreSQL 16 en el puerto 5433</w:t>
      </w:r>
    </w:p>
    <w:p>
      <w:pPr>
        <w:shd w:fill="F5F5F5" w:val="clear"/>
        <w:spacing w:after="0" w:line="240"/>
        <w:ind w:left="400"/>
      </w:pPr>
      <w:r>
        <w:rPr>
          <w:rFonts w:ascii="Courier New" w:cs="Courier New" w:eastAsia="Courier New" w:hAnsi="Courier New"/>
          <w:sz w:val="19"/>
          <w:szCs w:val="19"/>
        </w:rPr>
        <w:t xml:space="preserve">npm run db:push          # crea el esquema en la base de datos</w:t>
      </w:r>
    </w:p>
    <w:p>
      <w:pPr>
        <w:shd w:fill="F5F5F5" w:val="clear"/>
        <w:spacing w:after="0" w:line="240"/>
        <w:ind w:left="400"/>
      </w:pPr>
      <w:r>
        <w:rPr>
          <w:rFonts w:ascii="Courier New" w:cs="Courier New" w:eastAsia="Courier New" w:hAnsi="Courier New"/>
          <w:sz w:val="19"/>
          <w:szCs w:val="19"/>
        </w:rPr>
        <w:t xml:space="preserve">npm run db:seed          # contenido de fábrica + cuenta SUPER_ADMIN</w:t>
      </w:r>
    </w:p>
    <w:p>
      <w:pPr>
        <w:shd w:fill="F5F5F5" w:val="clear"/>
        <w:spacing w:after="200" w:line="240"/>
        <w:ind w:left="400"/>
      </w:pPr>
      <w:r>
        <w:rPr>
          <w:rFonts w:ascii="Courier New" w:cs="Courier New" w:eastAsia="Courier New" w:hAnsi="Courier New"/>
          <w:sz w:val="19"/>
          <w:szCs w:val="19"/>
        </w:rPr>
        <w:t xml:space="preserve">npm run dev              # http://localhost:3000</w:t>
      </w:r>
    </w:p>
    <w:p>
      <w:pPr>
        <w:spacing w:after="160" w:line="300"/>
        <w:jc w:val="both"/>
      </w:pPr>
      <w:r>
        <w:rPr>
          <w:rFonts w:ascii="Times New Roman" w:cs="Times New Roman" w:eastAsia="Times New Roman" w:hAnsi="Times New Roman"/>
          <w:sz w:val="24"/>
          <w:szCs w:val="24"/>
        </w:rPr>
        <w:t xml:space="preserve">El puerto de PostgreSQL es el </w:t>
      </w:r>
      <w:r>
        <w:rPr>
          <w:rFonts w:ascii="Courier New" w:cs="Courier New" w:eastAsia="Courier New" w:hAnsi="Courier New"/>
          <w:sz w:val="22"/>
          <w:szCs w:val="22"/>
        </w:rPr>
        <w:t xml:space="preserve">5433</w:t>
      </w:r>
      <w:r>
        <w:rPr>
          <w:rFonts w:ascii="Times New Roman" w:cs="Times New Roman" w:eastAsia="Times New Roman" w:hAnsi="Times New Roman"/>
          <w:sz w:val="24"/>
          <w:szCs w:val="24"/>
        </w:rPr>
        <w:t xml:space="preserve"> para no chocar con la base de datos local de IUCE Reservas (5432). El panel queda en </w:t>
      </w:r>
      <w:r>
        <w:rPr>
          <w:rFonts w:ascii="Courier New" w:cs="Courier New" w:eastAsia="Courier New" w:hAnsi="Courier New"/>
          <w:sz w:val="22"/>
          <w:szCs w:val="22"/>
        </w:rPr>
        <w:t xml:space="preserve">http://localhost:3000/backstage</w:t>
      </w:r>
      <w:r>
        <w:rPr>
          <w:rFonts w:ascii="Times New Roman" w:cs="Times New Roman" w:eastAsia="Times New Roman" w:hAnsi="Times New Roman"/>
          <w:sz w:val="24"/>
          <w:szCs w:val="24"/>
        </w:rPr>
        <w:t xml:space="preserve">; la cuenta inicial la crea la semilla con las variables </w:t>
      </w:r>
      <w:r>
        <w:rPr>
          <w:rFonts w:ascii="Courier New" w:cs="Courier New" w:eastAsia="Courier New" w:hAnsi="Courier New"/>
          <w:sz w:val="22"/>
          <w:szCs w:val="22"/>
        </w:rPr>
        <w:t xml:space="preserve">ADMIN_EMAIL</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ADMIN_PASSWORD</w:t>
      </w:r>
      <w:r>
        <w:rPr>
          <w:rFonts w:ascii="Times New Roman" w:cs="Times New Roman" w:eastAsia="Times New Roman" w:hAnsi="Times New Roman"/>
          <w:sz w:val="24"/>
          <w:szCs w:val="24"/>
        </w:rPr>
        <w:t xml:space="preserve"> (por defecto, la cuenta institucional del Instituto con una contraseña de desarrollo que debe cambiarse en producción). Para reconstruir el contenido completo (histórico de noticias incluido) se ejecutan además los scripts de datos de C.4.5.</w:t>
      </w:r>
    </w:p>
    <w:p>
      <w:pPr>
        <w:pStyle w:val="Heading3"/>
        <w:spacing w:after="140" w:before="300"/>
      </w:pPr>
      <w:r>
        <w:rPr>
          <w:rFonts w:ascii="Arial" w:cs="Arial" w:eastAsia="Arial" w:hAnsi="Arial"/>
          <w:b/>
          <w:bCs/>
          <w:color w:val="000000"/>
          <w:sz w:val="24"/>
          <w:szCs w:val="24"/>
        </w:rPr>
        <w:t xml:space="preserve">C.3.2. Variables de entorno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tblHeader/>
        </w:trPr>
        <w:tc>
          <w:tcPr>
            <w:tcW w:type="dxa" w:w="2636"/>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Variable</w:t>
            </w:r>
          </w:p>
        </w:tc>
        <w:tc>
          <w:tcPr>
            <w:tcW w:type="dxa" w:w="6151"/>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Uso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DATABASE_URL</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Cadena de conexión de PostgreSQL.</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NEXTAUTH_URL</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URL pública de la aplicación (localhost en desarrollo; dominio real en producción).</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NEXTAUTH_SECRET</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Secreto de firma de las sesiones JWT (generar uno propio por entorno).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RESEND_API_KEY</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Clave del servicio de correo. Sin ella no salen correos: la solicitud de acceso al área de miembros devuelve el enlace en modo desarrollo y el contacto informa del fallo.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EMAIL_FROM</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Remitente de los correos (debe pertenecer a un dominio verificado en Resend).</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CONTACT_TO</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Buzón que recibe los avisos del formulario de contacto.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DEEPL_API_KEY</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Opcional. Con clave, al guardar noticias y bloques se genera su versión inglesa; sin clave, la traducción se omite.</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ADMIN_EMAIL</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ADMIN_PASSWORD</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Credenciales de la cuenta SUPER_ADMIN que crea la semilla.</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MIGRATION_EXPORT_DIR</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Solo para la migración: carpeta del export de WordPress.</w:t>
            </w:r>
          </w:p>
        </w:tc>
      </w:tr>
    </w:tbl>
    <w:p>
      <w:pPr>
        <w:keepNext/>
        <w:spacing w:after="240" w:before="60" w:line="240"/>
        <w:jc w:val="left"/>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i/>
          <w:iCs/>
          <w:sz w:val="22"/>
          <w:szCs w:val="22"/>
        </w:rPr>
        <w:t xml:space="preserve">Variables de entorno.</w:t>
      </w:r>
    </w:p>
    <w:p>
      <w:pPr>
        <w:pStyle w:val="Heading3"/>
        <w:spacing w:after="140" w:before="300"/>
      </w:pPr>
      <w:r>
        <w:rPr>
          <w:rFonts w:ascii="Arial" w:cs="Arial" w:eastAsia="Arial" w:hAnsi="Arial"/>
          <w:b/>
          <w:bCs/>
          <w:color w:val="000000"/>
          <w:sz w:val="24"/>
          <w:szCs w:val="24"/>
        </w:rPr>
        <w:t xml:space="preserve">C.3.3. Comandos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tblHeader/>
        </w:trPr>
        <w:tc>
          <w:tcPr>
            <w:tcW w:type="dxa" w:w="2636"/>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Comando</w:t>
            </w:r>
          </w:p>
        </w:tc>
        <w:tc>
          <w:tcPr>
            <w:tcW w:type="dxa" w:w="6151"/>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Acción</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dev</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Servidor de desarrollo con recarga en caliente.</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build</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npm run start</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Compilación de producción y arranque del servidor compilado.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lint</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ESLint con la configuración de Next.</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test</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npm run test:watch</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Suite de pruebas Vitest (una pasada / en vigilancia).</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db:push</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Sincroniza el esquema Prisma con la base de datos.</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db:seed</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Ejecuta la semilla (idempotente).</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npm run db:generate</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Regenera el cliente Prisma.</w:t>
            </w:r>
          </w:p>
        </w:tc>
      </w:tr>
    </w:tbl>
    <w:p>
      <w:pPr>
        <w:keepNext/>
        <w:spacing w:after="240" w:before="60" w:line="240"/>
        <w:jc w:val="left"/>
      </w:pPr>
      <w:r>
        <w:rPr>
          <w:rFonts w:ascii="Times New Roman" w:cs="Times New Roman" w:eastAsia="Times New Roman" w:hAnsi="Times New Roman"/>
          <w:b/>
          <w:bCs/>
          <w:sz w:val="22"/>
          <w:szCs w:val="22"/>
        </w:rPr>
        <w:t xml:space="preserve">Tabla 2. </w:t>
      </w:r>
      <w:r>
        <w:rPr>
          <w:rFonts w:ascii="Times New Roman" w:cs="Times New Roman" w:eastAsia="Times New Roman" w:hAnsi="Times New Roman"/>
          <w:i/>
          <w:iCs/>
          <w:sz w:val="22"/>
          <w:szCs w:val="22"/>
        </w:rPr>
        <w:t xml:space="preserve">Comandos npm del proyecto.</w:t>
      </w:r>
    </w:p>
    <w:p>
      <w:pPr>
        <w:spacing w:after="160" w:line="300"/>
        <w:jc w:val="both"/>
      </w:pPr>
      <w:r>
        <w:rPr>
          <w:rFonts w:ascii="Times New Roman" w:cs="Times New Roman" w:eastAsia="Times New Roman" w:hAnsi="Times New Roman"/>
          <w:b/>
          <w:bCs/>
          <w:sz w:val="24"/>
          <w:szCs w:val="24"/>
        </w:rPr>
        <w:t xml:space="preserve">Avisos prácticos (Windows/desarrollo): </w:t>
      </w:r>
      <w:r>
        <w:rPr>
          <w:rFonts w:ascii="Times New Roman" w:cs="Times New Roman" w:eastAsia="Times New Roman" w:hAnsi="Times New Roman"/>
          <w:sz w:val="24"/>
          <w:szCs w:val="24"/>
        </w:rPr>
        <w:t xml:space="preserve">tras un </w:t>
      </w:r>
      <w:r>
        <w:rPr>
          <w:rFonts w:ascii="Courier New" w:cs="Courier New" w:eastAsia="Courier New" w:hAnsi="Courier New"/>
          <w:sz w:val="22"/>
          <w:szCs w:val="22"/>
        </w:rPr>
        <w:t xml:space="preserve">npm run build</w:t>
      </w:r>
      <w:r>
        <w:rPr>
          <w:rFonts w:ascii="Times New Roman" w:cs="Times New Roman" w:eastAsia="Times New Roman" w:hAnsi="Times New Roman"/>
          <w:sz w:val="24"/>
          <w:szCs w:val="24"/>
        </w:rPr>
        <w:t xml:space="preserve"> de verificación conviene borrar la carpeta </w:t>
      </w:r>
      <w:r>
        <w:rPr>
          <w:rFonts w:ascii="Courier New" w:cs="Courier New" w:eastAsia="Courier New" w:hAnsi="Courier New"/>
          <w:sz w:val="22"/>
          <w:szCs w:val="22"/>
        </w:rPr>
        <w:t xml:space="preserve">.next</w:t>
      </w:r>
      <w:r>
        <w:rPr>
          <w:rFonts w:ascii="Times New Roman" w:cs="Times New Roman" w:eastAsia="Times New Roman" w:hAnsi="Times New Roman"/>
          <w:sz w:val="24"/>
          <w:szCs w:val="24"/>
        </w:rPr>
        <w:t xml:space="preserve"> antes de volver a </w:t>
      </w:r>
      <w:r>
        <w:rPr>
          <w:rFonts w:ascii="Courier New" w:cs="Courier New" w:eastAsia="Courier New" w:hAnsi="Courier New"/>
          <w:sz w:val="22"/>
          <w:szCs w:val="22"/>
        </w:rPr>
        <w:t xml:space="preserve">npm run dev</w:t>
      </w:r>
      <w:r>
        <w:rPr>
          <w:rFonts w:ascii="Times New Roman" w:cs="Times New Roman" w:eastAsia="Times New Roman" w:hAnsi="Times New Roman"/>
          <w:sz w:val="24"/>
          <w:szCs w:val="24"/>
        </w:rPr>
        <w:t xml:space="preserve"> (arrancar sobre artefactos de producción produce estados incoherentes); tras un </w:t>
      </w:r>
      <w:r>
        <w:rPr>
          <w:rFonts w:ascii="Courier New" w:cs="Courier New" w:eastAsia="Courier New" w:hAnsi="Courier New"/>
          <w:sz w:val="22"/>
          <w:szCs w:val="22"/>
        </w:rPr>
        <w:t xml:space="preserve">db:push</w:t>
      </w:r>
      <w:r>
        <w:rPr>
          <w:rFonts w:ascii="Times New Roman" w:cs="Times New Roman" w:eastAsia="Times New Roman" w:hAnsi="Times New Roman"/>
          <w:sz w:val="24"/>
          <w:szCs w:val="24"/>
        </w:rPr>
        <w:t xml:space="preserve"> con modelos nuevos hay que reiniciar el servidor de desarrollo (y, si persisten tipos antiguos, limpiar </w:t>
      </w:r>
      <w:r>
        <w:rPr>
          <w:rFonts w:ascii="Courier New" w:cs="Courier New" w:eastAsia="Courier New" w:hAnsi="Courier New"/>
          <w:sz w:val="22"/>
          <w:szCs w:val="22"/>
        </w:rPr>
        <w:t xml:space="preserve">.next</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prisma generate</w:t>
      </w:r>
      <w:r>
        <w:rPr>
          <w:rFonts w:ascii="Times New Roman" w:cs="Times New Roman" w:eastAsia="Times New Roman" w:hAnsi="Times New Roman"/>
          <w:sz w:val="24"/>
          <w:szCs w:val="24"/>
        </w:rPr>
        <w:t xml:space="preserve"> falla con EPERM si el servidor está corriendo, porque la DLL del cliente está bloqueada: parar el servidor, generar y arrancar de nuevo.</w:t>
      </w:r>
    </w:p>
    <w:p>
      <w:pPr>
        <w:pStyle w:val="Heading2"/>
        <w:spacing w:after="180" w:before="360"/>
      </w:pPr>
      <w:r>
        <w:rPr>
          <w:rFonts w:ascii="Arial" w:cs="Arial" w:eastAsia="Arial" w:hAnsi="Arial"/>
          <w:b/>
          <w:bCs/>
          <w:color w:val="000000"/>
          <w:sz w:val="28"/>
          <w:szCs w:val="28"/>
        </w:rPr>
        <w:t xml:space="preserve">C.4. Manual del programador</w:t>
      </w:r>
    </w:p>
    <w:p>
      <w:pPr>
        <w:pStyle w:val="Heading3"/>
        <w:spacing w:after="140" w:before="300"/>
      </w:pPr>
      <w:r>
        <w:rPr>
          <w:rFonts w:ascii="Arial" w:cs="Arial" w:eastAsia="Arial" w:hAnsi="Arial"/>
          <w:b/>
          <w:bCs/>
          <w:color w:val="000000"/>
          <w:sz w:val="24"/>
          <w:szCs w:val="24"/>
        </w:rPr>
        <w:t xml:space="preserve">C.4.1. Convenciones generales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TypeScript en modo estricto en todo el proyecto.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Server Components por defecto; los componentes de cliente ("use client") se reservan para interactividad y reciben el idioma y los datos como propiedades (nunca importan helpers de servidor).</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lógica de negocio y el acceso a datos viven en src/lib (servicios), no en las páginas; las páginas orquestan y presentan.</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Toda entrada de usuario se valida en servidor con Zod; los esquemas del panel están centralizados en lib/admin-schemas.ts.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Las rutas de administración comprueban la sesión con el guard común (lib/admin-guard.ts) además de la protección del middleware.</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interfaz del panel está íntegramente en español; los textos públicos bilingües siguen el sistema de contenido de C.4.4.</w:t>
      </w:r>
    </w:p>
    <w:p>
      <w:pPr>
        <w:pStyle w:val="Heading3"/>
        <w:spacing w:after="140" w:before="300"/>
      </w:pPr>
      <w:r>
        <w:rPr>
          <w:rFonts w:ascii="Arial" w:cs="Arial" w:eastAsia="Arial" w:hAnsi="Arial"/>
          <w:b/>
          <w:bCs/>
          <w:color w:val="000000"/>
          <w:sz w:val="24"/>
          <w:szCs w:val="24"/>
        </w:rPr>
        <w:t xml:space="preserve">C.4.2. Servicios principales (src/lib)</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12"/>
        <w:gridCol w:w="5975"/>
      </w:tblGrid>
      <w:tr>
        <w:trPr>
          <w:tblHeader/>
        </w:trPr>
        <w:tc>
          <w:tcPr>
            <w:tcW w:type="dxa" w:w="281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Módulo</w:t>
            </w:r>
          </w:p>
        </w:tc>
        <w:tc>
          <w:tcPr>
            <w:tcW w:type="dxa" w:w="597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Responsabilidad</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news-service.ts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Consultas de noticias públicas e internas (listados, filtros, detalle, RSS) con resolución de idioma.</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content-blocks-service.ts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getBlock/getListBlock: resolución en cascada BD → registro EN → registro ES de bloques y listas.</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projects-service.ts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Proyectos públicos (activos y del IUCE) y su explorador.</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page-visibility.ts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assertVisible (404 si la página está oculta, salvo sesión de administración) y getHiddenPaths para menús y sitemap.</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intranet-access.ts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Regla de acceso al área de miembros (veto, lista de autorizados, correo de miembro con alta automática).</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intranet-session.ts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Utilidades de la sesión de miembro (identidad, avatar con la foto de su ficha).</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auth.ts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auth.config.ts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NextAuth v5: proveedor de credenciales del panel (bcrypt) y proveedor «intranet» (magic link) con rol INTRANET; configuración edge-safe para el middleware.</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email.ts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Plantillas HTML institucionales (enlace de acceso, aviso y acuse de contacto) con logo incrustado (adjunto en línea) y versión de texto plano.</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translate.ts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Cliente de DeepL para la traducción al guardar y bajo demanda (se omite sin clave).</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orcid.ts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Últimos artículos de la dirección vía la API pública de ORCID (caché de 24 h; null si falla, y la página usa la lista editable de reserva).</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rate-limit.ts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Limitación de tasa en memoria para los puntos sensibles.</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metadata.ts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metadataBilingue: títulos y descripciones de página en el idioma de la petición.</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locale.ts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locale-server.ts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Idioma en cliente (pathLocale, withLocale, pick) y en servidor (getLocale desde la cabecera x-locale).</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validations.ts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admin-schemas.ts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Esquemas Zod compartidos (contacto, entidades del panel).</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slugify.ts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Generación de slugs estables (con normalización de tildes y ñ).</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prisma.ts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Cliente Prisma único (singleton) del proceso.</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icon-map.ts</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Catálogo de iconos seleccionables en las listas estructuradas.</w:t>
            </w:r>
          </w:p>
        </w:tc>
      </w:tr>
      <w:tr>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content/*</w:t>
            </w:r>
          </w:p>
        </w:tc>
        <w:tc>
          <w:tcPr>
            <w:tcW w:type="dxa" w:w="59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Registros de fábrica: page-blocks y list-blocks (ES y EN), groups, members, events, news (categorías) y public-pages (páginas ocultables).</w:t>
            </w:r>
          </w:p>
        </w:tc>
      </w:tr>
    </w:tbl>
    <w:p>
      <w:pPr>
        <w:keepNext/>
        <w:spacing w:after="240" w:before="60" w:line="240"/>
        <w:jc w:val="left"/>
      </w:pPr>
      <w:r>
        <w:rPr>
          <w:rFonts w:ascii="Times New Roman" w:cs="Times New Roman" w:eastAsia="Times New Roman" w:hAnsi="Times New Roman"/>
          <w:b/>
          <w:bCs/>
          <w:sz w:val="22"/>
          <w:szCs w:val="22"/>
        </w:rPr>
        <w:t xml:space="preserve">Tabla 3. </w:t>
      </w:r>
      <w:r>
        <w:rPr>
          <w:rFonts w:ascii="Times New Roman" w:cs="Times New Roman" w:eastAsia="Times New Roman" w:hAnsi="Times New Roman"/>
          <w:i/>
          <w:iCs/>
          <w:sz w:val="22"/>
          <w:szCs w:val="22"/>
        </w:rPr>
        <w:t xml:space="preserve">Servicios y módulos de src/lib.</w:t>
      </w:r>
    </w:p>
    <w:p>
      <w:pPr>
        <w:pStyle w:val="Heading3"/>
        <w:spacing w:after="140" w:before="300"/>
      </w:pPr>
      <w:r>
        <w:rPr>
          <w:rFonts w:ascii="Arial" w:cs="Arial" w:eastAsia="Arial" w:hAnsi="Arial"/>
          <w:b/>
          <w:bCs/>
          <w:color w:val="000000"/>
          <w:sz w:val="24"/>
          <w:szCs w:val="24"/>
        </w:rPr>
        <w:t xml:space="preserve">C.4.3. Cómo añadir contenido editable a una página</w:t>
      </w:r>
    </w:p>
    <w:p>
      <w:pPr>
        <w:spacing w:after="160" w:line="300"/>
        <w:jc w:val="both"/>
      </w:pPr>
      <w:r>
        <w:rPr>
          <w:rFonts w:ascii="Times New Roman" w:cs="Times New Roman" w:eastAsia="Times New Roman" w:hAnsi="Times New Roman"/>
          <w:sz w:val="24"/>
          <w:szCs w:val="24"/>
        </w:rPr>
        <w:t xml:space="preserve">Para incorporar un texto o una lista nuevos al sistema de edición: (1) declarar la pieza en el registro correspondiente (lib/content/page-blocks.ts o list-blocks.ts) con su página, clave, etiqueta y valor de fábrica; (2) añadir su traducción de fábrica al registro -en homólogo; (3) leerla en la página con getBlock(pageSlug, blockKey) o getListBlock(...). La pieza aparece automáticamente en el panel (Contenido → Páginas) con su editor y su botón de restablecer. Dos reglas: las listas no se traducen automáticamente (sus versiones inglesas se mantienen en el registro -en o desde el panel) y las claves nunca se renombran a la ligera (la fila editada en base de datos quedaría huérfana).</w:t>
      </w:r>
    </w:p>
    <w:p>
      <w:pPr>
        <w:pStyle w:val="Heading3"/>
        <w:spacing w:after="140" w:before="300"/>
      </w:pPr>
      <w:r>
        <w:rPr>
          <w:rFonts w:ascii="Arial" w:cs="Arial" w:eastAsia="Arial" w:hAnsi="Arial"/>
          <w:b/>
          <w:bCs/>
          <w:color w:val="000000"/>
          <w:sz w:val="24"/>
          <w:szCs w:val="24"/>
        </w:rPr>
        <w:t xml:space="preserve">C.4.4. Endpoints de la API</w:t>
      </w:r>
    </w:p>
    <w:p>
      <w:pPr>
        <w:spacing w:after="160" w:line="300"/>
        <w:jc w:val="both"/>
      </w:pPr>
      <w:r>
        <w:rPr>
          <w:rFonts w:ascii="Times New Roman" w:cs="Times New Roman" w:eastAsia="Times New Roman" w:hAnsi="Times New Roman"/>
          <w:sz w:val="24"/>
          <w:szCs w:val="24"/>
        </w:rPr>
        <w:t xml:space="preserve">Todos los endpoints devuelven JSON y validan con Zod. Los de /api/admin exigen sesión de administración (middleware + guard); los del área de miembros, la sesión que se indica.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88"/>
        <w:gridCol w:w="1230"/>
        <w:gridCol w:w="4569"/>
      </w:tblGrid>
      <w:tr>
        <w:trPr>
          <w:tblHeader/>
        </w:trPr>
        <w:tc>
          <w:tcPr>
            <w:tcW w:type="dxa" w:w="2988"/>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Endpoint</w:t>
            </w:r>
          </w:p>
        </w:tc>
        <w:tc>
          <w:tcPr>
            <w:tcW w:type="dxa" w:w="1230"/>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Métodos</w:t>
            </w:r>
          </w:p>
        </w:tc>
        <w:tc>
          <w:tcPr>
            <w:tcW w:type="dxa" w:w="4569"/>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Función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/api/contact</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POST</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Envío del formulario de contacto (valida, guarda, notifica y acusa; con límite de tasa).</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/api/intranet/request-link</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POST</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Solicitud del enlace de acceso al área de miembros (regla de acceso + límite de tasa).</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/api/intranet/files/[id]</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Descarga de un documento interno (requiere sesión INTRANET o de administración).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/api/intranet/profile</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PUT</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Actualización de la ficha del propio miembro.</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/api/intranet/profile/photo</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POST</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Subida de la foto del propio miembro (sharp, 512 px).</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/api/intranet/dev-access</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Acceso directo de desarrollo (devuelve 404 en producción).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/api/auth/[...nextauth]</w:t>
            </w:r>
          </w:p>
        </w:tc>
        <w:tc>
          <w:tcPr>
            <w:tcW w:type="dxa" w:w="12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Rutas internas de NextAuth (login del panel y callback del magic link).</w:t>
            </w:r>
          </w:p>
        </w:tc>
      </w:tr>
    </w:tbl>
    <w:p>
      <w:pPr>
        <w:keepNext/>
        <w:spacing w:after="240" w:before="60" w:line="240"/>
        <w:jc w:val="left"/>
      </w:pPr>
      <w:r>
        <w:rPr>
          <w:rFonts w:ascii="Times New Roman" w:cs="Times New Roman" w:eastAsia="Times New Roman" w:hAnsi="Times New Roman"/>
          <w:b/>
          <w:bCs/>
          <w:sz w:val="22"/>
          <w:szCs w:val="22"/>
        </w:rPr>
        <w:t xml:space="preserve">Tabla 4. </w:t>
      </w:r>
      <w:r>
        <w:rPr>
          <w:rFonts w:ascii="Times New Roman" w:cs="Times New Roman" w:eastAsia="Times New Roman" w:hAnsi="Times New Roman"/>
          <w:i/>
          <w:iCs/>
          <w:sz w:val="22"/>
          <w:szCs w:val="22"/>
        </w:rPr>
        <w:t xml:space="preserve">Endpoints públicos y del área de miembros.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88"/>
        <w:gridCol w:w="2109"/>
        <w:gridCol w:w="3691"/>
      </w:tblGrid>
      <w:tr>
        <w:trPr>
          <w:tblHeader/>
        </w:trPr>
        <w:tc>
          <w:tcPr>
            <w:tcW w:type="dxa" w:w="2988"/>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Recurso</w:t>
            </w:r>
          </w:p>
        </w:tc>
        <w:tc>
          <w:tcPr>
            <w:tcW w:type="dxa" w:w="2109"/>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Métodos</w:t>
            </w:r>
          </w:p>
        </w:tc>
        <w:tc>
          <w:tcPr>
            <w:tcW w:type="dxa" w:w="3691"/>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Función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news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news/[id]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GET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CRUD de noticias.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members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members/[id]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CRUD de miembros.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members/photo</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members/photos</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POST · GET</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Subida de foto (sharp 512 px) y biblioteca de fotos existentes.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groups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groups/[id]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CRUD de grupos de investigación.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events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events/[id]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CRUD de eventos.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projects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projects/[id]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CRUD de proyectos (incluida la marca «del IUCE»).</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files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files/[id]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Biblioteca de archivos (subidas a /uploads).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messages/[id]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Estado y borrado de mensajes de contacto.</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content-blocks</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PUT</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Lectura y guardado de bloques y listas editables.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page-visibility</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PUT</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Interruptores de visibilidad de páginas.</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intranet/users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intranet/users/[id]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Usuarios del área de miembros (autorizar, vetar).</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intranet/files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intranet/files/[id]</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 · PUT DELETE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Documentos internos (metadatos y fichero).</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accounts</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GET POST</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Cuentas de administración (solo SUPER_ADMIN).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translate</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POST</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Traducción bajo demanda vía DeepL.</w:t>
            </w:r>
          </w:p>
        </w:tc>
      </w:tr>
    </w:tbl>
    <w:p>
      <w:pPr>
        <w:keepNext/>
        <w:spacing w:after="240" w:before="60" w:line="240"/>
        <w:jc w:val="left"/>
      </w:pPr>
      <w:r>
        <w:rPr>
          <w:rFonts w:ascii="Times New Roman" w:cs="Times New Roman" w:eastAsia="Times New Roman" w:hAnsi="Times New Roman"/>
          <w:b/>
          <w:bCs/>
          <w:sz w:val="22"/>
          <w:szCs w:val="22"/>
        </w:rPr>
        <w:t xml:space="preserve">Tabla 5. </w:t>
      </w:r>
      <w:r>
        <w:rPr>
          <w:rFonts w:ascii="Times New Roman" w:cs="Times New Roman" w:eastAsia="Times New Roman" w:hAnsi="Times New Roman"/>
          <w:i/>
          <w:iCs/>
          <w:sz w:val="22"/>
          <w:szCs w:val="22"/>
        </w:rPr>
        <w:t xml:space="preserve">Endpoints de administración (/api/admin).</w:t>
      </w:r>
    </w:p>
    <w:p>
      <w:pPr>
        <w:pStyle w:val="Heading3"/>
        <w:spacing w:after="140" w:before="300"/>
      </w:pPr>
      <w:r>
        <w:rPr>
          <w:rFonts w:ascii="Arial" w:cs="Arial" w:eastAsia="Arial" w:hAnsi="Arial"/>
          <w:b/>
          <w:bCs/>
          <w:color w:val="000000"/>
          <w:sz w:val="24"/>
          <w:szCs w:val="24"/>
        </w:rPr>
        <w:t xml:space="preserve">C.4.5. Scripts de migración y carga de datos</w:t>
      </w:r>
    </w:p>
    <w:p>
      <w:pPr>
        <w:spacing w:after="160" w:line="300"/>
        <w:jc w:val="both"/>
      </w:pPr>
      <w:r>
        <w:rPr>
          <w:rFonts w:ascii="Times New Roman" w:cs="Times New Roman" w:eastAsia="Times New Roman" w:hAnsi="Times New Roman"/>
          <w:sz w:val="24"/>
          <w:szCs w:val="24"/>
        </w:rPr>
        <w:t xml:space="preserve">Los scripts de scripts/ reconstruyen el contenido real. Todos son idempotentes y los que tocan datos editables son de solo-relleno: no pisan cambios hechos desde el panel. En un despliegue desde cero se ejecutan tras la semilla, en el orden de la tabla.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88"/>
        <w:gridCol w:w="5799"/>
      </w:tblGrid>
      <w:tr>
        <w:trPr>
          <w:tblHeader/>
        </w:trPr>
        <w:tc>
          <w:tcPr>
            <w:tcW w:type="dxa" w:w="2988"/>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Script</w:t>
            </w:r>
          </w:p>
        </w:tc>
        <w:tc>
          <w:tcPr>
            <w:tcW w:type="dxa" w:w="5799"/>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Función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migrate-wordpress.ts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Migración del export de WordPress: 212 noticias (2010–2026) con sus imágenes, categorías mapeadas y fichas de miembros con foto y correo institucional.</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recover-external-images.js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Recupera las imágenes de noticias antiguas que enlazaban a servicios externos desaparecidos (Flickr, Wayback Machine).</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copy-audit-media.js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Copia los medios recuperados en la auditoría de contenido de la web antigua (documentos, planos, PDF).</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import-projects.ts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Importa los proyectos de la Tabla 4 de la memoria de acreditación (scripts/data/projects.json).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assign-member-groups.ts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Asigna grupo y responsables a los miembros según la evidencia recopilada (scripts/data/member-groups.json) y aplica las bajas dictadas por la dirección.</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patch-member-contacts.ts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Completa extensiones telefónicas y ORCID verificados de la dirección y el personal.</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apply-news-en.ts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Aplica los lotes de traducción de noticias (scripts/data/news-en/batch-*.json); solo-relleno, con --force para regenerar.</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import-late-news.ts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Noticias publicadas en la web antigua DESPUÉS del export congelado (scripts/data/late-news/*.json, con ES y EN); solo-relleno, con --force para pisar. Mientras la web antigua siga viva, las noticias nuevas se añaden aquí.</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backfill-news-en.ts</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Vía alternativa: traduce con DeepL las noticias sin versión inglesa (requiere clave).</w:t>
            </w:r>
          </w:p>
        </w:tc>
      </w:tr>
      <w:tr>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2"/>
                <w:szCs w:val="22"/>
              </w:rPr>
              <w:t xml:space="preserve">fetch-orcids.py</w:t>
            </w:r>
          </w:p>
        </w:tc>
        <w:tc>
          <w:tcPr>
            <w:tcW w:type="dxa" w:w="57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Auxiliar de verificación de ORCID contra la API pública.</w:t>
            </w:r>
          </w:p>
        </w:tc>
      </w:tr>
    </w:tbl>
    <w:p>
      <w:pPr>
        <w:keepNext/>
        <w:spacing w:after="240" w:before="60" w:line="240"/>
        <w:jc w:val="left"/>
      </w:pPr>
      <w:r>
        <w:rPr>
          <w:rFonts w:ascii="Times New Roman" w:cs="Times New Roman" w:eastAsia="Times New Roman" w:hAnsi="Times New Roman"/>
          <w:b/>
          <w:bCs/>
          <w:sz w:val="22"/>
          <w:szCs w:val="22"/>
        </w:rPr>
        <w:t xml:space="preserve">Tabla 6. </w:t>
      </w:r>
      <w:r>
        <w:rPr>
          <w:rFonts w:ascii="Times New Roman" w:cs="Times New Roman" w:eastAsia="Times New Roman" w:hAnsi="Times New Roman"/>
          <w:i/>
          <w:iCs/>
          <w:sz w:val="22"/>
          <w:szCs w:val="22"/>
        </w:rPr>
        <w:t xml:space="preserve">Scripts de datos.</w:t>
      </w:r>
    </w:p>
    <w:p>
      <w:pPr>
        <w:pStyle w:val="Heading3"/>
        <w:spacing w:after="140" w:before="300"/>
      </w:pPr>
      <w:r>
        <w:rPr>
          <w:rFonts w:ascii="Arial" w:cs="Arial" w:eastAsia="Arial" w:hAnsi="Arial"/>
          <w:b/>
          <w:bCs/>
          <w:color w:val="000000"/>
          <w:sz w:val="24"/>
          <w:szCs w:val="24"/>
        </w:rPr>
        <w:t xml:space="preserve">C.4.6. Correo transaccional</w:t>
      </w:r>
    </w:p>
    <w:p>
      <w:pPr>
        <w:spacing w:after="160" w:line="300"/>
        <w:jc w:val="both"/>
      </w:pPr>
      <w:r>
        <w:rPr>
          <w:rFonts w:ascii="Times New Roman" w:cs="Times New Roman" w:eastAsia="Times New Roman" w:hAnsi="Times New Roman"/>
          <w:sz w:val="24"/>
          <w:szCs w:val="24"/>
        </w:rPr>
        <w:t xml:space="preserve">lib/email.ts construye los tres correos del sistema (enlace de acceso, aviso de contacto con responder-a al remitente y acuse de recibo) con una plantilla común: cabecera institucional con el logo </w:t>
      </w:r>
      <w:r>
        <w:rPr>
          <w:rFonts w:ascii="Times New Roman" w:cs="Times New Roman" w:eastAsia="Times New Roman" w:hAnsi="Times New Roman"/>
          <w:b/>
          <w:bCs/>
          <w:sz w:val="24"/>
          <w:szCs w:val="24"/>
        </w:rPr>
        <w:t xml:space="preserve">incrustado como adjunto en línea</w:t>
      </w:r>
      <w:r>
        <w:rPr>
          <w:rFonts w:ascii="Times New Roman" w:cs="Times New Roman" w:eastAsia="Times New Roman" w:hAnsi="Times New Roman"/>
          <w:sz w:val="24"/>
          <w:szCs w:val="24"/>
        </w:rPr>
        <w:t xml:space="preserve"> (de modo que se ve en cualquier cliente, sin depender de una URL pública), cuerpo con botón de acción, pie institucional y versión de texto plano. El SDK de Resend no lanza excepciones en los errores de API: los devuelve en el campo error de la respuesta, y las rutas lo comprueban explícitamente para no dar confirmaciones en falso.</w:t>
      </w:r>
    </w:p>
    <w:p>
      <w:pPr>
        <w:pStyle w:val="Heading3"/>
        <w:spacing w:after="140" w:before="300"/>
      </w:pPr>
      <w:r>
        <w:rPr>
          <w:rFonts w:ascii="Arial" w:cs="Arial" w:eastAsia="Arial" w:hAnsi="Arial"/>
          <w:b/>
          <w:bCs/>
          <w:color w:val="000000"/>
          <w:sz w:val="24"/>
          <w:szCs w:val="24"/>
        </w:rPr>
        <w:t xml:space="preserve">C.4.7. Internacionalización para el programador</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middleware reescribe /en/* a la ruta española con la cabecera x-locale; getLocale() (solo servidor) la lee. Los componentes de cliente reciben locale como propiedad.</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Todo enlace interno de una página bilingüe se construye con withLocale(href, locale) para no salirse del idioma.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Los metadatos de página usan metadataBilingue(es, en); el html lang es dinámico.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conmutador de idioma es un &lt;a&gt; nativo a propósito (navegación de documento completo): con un Link de cliente, ambos idiomas compartirían la caché del router y el contenido no cambiaría. Cualquier enlace futuro que cruce idiomas debe mantener esa regla.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Textos nuevos: en páginas con pocos literales se usa un diccionario inline const T = { es, en } y pick(locale, T); el contenido editable sigue el sistema de registros de C.4.3.</w:t>
      </w:r>
    </w:p>
    <w:p>
      <w:pPr>
        <w:pStyle w:val="Heading2"/>
        <w:spacing w:after="180" w:before="360"/>
      </w:pPr>
      <w:r>
        <w:rPr>
          <w:rFonts w:ascii="Arial" w:cs="Arial" w:eastAsia="Arial" w:hAnsi="Arial"/>
          <w:b/>
          <w:bCs/>
          <w:color w:val="000000"/>
          <w:sz w:val="28"/>
          <w:szCs w:val="28"/>
        </w:rPr>
        <w:t xml:space="preserve">C.5. Pruebas del sistema</w:t>
      </w:r>
    </w:p>
    <w:p>
      <w:pPr>
        <w:spacing w:after="160" w:line="300"/>
        <w:jc w:val="both"/>
      </w:pPr>
      <w:r>
        <w:rPr>
          <w:rFonts w:ascii="Times New Roman" w:cs="Times New Roman" w:eastAsia="Times New Roman" w:hAnsi="Times New Roman"/>
          <w:sz w:val="24"/>
          <w:szCs w:val="24"/>
        </w:rPr>
        <w:t xml:space="preserve">La suite de pruebas unitarias corre con Vitest (entorno jsdom para los componentes) y cubre la lógica pura más sensible y los componentes de interfaz básicos. A fecha de esta documentación la suite comprende </w:t>
      </w:r>
      <w:r>
        <w:rPr>
          <w:rFonts w:ascii="Times New Roman" w:cs="Times New Roman" w:eastAsia="Times New Roman" w:hAnsi="Times New Roman"/>
          <w:b/>
          <w:bCs/>
          <w:sz w:val="24"/>
          <w:szCs w:val="24"/>
        </w:rPr>
        <w:t xml:space="preserve">27 pruebas en 4 ficheros</w:t>
      </w:r>
      <w:r>
        <w:rPr>
          <w:rFonts w:ascii="Times New Roman" w:cs="Times New Roman" w:eastAsia="Times New Roman" w:hAnsi="Times New Roman"/>
          <w:sz w:val="24"/>
          <w:szCs w:val="24"/>
        </w:rPr>
        <w:t xml:space="preserve">, todas en verde: slugify (6, incluida la normalización de tildes y ñ), validaciones Zod (10), tratamiento de la imagen de portada en el contenido (5) y componentes de UI (6). Se ejecuta con </w:t>
      </w:r>
      <w:r>
        <w:rPr>
          <w:rFonts w:ascii="Courier New" w:cs="Courier New" w:eastAsia="Courier New" w:hAnsi="Courier New"/>
          <w:sz w:val="22"/>
          <w:szCs w:val="22"/>
        </w:rPr>
        <w:t xml:space="preserve">npm run test</w:t>
      </w:r>
      <w:r>
        <w:rPr>
          <w:rFonts w:ascii="Times New Roman" w:cs="Times New Roman" w:eastAsia="Times New Roman" w:hAnsi="Times New Roman"/>
          <w:sz w:val="24"/>
          <w:szCs w:val="24"/>
        </w:rPr>
        <w:t xml:space="preserve"> y en modo vigilancia con </w:t>
      </w:r>
      <w:r>
        <w:rPr>
          <w:rFonts w:ascii="Courier New" w:cs="Courier New" w:eastAsia="Courier New" w:hAnsi="Courier New"/>
          <w:sz w:val="22"/>
          <w:szCs w:val="22"/>
        </w:rPr>
        <w:t xml:space="preserve">npm run test:watch</w:t>
      </w:r>
      <w:r>
        <w:rPr>
          <w:rFonts w:ascii="Times New Roman" w:cs="Times New Roman" w:eastAsia="Times New Roman" w:hAnsi="Times New Roman"/>
          <w:sz w:val="24"/>
          <w:szCs w:val="24"/>
        </w:rPr>
        <w:t xml:space="preserve">; las pruebas viven junto al código en carpetas __tests__.</w:t>
      </w:r>
    </w:p>
    <w:p>
      <w:pPr>
        <w:spacing w:after="160" w:line="300"/>
        <w:jc w:val="both"/>
      </w:pPr>
      <w:r>
        <w:rPr>
          <w:rFonts w:ascii="Times New Roman" w:cs="Times New Roman" w:eastAsia="Times New Roman" w:hAnsi="Times New Roman"/>
          <w:sz w:val="24"/>
          <w:szCs w:val="24"/>
        </w:rPr>
        <w:t xml:space="preserve">La verificación funcional se completa con la compilación estricta de TypeScript y ESLint, y con la comprobación manual guiada de los flujos de usuario (incluido el correo real de extremo a extremo y la navegación de idioma, que debe verificarse con clic real en el navegador: las cargas directas de URL no reproducen el matiz de caché descrito en C.4.7).</w:t>
      </w:r>
    </w:p>
    <w:p>
      <w:pPr>
        <w:pStyle w:val="Heading2"/>
        <w:spacing w:after="180" w:before="360"/>
      </w:pPr>
      <w:r>
        <w:rPr>
          <w:rFonts w:ascii="Arial" w:cs="Arial" w:eastAsia="Arial" w:hAnsi="Arial"/>
          <w:b/>
          <w:bCs/>
          <w:color w:val="000000"/>
          <w:sz w:val="28"/>
          <w:szCs w:val="28"/>
        </w:rPr>
        <w:t xml:space="preserve">C.6. Despliegue en producción</w:t>
      </w:r>
    </w:p>
    <w:p>
      <w:pPr>
        <w:spacing w:after="160" w:line="300"/>
        <w:jc w:val="both"/>
      </w:pPr>
      <w:r>
        <w:rPr>
          <w:rFonts w:ascii="Times New Roman" w:cs="Times New Roman" w:eastAsia="Times New Roman" w:hAnsi="Times New Roman"/>
          <w:sz w:val="24"/>
          <w:szCs w:val="24"/>
        </w:rPr>
        <w:t xml:space="preserve">El modelo de producción replica el de IUCE Reservas en el CPD de la USAL: aplicación y PostgreSQL como contenedores Docker tras Apache 2 (proxy inverso con certificado Let's Encrypt). Lista de comprobación del despliegue:</w:t>
      </w:r>
    </w:p>
    <w:p>
      <w:pPr>
        <w:pStyle w:val="ListParagraph"/>
        <w:numPr>
          <w:ilvl w:val="0"/>
          <w:numId w:val="2"/>
        </w:numPr>
        <w:spacing w:after="80" w:line="280"/>
        <w:jc w:val="both"/>
      </w:pPr>
      <w:r>
        <w:rPr>
          <w:rFonts w:ascii="Times New Roman" w:cs="Times New Roman" w:eastAsia="Times New Roman" w:hAnsi="Times New Roman"/>
          <w:sz w:val="24"/>
          <w:szCs w:val="24"/>
        </w:rPr>
        <w:t xml:space="preserve">Variables de entorno de producción: NEXTAUTH_URL con el dominio real, NEXTAUTH_SECRET propio, credenciales de base de datos, RESEND_API_KEY y EMAIL_FROM de un dominio verificado.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Cambiar la contraseña de la cuenta de administración inicial y dar de alta las cuentas reales (Configuración, con la cuenta SUPER_ADMIN).</w:t>
      </w:r>
    </w:p>
    <w:p>
      <w:pPr>
        <w:pStyle w:val="ListParagraph"/>
        <w:numPr>
          <w:ilvl w:val="0"/>
          <w:numId w:val="2"/>
        </w:numPr>
        <w:spacing w:after="80" w:line="280"/>
        <w:jc w:val="both"/>
      </w:pPr>
      <w:r>
        <w:rPr>
          <w:rFonts w:ascii="Times New Roman" w:cs="Times New Roman" w:eastAsia="Times New Roman" w:hAnsi="Times New Roman"/>
          <w:sz w:val="24"/>
          <w:szCs w:val="24"/>
        </w:rPr>
        <w:t xml:space="preserve">npm run build y arranque del contenedor de la aplicación; base de datos con db:push + seed + scripts de datos (C.4.5) o restauración de un volcado.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Copiar los datos que no viajan con git: public/uploads (imágenes migradas y subidas), storage/ (documentos internos) y el volcado de la base de datos. Estos tres conjuntos forman también la copia de seguridad periódica.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Verificar tras el arranque: envío real de un enlace de acceso y del formulario de contacto, navegación /en, robots y sitemap con el dominio real y redirecciones de la web antigua.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Opcional: solicitar al CPD los registros DNS para un remitente de correo propio de la web.</w:t>
      </w:r>
    </w:p>
    <w:sectPr>
      <w:footerReference w:type="default" r:id="rId7"/>
      <w:footerReference w:type="first" r:id="rId8"/>
      <w:pgSz w:w="11906" w:h="16838" w:orient="portrait"/>
      <w:pgMar w:top="1418" w:right="1418"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ba6c4027794b6c833e50d01723f8cc1d4097b2.png"/><Relationship Id="rId10" Type="http://schemas.openxmlformats.org/officeDocument/2006/relationships/image" Target="media/1f956a1682194ab152b4748e655463f92c2af5b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2026-09-10T07:36:49.932Z</dcterms:created>
  <dcterms:modified xsi:type="dcterms:W3CDTF">2026-09-10T07:36:49.933Z</dcterms:modified>
</cp:coreProperties>
</file>

<file path=docProps/custom.xml><?xml version="1.0" encoding="utf-8"?>
<Properties xmlns="http://schemas.openxmlformats.org/officeDocument/2006/custom-properties" xmlns:vt="http://schemas.openxmlformats.org/officeDocument/2006/docPropsVTypes"/>
</file>