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</w:t>
      </w:r>
      <w:proofErr w:type="spellStart"/>
      <w:r>
        <w:rPr>
          <w:rStyle w:val="ZkladntextChar"/>
          <w:rFonts w:eastAsiaTheme="majorEastAsia"/>
        </w:rPr>
        <w:t>Hajdík</w:t>
      </w:r>
      <w:proofErr w:type="spellEnd"/>
      <w:r>
        <w:rPr>
          <w:rStyle w:val="ZkladntextChar"/>
          <w:rFonts w:eastAsiaTheme="majorEastAsia"/>
        </w:rPr>
        <w:t xml:space="preserve">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lastRenderedPageBreak/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lastRenderedPageBreak/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 xml:space="preserve">. U často používaných surovin, by společnost </w:t>
      </w:r>
      <w:proofErr w:type="spellStart"/>
      <w:r>
        <w:t>HaKiRa</w:t>
      </w:r>
      <w:proofErr w:type="spellEnd"/>
      <w:r>
        <w:t xml:space="preserve">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6AFC1D12" w14:textId="79CED704" w:rsidR="00F729E7" w:rsidRPr="00816BBA" w:rsidRDefault="00816BBA" w:rsidP="00F729E7">
      <w:r w:rsidRPr="00B85EFB">
        <w:t xml:space="preserve">Firma chce implementovat </w:t>
      </w:r>
      <w:proofErr w:type="spellStart"/>
      <w:r w:rsidRPr="00816BBA">
        <w:t>Brewing</w:t>
      </w:r>
      <w:proofErr w:type="spellEnd"/>
      <w:r w:rsidRPr="00816BBA">
        <w:t xml:space="preserve"> and </w:t>
      </w:r>
      <w:proofErr w:type="spellStart"/>
      <w:r w:rsidRPr="00816BBA">
        <w:t>Distilling</w:t>
      </w:r>
      <w:proofErr w:type="spellEnd"/>
      <w:r w:rsidRPr="00816BBA">
        <w:t xml:space="preserve"> </w:t>
      </w:r>
      <w:proofErr w:type="spellStart"/>
      <w:r w:rsidRPr="00816BBA">
        <w:t>Analytical</w:t>
      </w:r>
      <w:proofErr w:type="spellEnd"/>
      <w:r w:rsidRPr="00816BBA">
        <w:t xml:space="preserve">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proofErr w:type="spellStart"/>
      <w:r w:rsidR="00F729E7" w:rsidRPr="00816BBA">
        <w:t>StillDragon</w:t>
      </w:r>
      <w:proofErr w:type="spellEnd"/>
      <w:r w:rsidR="00F729E7" w:rsidRPr="00816BBA">
        <w:t xml:space="preserve">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lastRenderedPageBreak/>
        <w:t>Poslední částí je systém</w:t>
      </w:r>
      <w:r w:rsidR="00902528" w:rsidRPr="00902528">
        <w:t xml:space="preserve"> pro správu receptur </w:t>
      </w:r>
      <w:proofErr w:type="spellStart"/>
      <w:r w:rsidR="00902528" w:rsidRPr="00902528">
        <w:t>SpecPDM</w:t>
      </w:r>
      <w:proofErr w:type="spellEnd"/>
      <w:r w:rsidR="00902528" w:rsidRPr="00902528">
        <w:t xml:space="preserve">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r>
        <w:t>Kontrola kvality</w:t>
      </w:r>
      <w:r w:rsidR="00485A0D" w:rsidRPr="00485A0D">
        <w:t xml:space="preserve"> </w:t>
      </w:r>
      <w:r w:rsidR="00485A0D">
        <w:t>a l</w:t>
      </w:r>
      <w:r w:rsidR="00485A0D">
        <w:t>egislativa</w:t>
      </w:r>
    </w:p>
    <w:p w14:paraId="325380C8" w14:textId="7BB2FE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v zahrnut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47041B7A" w14:textId="0CBDF6D2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proofErr w:type="spellStart"/>
      <w:r w:rsidR="00424CDB">
        <w:t>odkliknutí</w:t>
      </w:r>
      <w:proofErr w:type="spellEnd"/>
      <w:r w:rsidR="00424CDB">
        <w:t xml:space="preserve"> odešle zákazníkovy e-mail.</w:t>
      </w:r>
    </w:p>
    <w:p w14:paraId="6263A8E9" w14:textId="186308EF" w:rsidR="00540238" w:rsidRDefault="002C66E0" w:rsidP="00540238">
      <w:pPr>
        <w:pStyle w:val="Nadpis2"/>
      </w:pPr>
      <w:r>
        <w:t>Zákaznický servis</w:t>
      </w:r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t>Zaměstnanci</w:t>
      </w:r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6D8A30D3" w:rsidR="00654CC4" w:rsidRPr="00654CC4" w:rsidRDefault="00A138B6" w:rsidP="00654CC4">
      <w:pPr>
        <w:pStyle w:val="Nadpis1"/>
      </w:pPr>
      <w:bookmarkStart w:id="5" w:name="_Toc182475694"/>
      <w:r>
        <w:lastRenderedPageBreak/>
        <w:t>Implementace</w:t>
      </w:r>
      <w:bookmarkEnd w:id="5"/>
    </w:p>
    <w:p w14:paraId="40B34B40" w14:textId="2EE3C259" w:rsidR="00E65A12" w:rsidRDefault="00834C73" w:rsidP="005B3F70">
      <w:pPr>
        <w:pStyle w:val="Nadpis1"/>
      </w:pPr>
      <w:bookmarkStart w:id="6" w:name="_Toc182475695"/>
      <w:r>
        <w:t>Shrnutí a závěr</w:t>
      </w:r>
      <w:bookmarkEnd w:id="6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97EF1" w14:textId="77777777" w:rsidR="003E1EE3" w:rsidRDefault="003E1EE3" w:rsidP="00D53064">
      <w:pPr>
        <w:spacing w:after="0" w:line="240" w:lineRule="auto"/>
      </w:pPr>
      <w:r>
        <w:separator/>
      </w:r>
    </w:p>
  </w:endnote>
  <w:endnote w:type="continuationSeparator" w:id="0">
    <w:p w14:paraId="32ED7B24" w14:textId="77777777" w:rsidR="003E1EE3" w:rsidRDefault="003E1EE3" w:rsidP="00D53064">
      <w:pPr>
        <w:spacing w:after="0" w:line="240" w:lineRule="auto"/>
      </w:pPr>
      <w:r>
        <w:continuationSeparator/>
      </w:r>
    </w:p>
  </w:endnote>
  <w:endnote w:type="continuationNotice" w:id="1">
    <w:p w14:paraId="37FC0811" w14:textId="77777777" w:rsidR="003E1EE3" w:rsidRDefault="003E1E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AF5B9" w14:textId="77777777" w:rsidR="003E1EE3" w:rsidRDefault="003E1EE3" w:rsidP="00D53064">
      <w:pPr>
        <w:spacing w:after="0" w:line="240" w:lineRule="auto"/>
      </w:pPr>
      <w:r>
        <w:separator/>
      </w:r>
    </w:p>
  </w:footnote>
  <w:footnote w:type="continuationSeparator" w:id="0">
    <w:p w14:paraId="56B957A1" w14:textId="77777777" w:rsidR="003E1EE3" w:rsidRDefault="003E1EE3" w:rsidP="00D53064">
      <w:pPr>
        <w:spacing w:after="0" w:line="240" w:lineRule="auto"/>
      </w:pPr>
      <w:r>
        <w:continuationSeparator/>
      </w:r>
    </w:p>
  </w:footnote>
  <w:footnote w:type="continuationNotice" w:id="1">
    <w:p w14:paraId="49FD0DD8" w14:textId="77777777" w:rsidR="003E1EE3" w:rsidRDefault="003E1E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D98"/>
    <w:rsid w:val="003F73A8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6CE9"/>
    <w:rsid w:val="00770729"/>
    <w:rsid w:val="00775150"/>
    <w:rsid w:val="00775C44"/>
    <w:rsid w:val="007804A2"/>
    <w:rsid w:val="00786F0C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1160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16</cp:revision>
  <dcterms:created xsi:type="dcterms:W3CDTF">2024-11-16T21:00:00Z</dcterms:created>
  <dcterms:modified xsi:type="dcterms:W3CDTF">2024-11-27T15:35:00Z</dcterms:modified>
</cp:coreProperties>
</file>