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928A3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 xml:space="preserve">Efficiency = </w:t>
      </w:r>
      <w:r w:rsidRPr="00235B4C">
        <w:rPr>
          <w:sz w:val="32"/>
          <w:szCs w:val="32"/>
          <w:u w:val="single"/>
          <w:lang w:val="en-GB"/>
        </w:rPr>
        <w:t>Actual Output</w:t>
      </w:r>
      <w:r w:rsidRPr="00235B4C">
        <w:rPr>
          <w:sz w:val="32"/>
          <w:szCs w:val="32"/>
          <w:lang w:val="en-GB"/>
        </w:rPr>
        <w:t xml:space="preserve">     × 100%</w:t>
      </w:r>
    </w:p>
    <w:p w14:paraId="75F8B5BA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ab/>
      </w:r>
      <w:r w:rsidRPr="00235B4C">
        <w:rPr>
          <w:sz w:val="32"/>
          <w:szCs w:val="32"/>
          <w:lang w:val="en-GB"/>
        </w:rPr>
        <w:tab/>
        <w:t xml:space="preserve">   Effective Capacity</w:t>
      </w:r>
    </w:p>
    <w:p w14:paraId="61608978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 xml:space="preserve">Utilization = </w:t>
      </w:r>
      <w:r w:rsidRPr="00235B4C">
        <w:rPr>
          <w:sz w:val="32"/>
          <w:szCs w:val="32"/>
          <w:u w:val="single"/>
          <w:lang w:val="en-GB"/>
        </w:rPr>
        <w:t>Actual Output</w:t>
      </w:r>
      <w:r w:rsidRPr="00235B4C">
        <w:rPr>
          <w:sz w:val="32"/>
          <w:szCs w:val="32"/>
          <w:lang w:val="en-GB"/>
        </w:rPr>
        <w:t xml:space="preserve">     × 100%</w:t>
      </w:r>
    </w:p>
    <w:p w14:paraId="4F86A5D2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ab/>
      </w:r>
      <w:r w:rsidRPr="00235B4C">
        <w:rPr>
          <w:sz w:val="32"/>
          <w:szCs w:val="32"/>
          <w:lang w:val="en-GB"/>
        </w:rPr>
        <w:tab/>
        <w:t xml:space="preserve">     Design Capacity</w:t>
      </w:r>
    </w:p>
    <w:p w14:paraId="5A6AC28B" w14:textId="7B945256" w:rsidR="00B50783" w:rsidRDefault="00235B4C" w:rsidP="00235B4C">
      <w:pPr>
        <w:rPr>
          <w:i/>
          <w:iCs/>
          <w:sz w:val="32"/>
          <w:szCs w:val="32"/>
          <w:lang w:val="en-GB"/>
        </w:rPr>
      </w:pPr>
      <w:r w:rsidRPr="00235B4C">
        <w:rPr>
          <w:i/>
          <w:iCs/>
          <w:sz w:val="32"/>
          <w:szCs w:val="32"/>
          <w:lang w:val="en-GB"/>
        </w:rPr>
        <w:t>Both measures are expressed as percentages</w:t>
      </w:r>
    </w:p>
    <w:p w14:paraId="7C703044" w14:textId="77777777" w:rsidR="00235B4C" w:rsidRDefault="00235B4C" w:rsidP="00235B4C">
      <w:pPr>
        <w:rPr>
          <w:i/>
          <w:iCs/>
          <w:sz w:val="32"/>
          <w:szCs w:val="32"/>
          <w:lang w:val="en-GB"/>
        </w:rPr>
      </w:pPr>
    </w:p>
    <w:p w14:paraId="2B6FDDBD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>Given the following information, compute the efficiency and utilization of the vehicle repair department:</w:t>
      </w:r>
    </w:p>
    <w:p w14:paraId="7D9A57FA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 xml:space="preserve">Design capacity = 50 trucks per day </w:t>
      </w:r>
    </w:p>
    <w:p w14:paraId="252E0B22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 xml:space="preserve">Effective capacity = 40 trucks per day </w:t>
      </w:r>
    </w:p>
    <w:p w14:paraId="726DCDD2" w14:textId="77777777" w:rsidR="00235B4C" w:rsidRPr="00235B4C" w:rsidRDefault="00235B4C" w:rsidP="00235B4C">
      <w:pPr>
        <w:rPr>
          <w:sz w:val="32"/>
          <w:szCs w:val="32"/>
        </w:rPr>
      </w:pPr>
      <w:r w:rsidRPr="00235B4C">
        <w:rPr>
          <w:sz w:val="32"/>
          <w:szCs w:val="32"/>
          <w:lang w:val="en-GB"/>
        </w:rPr>
        <w:t>Actual output = 36 trucks per day</w:t>
      </w:r>
    </w:p>
    <w:p w14:paraId="3C726852" w14:textId="77777777" w:rsidR="00235B4C" w:rsidRDefault="00235B4C" w:rsidP="00235B4C">
      <w:pPr>
        <w:rPr>
          <w:sz w:val="32"/>
          <w:szCs w:val="32"/>
        </w:rPr>
      </w:pPr>
    </w:p>
    <w:p w14:paraId="179165D5" w14:textId="1503577B" w:rsidR="00235B4C" w:rsidRDefault="00235B4C" w:rsidP="00235B4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3FB7FD" wp14:editId="3DBF2FB6">
            <wp:extent cx="5943600" cy="1174115"/>
            <wp:effectExtent l="0" t="0" r="0" b="6985"/>
            <wp:docPr id="6" name="Picture 5" descr="Diagram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DB53B7B-9975-EC6D-0D52-72EEC19C72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DB53B7B-9975-EC6D-0D52-72EEC19C72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30698" w14:textId="77777777" w:rsidR="00235B4C" w:rsidRDefault="00235B4C" w:rsidP="00235B4C">
      <w:pPr>
        <w:rPr>
          <w:sz w:val="32"/>
          <w:szCs w:val="32"/>
        </w:rPr>
      </w:pPr>
    </w:p>
    <w:p w14:paraId="42F26329" w14:textId="77777777" w:rsidR="00235B4C" w:rsidRDefault="00235B4C" w:rsidP="00235B4C">
      <w:pPr>
        <w:rPr>
          <w:sz w:val="32"/>
          <w:szCs w:val="32"/>
        </w:rPr>
      </w:pPr>
    </w:p>
    <w:p w14:paraId="6FA150D0" w14:textId="77777777" w:rsidR="009D4E05" w:rsidRDefault="009D4E05" w:rsidP="00235B4C">
      <w:pPr>
        <w:rPr>
          <w:sz w:val="32"/>
          <w:szCs w:val="32"/>
        </w:rPr>
      </w:pPr>
    </w:p>
    <w:p w14:paraId="735BA1E3" w14:textId="77777777" w:rsidR="009D4E05" w:rsidRDefault="009D4E05" w:rsidP="00235B4C">
      <w:pPr>
        <w:rPr>
          <w:sz w:val="32"/>
          <w:szCs w:val="32"/>
        </w:rPr>
      </w:pPr>
    </w:p>
    <w:p w14:paraId="49432140" w14:textId="77777777" w:rsidR="009D4E05" w:rsidRDefault="009D4E05" w:rsidP="00235B4C">
      <w:pPr>
        <w:rPr>
          <w:sz w:val="32"/>
          <w:szCs w:val="32"/>
        </w:rPr>
      </w:pPr>
    </w:p>
    <w:p w14:paraId="7BDB50D8" w14:textId="77777777" w:rsidR="009D4E05" w:rsidRDefault="009D4E05" w:rsidP="00235B4C">
      <w:pPr>
        <w:rPr>
          <w:noProof/>
        </w:rPr>
      </w:pPr>
    </w:p>
    <w:p w14:paraId="0C2B9873" w14:textId="77777777" w:rsidR="009D4E05" w:rsidRDefault="009D4E05" w:rsidP="00235B4C">
      <w:pPr>
        <w:rPr>
          <w:noProof/>
        </w:rPr>
      </w:pPr>
    </w:p>
    <w:p w14:paraId="0C8C52A9" w14:textId="77777777" w:rsidR="009D4E05" w:rsidRDefault="009D4E05" w:rsidP="00235B4C">
      <w:pPr>
        <w:rPr>
          <w:noProof/>
        </w:rPr>
      </w:pPr>
    </w:p>
    <w:p w14:paraId="21D6CE3B" w14:textId="7F842BAC" w:rsidR="00235B4C" w:rsidRDefault="00235B4C" w:rsidP="00235B4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A1EF91" wp14:editId="484668B5">
            <wp:extent cx="6787490" cy="3829565"/>
            <wp:effectExtent l="0" t="0" r="0" b="0"/>
            <wp:docPr id="10" name="Picture 9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2F884CC-47DC-3F03-1797-460DA0B25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E2F884CC-47DC-3F03-1797-460DA0B25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2340" cy="38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23B4" w14:textId="77777777" w:rsidR="009D4E05" w:rsidRDefault="009D4E05" w:rsidP="00235B4C">
      <w:pPr>
        <w:rPr>
          <w:sz w:val="32"/>
          <w:szCs w:val="32"/>
        </w:rPr>
      </w:pPr>
    </w:p>
    <w:p w14:paraId="5993C3DD" w14:textId="77777777" w:rsidR="009D4E05" w:rsidRDefault="009D4E05" w:rsidP="00235B4C">
      <w:pPr>
        <w:rPr>
          <w:sz w:val="32"/>
          <w:szCs w:val="32"/>
        </w:rPr>
      </w:pPr>
    </w:p>
    <w:p w14:paraId="6F95F674" w14:textId="77777777" w:rsidR="000E441A" w:rsidRDefault="000E441A" w:rsidP="00235B4C">
      <w:pPr>
        <w:rPr>
          <w:sz w:val="32"/>
          <w:szCs w:val="32"/>
          <w:lang w:val="en-GB"/>
        </w:rPr>
      </w:pPr>
    </w:p>
    <w:p w14:paraId="551A20FE" w14:textId="77777777" w:rsidR="000E441A" w:rsidRDefault="000E441A" w:rsidP="00235B4C">
      <w:pPr>
        <w:rPr>
          <w:sz w:val="32"/>
          <w:szCs w:val="32"/>
          <w:lang w:val="en-GB"/>
        </w:rPr>
      </w:pPr>
    </w:p>
    <w:p w14:paraId="09074E56" w14:textId="77777777" w:rsidR="000E441A" w:rsidRDefault="000E441A" w:rsidP="00235B4C">
      <w:pPr>
        <w:rPr>
          <w:sz w:val="32"/>
          <w:szCs w:val="32"/>
          <w:lang w:val="en-GB"/>
        </w:rPr>
      </w:pPr>
    </w:p>
    <w:p w14:paraId="6E09F501" w14:textId="77777777" w:rsidR="000E441A" w:rsidRDefault="000E441A" w:rsidP="00235B4C">
      <w:pPr>
        <w:rPr>
          <w:sz w:val="32"/>
          <w:szCs w:val="32"/>
          <w:lang w:val="en-GB"/>
        </w:rPr>
      </w:pPr>
    </w:p>
    <w:p w14:paraId="69F85D2F" w14:textId="77777777" w:rsidR="000E441A" w:rsidRDefault="000E441A" w:rsidP="00235B4C">
      <w:pPr>
        <w:rPr>
          <w:sz w:val="32"/>
          <w:szCs w:val="32"/>
          <w:lang w:val="en-GB"/>
        </w:rPr>
      </w:pPr>
    </w:p>
    <w:p w14:paraId="5C02381D" w14:textId="77777777" w:rsidR="000E441A" w:rsidRDefault="000E441A" w:rsidP="00235B4C">
      <w:pPr>
        <w:rPr>
          <w:sz w:val="32"/>
          <w:szCs w:val="32"/>
          <w:lang w:val="en-GB"/>
        </w:rPr>
      </w:pPr>
    </w:p>
    <w:p w14:paraId="297178CE" w14:textId="77777777" w:rsidR="000E441A" w:rsidRDefault="000E441A" w:rsidP="00235B4C">
      <w:pPr>
        <w:rPr>
          <w:sz w:val="32"/>
          <w:szCs w:val="32"/>
          <w:lang w:val="en-GB"/>
        </w:rPr>
      </w:pPr>
    </w:p>
    <w:p w14:paraId="4AE5FE1C" w14:textId="77777777" w:rsidR="000E441A" w:rsidRDefault="000E441A" w:rsidP="00235B4C">
      <w:pPr>
        <w:rPr>
          <w:sz w:val="32"/>
          <w:szCs w:val="32"/>
          <w:lang w:val="en-GB"/>
        </w:rPr>
      </w:pPr>
    </w:p>
    <w:p w14:paraId="181DB7D4" w14:textId="77777777" w:rsidR="000E441A" w:rsidRDefault="000E441A" w:rsidP="00235B4C">
      <w:pPr>
        <w:rPr>
          <w:sz w:val="32"/>
          <w:szCs w:val="32"/>
          <w:lang w:val="en-GB"/>
        </w:rPr>
      </w:pPr>
    </w:p>
    <w:p w14:paraId="366D51DA" w14:textId="745265F1" w:rsidR="009D4E05" w:rsidRDefault="009D4E05" w:rsidP="00235B4C">
      <w:pPr>
        <w:rPr>
          <w:sz w:val="32"/>
          <w:szCs w:val="32"/>
          <w:lang w:val="en-GB"/>
        </w:rPr>
      </w:pPr>
      <w:r w:rsidRPr="009D4E05">
        <w:rPr>
          <w:sz w:val="32"/>
          <w:szCs w:val="32"/>
          <w:lang w:val="en-GB"/>
        </w:rPr>
        <w:lastRenderedPageBreak/>
        <w:t>Cost-Volume Analysis</w:t>
      </w:r>
    </w:p>
    <w:p w14:paraId="20B24D0F" w14:textId="5AF78F5A" w:rsidR="00B440AA" w:rsidRPr="00B440AA" w:rsidRDefault="00B440AA" w:rsidP="00B440AA">
      <w:pPr>
        <w:rPr>
          <w:sz w:val="32"/>
          <w:szCs w:val="32"/>
        </w:rPr>
      </w:pPr>
      <w:r w:rsidRPr="00B440AA">
        <w:rPr>
          <w:sz w:val="32"/>
          <w:szCs w:val="32"/>
          <w:lang w:val="en-GB"/>
        </w:rPr>
        <w:t>The total cost associated with a given volume of output is equal to the sum of the fixed cost and the variable cost per unit times volume:</w:t>
      </w:r>
    </w:p>
    <w:p w14:paraId="734300FA" w14:textId="77777777" w:rsidR="00B440AA" w:rsidRPr="00B440AA" w:rsidRDefault="00B440AA" w:rsidP="00B440AA">
      <w:pPr>
        <w:rPr>
          <w:sz w:val="32"/>
          <w:szCs w:val="32"/>
        </w:rPr>
      </w:pPr>
      <w:r w:rsidRPr="00B440AA">
        <w:rPr>
          <w:b/>
          <w:bCs/>
          <w:sz w:val="32"/>
          <w:szCs w:val="32"/>
          <w:lang w:val="en-GB"/>
        </w:rPr>
        <w:t>TC = FC + VC</w:t>
      </w:r>
    </w:p>
    <w:p w14:paraId="6C89706D" w14:textId="77777777" w:rsidR="00B440AA" w:rsidRPr="00B440AA" w:rsidRDefault="00B440AA" w:rsidP="00B440AA">
      <w:pPr>
        <w:rPr>
          <w:sz w:val="32"/>
          <w:szCs w:val="32"/>
        </w:rPr>
      </w:pPr>
      <w:r w:rsidRPr="00B440AA">
        <w:rPr>
          <w:b/>
          <w:bCs/>
          <w:sz w:val="32"/>
          <w:szCs w:val="32"/>
          <w:lang w:val="en-GB"/>
        </w:rPr>
        <w:t xml:space="preserve">VC = </w:t>
      </w:r>
      <w:r w:rsidRPr="00B440AA">
        <w:rPr>
          <w:b/>
          <w:bCs/>
          <w:i/>
          <w:iCs/>
          <w:sz w:val="32"/>
          <w:szCs w:val="32"/>
          <w:lang w:val="en-GB"/>
        </w:rPr>
        <w:t>Q</w:t>
      </w:r>
      <w:r w:rsidRPr="00B440AA">
        <w:rPr>
          <w:b/>
          <w:bCs/>
          <w:sz w:val="32"/>
          <w:szCs w:val="32"/>
          <w:lang w:val="en-GB"/>
        </w:rPr>
        <w:t xml:space="preserve"> × </w:t>
      </w:r>
      <w:r w:rsidRPr="00B440AA">
        <w:rPr>
          <w:b/>
          <w:bCs/>
          <w:i/>
          <w:iCs/>
          <w:sz w:val="32"/>
          <w:szCs w:val="32"/>
          <w:lang w:val="en-GB"/>
        </w:rPr>
        <w:t>v</w:t>
      </w:r>
    </w:p>
    <w:p w14:paraId="6FAAFE4E" w14:textId="77777777" w:rsidR="00B440AA" w:rsidRPr="00B440AA" w:rsidRDefault="00B440AA" w:rsidP="00B440AA">
      <w:pPr>
        <w:rPr>
          <w:sz w:val="32"/>
          <w:szCs w:val="32"/>
        </w:rPr>
      </w:pPr>
      <w:r w:rsidRPr="00B440AA">
        <w:rPr>
          <w:sz w:val="32"/>
          <w:szCs w:val="32"/>
          <w:lang w:val="en-GB"/>
        </w:rPr>
        <w:t>where v = variable cost per unit</w:t>
      </w:r>
    </w:p>
    <w:p w14:paraId="7DB7ACBC" w14:textId="77777777" w:rsidR="000E441A" w:rsidRDefault="000E441A" w:rsidP="00B440AA">
      <w:pPr>
        <w:rPr>
          <w:b/>
          <w:bCs/>
          <w:sz w:val="32"/>
          <w:szCs w:val="32"/>
          <w:lang w:val="en-GB"/>
        </w:rPr>
      </w:pPr>
    </w:p>
    <w:p w14:paraId="75EE62F0" w14:textId="26D7FE96" w:rsidR="00B440AA" w:rsidRPr="00B440AA" w:rsidRDefault="00B440AA" w:rsidP="00B440AA">
      <w:pPr>
        <w:rPr>
          <w:sz w:val="32"/>
          <w:szCs w:val="32"/>
        </w:rPr>
      </w:pPr>
      <w:r w:rsidRPr="00B440AA">
        <w:rPr>
          <w:sz w:val="32"/>
          <w:szCs w:val="32"/>
          <w:lang w:val="en-GB"/>
        </w:rPr>
        <w:t>Revenue per unit, like variable cost per unit, is assumed to be the same regardless of the quantity of output.</w:t>
      </w:r>
    </w:p>
    <w:p w14:paraId="55569296" w14:textId="26FF5A44" w:rsidR="00B440AA" w:rsidRPr="00B440AA" w:rsidRDefault="00B440AA" w:rsidP="00B440AA">
      <w:pPr>
        <w:rPr>
          <w:sz w:val="32"/>
          <w:szCs w:val="32"/>
        </w:rPr>
      </w:pPr>
      <w:r w:rsidRPr="00B440AA">
        <w:rPr>
          <w:sz w:val="32"/>
          <w:szCs w:val="32"/>
          <w:lang w:val="en-GB"/>
        </w:rPr>
        <w:t xml:space="preserve">Total revenue will have a linear relationship to output, as illustrated in Figure 5.6B. </w:t>
      </w:r>
    </w:p>
    <w:p w14:paraId="76C27E77" w14:textId="77777777" w:rsidR="009D4E05" w:rsidRDefault="009D4E05" w:rsidP="00235B4C">
      <w:pPr>
        <w:rPr>
          <w:sz w:val="32"/>
          <w:szCs w:val="32"/>
          <w:lang w:val="en-GB"/>
        </w:rPr>
      </w:pPr>
    </w:p>
    <w:p w14:paraId="533AB9E7" w14:textId="09ACDE85" w:rsidR="00B440AA" w:rsidRPr="00B440AA" w:rsidRDefault="00B440AA" w:rsidP="00B440AA">
      <w:pPr>
        <w:rPr>
          <w:sz w:val="32"/>
          <w:szCs w:val="32"/>
        </w:rPr>
      </w:pPr>
      <w:r w:rsidRPr="00B440AA">
        <w:rPr>
          <w:sz w:val="32"/>
          <w:szCs w:val="32"/>
          <w:lang w:val="en-GB"/>
        </w:rPr>
        <w:t xml:space="preserve">The total revenue associated with a given quantity of output, Q, </w:t>
      </w:r>
      <w:proofErr w:type="gramStart"/>
      <w:r w:rsidRPr="00B440AA">
        <w:rPr>
          <w:sz w:val="32"/>
          <w:szCs w:val="32"/>
          <w:lang w:val="en-GB"/>
        </w:rPr>
        <w:t>is</w:t>
      </w:r>
      <w:proofErr w:type="gramEnd"/>
    </w:p>
    <w:p w14:paraId="0EFABF1E" w14:textId="77777777" w:rsidR="00B440AA" w:rsidRDefault="00B440AA" w:rsidP="00B440AA">
      <w:pPr>
        <w:rPr>
          <w:b/>
          <w:bCs/>
          <w:sz w:val="32"/>
          <w:szCs w:val="32"/>
          <w:lang w:val="en-GB"/>
        </w:rPr>
      </w:pPr>
      <w:r w:rsidRPr="00B440AA">
        <w:rPr>
          <w:b/>
          <w:bCs/>
          <w:sz w:val="32"/>
          <w:szCs w:val="32"/>
          <w:lang w:val="en-GB"/>
        </w:rPr>
        <w:t>TR = R × Q</w:t>
      </w:r>
    </w:p>
    <w:p w14:paraId="3BCE04C5" w14:textId="51C62B5E" w:rsidR="001C17BC" w:rsidRPr="001C17BC" w:rsidRDefault="001C17BC" w:rsidP="001C17BC">
      <w:pPr>
        <w:rPr>
          <w:sz w:val="32"/>
          <w:szCs w:val="32"/>
        </w:rPr>
      </w:pPr>
      <w:r w:rsidRPr="001C17BC">
        <w:rPr>
          <w:sz w:val="32"/>
          <w:szCs w:val="32"/>
          <w:lang w:val="en-GB"/>
        </w:rPr>
        <w:t xml:space="preserve">Total profit can be computed using the </w:t>
      </w:r>
      <w:r w:rsidR="00195B2E" w:rsidRPr="001C17BC">
        <w:rPr>
          <w:sz w:val="32"/>
          <w:szCs w:val="32"/>
          <w:lang w:val="en-GB"/>
        </w:rPr>
        <w:t>formula.</w:t>
      </w:r>
    </w:p>
    <w:p w14:paraId="0BA0EB16" w14:textId="2739F1A2" w:rsidR="00205819" w:rsidRDefault="001C17BC" w:rsidP="00205819">
      <w:pPr>
        <w:rPr>
          <w:b/>
          <w:bCs/>
          <w:sz w:val="32"/>
          <w:szCs w:val="32"/>
          <w:lang w:val="en-GB"/>
        </w:rPr>
      </w:pPr>
      <w:r w:rsidRPr="001C17BC">
        <w:rPr>
          <w:b/>
          <w:bCs/>
          <w:sz w:val="32"/>
          <w:szCs w:val="32"/>
          <w:lang w:val="en-GB"/>
        </w:rPr>
        <w:t xml:space="preserve">P = TR − TC </w:t>
      </w:r>
    </w:p>
    <w:p w14:paraId="6999C2FE" w14:textId="3E1A2241" w:rsidR="001C17BC" w:rsidRPr="001C17BC" w:rsidRDefault="001C17BC" w:rsidP="00205819">
      <w:pPr>
        <w:rPr>
          <w:b/>
          <w:bCs/>
          <w:sz w:val="32"/>
          <w:szCs w:val="32"/>
          <w:lang w:val="en-GB"/>
        </w:rPr>
      </w:pPr>
      <w:r w:rsidRPr="001C17BC">
        <w:rPr>
          <w:sz w:val="32"/>
          <w:szCs w:val="32"/>
          <w:lang w:val="en-GB"/>
        </w:rPr>
        <w:t xml:space="preserve">= </w:t>
      </w:r>
      <w:r w:rsidRPr="001C17BC">
        <w:rPr>
          <w:b/>
          <w:bCs/>
          <w:sz w:val="32"/>
          <w:szCs w:val="32"/>
          <w:lang w:val="en-GB"/>
        </w:rPr>
        <w:t>R × Q −</w:t>
      </w:r>
      <w:r w:rsidRPr="001C17BC">
        <w:rPr>
          <w:sz w:val="32"/>
          <w:szCs w:val="32"/>
          <w:lang w:val="en-GB"/>
        </w:rPr>
        <w:t xml:space="preserve"> </w:t>
      </w:r>
      <w:r w:rsidRPr="001C17BC">
        <w:rPr>
          <w:b/>
          <w:bCs/>
          <w:sz w:val="32"/>
          <w:szCs w:val="32"/>
          <w:lang w:val="en-GB"/>
        </w:rPr>
        <w:t xml:space="preserve">(FC + v × Q) </w:t>
      </w:r>
    </w:p>
    <w:p w14:paraId="4ADA8AC6" w14:textId="77777777" w:rsidR="001C17BC" w:rsidRPr="001C17BC" w:rsidRDefault="001C17BC" w:rsidP="001C17BC">
      <w:pPr>
        <w:rPr>
          <w:sz w:val="32"/>
          <w:szCs w:val="32"/>
        </w:rPr>
      </w:pPr>
      <w:r w:rsidRPr="001C17BC">
        <w:rPr>
          <w:sz w:val="32"/>
          <w:szCs w:val="32"/>
          <w:lang w:val="en-GB"/>
        </w:rPr>
        <w:t>Rearranging terms, we have</w:t>
      </w:r>
    </w:p>
    <w:p w14:paraId="3D0ABB7A" w14:textId="77777777" w:rsidR="001C17BC" w:rsidRPr="001C17BC" w:rsidRDefault="001C17BC" w:rsidP="001C17BC">
      <w:pPr>
        <w:rPr>
          <w:b/>
          <w:bCs/>
          <w:sz w:val="32"/>
          <w:szCs w:val="32"/>
        </w:rPr>
      </w:pPr>
      <w:r w:rsidRPr="001C17BC">
        <w:rPr>
          <w:b/>
          <w:bCs/>
          <w:sz w:val="32"/>
          <w:szCs w:val="32"/>
          <w:lang w:val="en-GB"/>
        </w:rPr>
        <w:t xml:space="preserve">P = </w:t>
      </w:r>
      <w:proofErr w:type="gramStart"/>
      <w:r w:rsidRPr="001C17BC">
        <w:rPr>
          <w:b/>
          <w:bCs/>
          <w:sz w:val="32"/>
          <w:szCs w:val="32"/>
          <w:lang w:val="en-GB"/>
        </w:rPr>
        <w:t>Q(</w:t>
      </w:r>
      <w:proofErr w:type="gramEnd"/>
      <w:r w:rsidRPr="001C17BC">
        <w:rPr>
          <w:b/>
          <w:bCs/>
          <w:sz w:val="32"/>
          <w:szCs w:val="32"/>
          <w:lang w:val="en-GB"/>
        </w:rPr>
        <w:t xml:space="preserve">R − v) − FC </w:t>
      </w:r>
    </w:p>
    <w:p w14:paraId="5FC70039" w14:textId="77777777" w:rsidR="001C17BC" w:rsidRPr="001C17BC" w:rsidRDefault="001C17BC" w:rsidP="001C17BC">
      <w:pPr>
        <w:rPr>
          <w:sz w:val="32"/>
          <w:szCs w:val="32"/>
        </w:rPr>
      </w:pPr>
      <w:r w:rsidRPr="001C17BC">
        <w:rPr>
          <w:sz w:val="32"/>
          <w:szCs w:val="32"/>
          <w:lang w:val="en-GB"/>
        </w:rPr>
        <w:t xml:space="preserve">The difference between revenue per unit and variable cost per unit, </w:t>
      </w:r>
    </w:p>
    <w:p w14:paraId="706080CB" w14:textId="77777777" w:rsidR="001C17BC" w:rsidRPr="001C17BC" w:rsidRDefault="001C17BC" w:rsidP="001C17BC">
      <w:pPr>
        <w:rPr>
          <w:sz w:val="32"/>
          <w:szCs w:val="32"/>
        </w:rPr>
      </w:pPr>
      <w:r w:rsidRPr="001C17BC">
        <w:rPr>
          <w:sz w:val="32"/>
          <w:szCs w:val="32"/>
          <w:lang w:val="en-GB"/>
        </w:rPr>
        <w:t xml:space="preserve">R − v, is known as the </w:t>
      </w:r>
      <w:r w:rsidRPr="001C17BC">
        <w:rPr>
          <w:b/>
          <w:bCs/>
          <w:sz w:val="32"/>
          <w:szCs w:val="32"/>
          <w:lang w:val="en-GB"/>
        </w:rPr>
        <w:t>contribution margin</w:t>
      </w:r>
      <w:r w:rsidRPr="001C17BC">
        <w:rPr>
          <w:sz w:val="32"/>
          <w:szCs w:val="32"/>
          <w:lang w:val="en-GB"/>
        </w:rPr>
        <w:t>.</w:t>
      </w:r>
    </w:p>
    <w:p w14:paraId="3684A2A1" w14:textId="77777777" w:rsidR="000E441A" w:rsidRDefault="000E441A" w:rsidP="00620B15">
      <w:pPr>
        <w:rPr>
          <w:sz w:val="32"/>
          <w:szCs w:val="32"/>
        </w:rPr>
      </w:pPr>
    </w:p>
    <w:p w14:paraId="67A53305" w14:textId="77777777" w:rsidR="00AD16E9" w:rsidRDefault="00AD16E9" w:rsidP="00AD16E9">
      <w:pPr>
        <w:rPr>
          <w:sz w:val="32"/>
          <w:szCs w:val="32"/>
          <w:lang w:val="en-GB"/>
        </w:rPr>
      </w:pPr>
    </w:p>
    <w:p w14:paraId="41C4DA6F" w14:textId="44FE3788" w:rsidR="00AD16E9" w:rsidRPr="00AD16E9" w:rsidRDefault="00AD16E9" w:rsidP="00AD16E9">
      <w:pPr>
        <w:rPr>
          <w:sz w:val="32"/>
          <w:szCs w:val="32"/>
        </w:rPr>
      </w:pPr>
      <w:r w:rsidRPr="00AD16E9">
        <w:rPr>
          <w:sz w:val="32"/>
          <w:szCs w:val="32"/>
          <w:lang w:val="en-GB"/>
        </w:rPr>
        <w:lastRenderedPageBreak/>
        <w:t xml:space="preserve">The required volume, Q, needed to generate a specified profit </w:t>
      </w:r>
      <w:proofErr w:type="gramStart"/>
      <w:r w:rsidRPr="00AD16E9">
        <w:rPr>
          <w:sz w:val="32"/>
          <w:szCs w:val="32"/>
          <w:lang w:val="en-GB"/>
        </w:rPr>
        <w:t>is</w:t>
      </w:r>
      <w:proofErr w:type="gramEnd"/>
    </w:p>
    <w:p w14:paraId="37FC9A75" w14:textId="77777777" w:rsidR="00AD16E9" w:rsidRPr="00AD16E9" w:rsidRDefault="00AD16E9" w:rsidP="00AD16E9">
      <w:pPr>
        <w:rPr>
          <w:sz w:val="32"/>
          <w:szCs w:val="32"/>
        </w:rPr>
      </w:pPr>
      <w:r w:rsidRPr="00AD16E9">
        <w:rPr>
          <w:b/>
          <w:bCs/>
          <w:sz w:val="32"/>
          <w:szCs w:val="32"/>
          <w:lang w:val="en-GB"/>
        </w:rPr>
        <w:t xml:space="preserve">Q = </w:t>
      </w:r>
      <w:r w:rsidRPr="00AD16E9">
        <w:rPr>
          <w:b/>
          <w:bCs/>
          <w:sz w:val="32"/>
          <w:szCs w:val="32"/>
          <w:u w:val="single"/>
          <w:lang w:val="en-GB"/>
        </w:rPr>
        <w:t>P + FC</w:t>
      </w:r>
    </w:p>
    <w:p w14:paraId="70BE54F1" w14:textId="77777777" w:rsidR="00AD16E9" w:rsidRPr="00AD16E9" w:rsidRDefault="00AD16E9" w:rsidP="00AD16E9">
      <w:pPr>
        <w:rPr>
          <w:sz w:val="32"/>
          <w:szCs w:val="32"/>
        </w:rPr>
      </w:pPr>
      <w:r w:rsidRPr="00AD16E9">
        <w:rPr>
          <w:b/>
          <w:bCs/>
          <w:sz w:val="32"/>
          <w:szCs w:val="32"/>
          <w:lang w:val="en-GB"/>
        </w:rPr>
        <w:t xml:space="preserve">         R−v</w:t>
      </w:r>
    </w:p>
    <w:p w14:paraId="50CD849B" w14:textId="77777777" w:rsidR="00AD16E9" w:rsidRPr="00AD16E9" w:rsidRDefault="00AD16E9" w:rsidP="00AD16E9">
      <w:pPr>
        <w:rPr>
          <w:sz w:val="32"/>
          <w:szCs w:val="32"/>
        </w:rPr>
      </w:pPr>
      <w:r w:rsidRPr="00AD16E9">
        <w:rPr>
          <w:sz w:val="32"/>
          <w:szCs w:val="32"/>
          <w:lang w:val="en-GB"/>
        </w:rPr>
        <w:t>A special case of this is the volume of output needed for total revenue to equal total cost.</w:t>
      </w:r>
    </w:p>
    <w:p w14:paraId="77650D3D" w14:textId="77777777" w:rsidR="00AD16E9" w:rsidRPr="00AD16E9" w:rsidRDefault="00AD16E9" w:rsidP="00AD16E9">
      <w:pPr>
        <w:rPr>
          <w:sz w:val="32"/>
          <w:szCs w:val="32"/>
        </w:rPr>
      </w:pPr>
      <w:r w:rsidRPr="00AD16E9">
        <w:rPr>
          <w:sz w:val="32"/>
          <w:szCs w:val="32"/>
          <w:lang w:val="en-GB"/>
        </w:rPr>
        <w:t xml:space="preserve">This is the break-even point, computed using the </w:t>
      </w:r>
      <w:proofErr w:type="gramStart"/>
      <w:r w:rsidRPr="00AD16E9">
        <w:rPr>
          <w:sz w:val="32"/>
          <w:szCs w:val="32"/>
          <w:lang w:val="en-GB"/>
        </w:rPr>
        <w:t>formula</w:t>
      </w:r>
      <w:proofErr w:type="gramEnd"/>
    </w:p>
    <w:p w14:paraId="7AB9E2AE" w14:textId="77777777" w:rsidR="00AD16E9" w:rsidRPr="00AD16E9" w:rsidRDefault="00AD16E9" w:rsidP="00AD16E9">
      <w:pPr>
        <w:rPr>
          <w:sz w:val="32"/>
          <w:szCs w:val="32"/>
        </w:rPr>
      </w:pPr>
      <w:r w:rsidRPr="00AD16E9">
        <w:rPr>
          <w:b/>
          <w:bCs/>
          <w:sz w:val="32"/>
          <w:szCs w:val="32"/>
          <w:lang w:val="en-GB"/>
        </w:rPr>
        <w:t>Q</w:t>
      </w:r>
      <w:r w:rsidRPr="00AD16E9">
        <w:rPr>
          <w:b/>
          <w:bCs/>
          <w:sz w:val="32"/>
          <w:szCs w:val="32"/>
          <w:vertAlign w:val="subscript"/>
          <w:lang w:val="en-GB"/>
        </w:rPr>
        <w:t>BEP</w:t>
      </w:r>
      <w:r w:rsidRPr="00AD16E9">
        <w:rPr>
          <w:b/>
          <w:bCs/>
          <w:sz w:val="32"/>
          <w:szCs w:val="32"/>
          <w:lang w:val="en-GB"/>
        </w:rPr>
        <w:t xml:space="preserve"> </w:t>
      </w:r>
      <w:proofErr w:type="gramStart"/>
      <w:r w:rsidRPr="00AD16E9">
        <w:rPr>
          <w:b/>
          <w:bCs/>
          <w:sz w:val="32"/>
          <w:szCs w:val="32"/>
          <w:lang w:val="en-GB"/>
        </w:rPr>
        <w:t xml:space="preserve">=  </w:t>
      </w:r>
      <w:r w:rsidRPr="00AD16E9">
        <w:rPr>
          <w:b/>
          <w:bCs/>
          <w:sz w:val="32"/>
          <w:szCs w:val="32"/>
          <w:u w:val="single"/>
          <w:lang w:val="en-GB"/>
        </w:rPr>
        <w:t>FC</w:t>
      </w:r>
      <w:proofErr w:type="gramEnd"/>
    </w:p>
    <w:p w14:paraId="483A216D" w14:textId="77777777" w:rsidR="00AD16E9" w:rsidRDefault="00AD16E9" w:rsidP="00AD16E9">
      <w:pPr>
        <w:rPr>
          <w:b/>
          <w:bCs/>
          <w:sz w:val="32"/>
          <w:szCs w:val="32"/>
          <w:lang w:val="en-GB"/>
        </w:rPr>
      </w:pPr>
      <w:r w:rsidRPr="00AD16E9">
        <w:rPr>
          <w:b/>
          <w:bCs/>
          <w:sz w:val="32"/>
          <w:szCs w:val="32"/>
          <w:lang w:val="en-GB"/>
        </w:rPr>
        <w:t xml:space="preserve">            R−v</w:t>
      </w:r>
    </w:p>
    <w:p w14:paraId="2294FED1" w14:textId="77777777" w:rsidR="00026708" w:rsidRDefault="00026708" w:rsidP="00AD16E9">
      <w:pPr>
        <w:rPr>
          <w:b/>
          <w:bCs/>
          <w:sz w:val="32"/>
          <w:szCs w:val="32"/>
          <w:lang w:val="en-GB"/>
        </w:rPr>
      </w:pPr>
    </w:p>
    <w:p w14:paraId="2CFA4D57" w14:textId="2809FC73" w:rsidR="00026708" w:rsidRPr="00AD16E9" w:rsidRDefault="00026708" w:rsidP="00AD16E9">
      <w:pPr>
        <w:rPr>
          <w:sz w:val="32"/>
          <w:szCs w:val="32"/>
        </w:rPr>
      </w:pPr>
      <w:r>
        <w:rPr>
          <w:b/>
          <w:bCs/>
          <w:sz w:val="32"/>
          <w:szCs w:val="32"/>
          <w:lang w:val="en-GB"/>
        </w:rPr>
        <w:t>MATHS ARE LEFT FROM THIS CHAPTER</w:t>
      </w:r>
    </w:p>
    <w:p w14:paraId="0CDD06A1" w14:textId="77777777" w:rsidR="000E441A" w:rsidRDefault="000E441A" w:rsidP="00620B15">
      <w:pPr>
        <w:rPr>
          <w:sz w:val="32"/>
          <w:szCs w:val="32"/>
        </w:rPr>
      </w:pPr>
    </w:p>
    <w:p w14:paraId="6077B517" w14:textId="195FD78D" w:rsidR="00620B15" w:rsidRPr="00620B15" w:rsidRDefault="00620B15" w:rsidP="00620B15">
      <w:pPr>
        <w:rPr>
          <w:b/>
          <w:bCs/>
          <w:sz w:val="32"/>
          <w:szCs w:val="32"/>
        </w:rPr>
      </w:pPr>
      <w:r w:rsidRPr="00620B15">
        <w:rPr>
          <w:b/>
          <w:bCs/>
          <w:sz w:val="32"/>
          <w:szCs w:val="32"/>
        </w:rPr>
        <w:t>Annual Holding Cost</w:t>
      </w:r>
      <w:r w:rsidRPr="00A110DD">
        <w:rPr>
          <w:b/>
          <w:bCs/>
          <w:sz w:val="32"/>
          <w:szCs w:val="32"/>
        </w:rPr>
        <w:t xml:space="preserve"> </w:t>
      </w:r>
      <w:r w:rsidRPr="00620B15">
        <w:rPr>
          <w:b/>
          <w:bCs/>
          <w:sz w:val="32"/>
          <w:szCs w:val="32"/>
        </w:rPr>
        <w:t>=</w:t>
      </w:r>
      <w:r w:rsidRPr="00A110DD">
        <w:rPr>
          <w:b/>
          <w:bCs/>
          <w:sz w:val="32"/>
          <w:szCs w:val="32"/>
        </w:rPr>
        <w:t xml:space="preserve"> </w:t>
      </w:r>
      <w:r w:rsidRPr="00620B15">
        <w:rPr>
          <w:b/>
          <w:bCs/>
          <w:sz w:val="32"/>
          <w:szCs w:val="32"/>
        </w:rPr>
        <w:t xml:space="preserve">(Average cycle </w:t>
      </w:r>
      <w:r w:rsidRPr="00A110DD">
        <w:rPr>
          <w:b/>
          <w:bCs/>
          <w:sz w:val="32"/>
          <w:szCs w:val="32"/>
        </w:rPr>
        <w:t>inventory) (</w:t>
      </w:r>
      <w:r w:rsidRPr="00620B15">
        <w:rPr>
          <w:b/>
          <w:bCs/>
          <w:sz w:val="32"/>
          <w:szCs w:val="32"/>
        </w:rPr>
        <w:t>Unit Holding Cost)</w:t>
      </w:r>
    </w:p>
    <w:p w14:paraId="6BF77B74" w14:textId="6FCC6949" w:rsidR="009D4E05" w:rsidRPr="00A110DD" w:rsidRDefault="00620B15" w:rsidP="00620B15">
      <w:pPr>
        <w:rPr>
          <w:b/>
          <w:bCs/>
          <w:sz w:val="32"/>
          <w:szCs w:val="32"/>
        </w:rPr>
      </w:pPr>
      <w:r w:rsidRPr="00620B15">
        <w:rPr>
          <w:b/>
          <w:bCs/>
          <w:sz w:val="32"/>
          <w:szCs w:val="32"/>
        </w:rPr>
        <w:t>Annual Ordering Cost</w:t>
      </w:r>
      <w:r w:rsidRPr="00A110DD">
        <w:rPr>
          <w:b/>
          <w:bCs/>
          <w:sz w:val="32"/>
          <w:szCs w:val="32"/>
        </w:rPr>
        <w:t xml:space="preserve"> </w:t>
      </w:r>
      <w:r w:rsidRPr="00620B15">
        <w:rPr>
          <w:b/>
          <w:bCs/>
          <w:sz w:val="32"/>
          <w:szCs w:val="32"/>
        </w:rPr>
        <w:t>=</w:t>
      </w:r>
      <w:r w:rsidRPr="00A110DD">
        <w:rPr>
          <w:b/>
          <w:bCs/>
          <w:sz w:val="32"/>
          <w:szCs w:val="32"/>
        </w:rPr>
        <w:t xml:space="preserve"> </w:t>
      </w:r>
      <w:r w:rsidRPr="00620B15">
        <w:rPr>
          <w:b/>
          <w:bCs/>
          <w:sz w:val="32"/>
          <w:szCs w:val="32"/>
        </w:rPr>
        <w:t>(No of orders/</w:t>
      </w:r>
      <w:r w:rsidRPr="00A110DD">
        <w:rPr>
          <w:b/>
          <w:bCs/>
          <w:sz w:val="32"/>
          <w:szCs w:val="32"/>
        </w:rPr>
        <w:t>year) (</w:t>
      </w:r>
      <w:r w:rsidRPr="00620B15">
        <w:rPr>
          <w:b/>
          <w:bCs/>
          <w:sz w:val="32"/>
          <w:szCs w:val="32"/>
        </w:rPr>
        <w:t>Ordering or setup cost per order)</w:t>
      </w:r>
    </w:p>
    <w:p w14:paraId="761BE92A" w14:textId="77777777" w:rsidR="00620B15" w:rsidRPr="00620B15" w:rsidRDefault="00620B15" w:rsidP="00620B15">
      <w:pPr>
        <w:rPr>
          <w:b/>
          <w:bCs/>
          <w:sz w:val="32"/>
          <w:szCs w:val="32"/>
        </w:rPr>
      </w:pPr>
      <w:r w:rsidRPr="00620B15">
        <w:rPr>
          <w:b/>
          <w:bCs/>
          <w:sz w:val="32"/>
          <w:szCs w:val="32"/>
        </w:rPr>
        <w:t>Total Cost= Annual Holding Cost+ Annual Ordering Cost</w:t>
      </w:r>
    </w:p>
    <w:p w14:paraId="27CCED64" w14:textId="77777777" w:rsidR="00620B15" w:rsidRPr="00620B15" w:rsidRDefault="00620B15" w:rsidP="00A110DD">
      <w:pPr>
        <w:rPr>
          <w:sz w:val="32"/>
          <w:szCs w:val="32"/>
        </w:rPr>
      </w:pPr>
      <w:r w:rsidRPr="00620B15">
        <w:rPr>
          <w:b/>
          <w:bCs/>
          <w:sz w:val="32"/>
          <w:szCs w:val="32"/>
        </w:rPr>
        <w:t>C=Q/2 (H)+D/Q (S)</w:t>
      </w:r>
    </w:p>
    <w:p w14:paraId="7BBBD5FD" w14:textId="77777777" w:rsidR="00620B15" w:rsidRPr="00620B15" w:rsidRDefault="00620B15" w:rsidP="00620B15">
      <w:pPr>
        <w:numPr>
          <w:ilvl w:val="0"/>
          <w:numId w:val="1"/>
        </w:numPr>
        <w:rPr>
          <w:sz w:val="32"/>
          <w:szCs w:val="32"/>
        </w:rPr>
      </w:pPr>
      <w:r w:rsidRPr="00620B15">
        <w:rPr>
          <w:sz w:val="32"/>
          <w:szCs w:val="32"/>
        </w:rPr>
        <w:t>C=total Annual Cost</w:t>
      </w:r>
    </w:p>
    <w:p w14:paraId="700D41BE" w14:textId="77777777" w:rsidR="00620B15" w:rsidRPr="00620B15" w:rsidRDefault="00620B15" w:rsidP="00620B15">
      <w:pPr>
        <w:numPr>
          <w:ilvl w:val="0"/>
          <w:numId w:val="1"/>
        </w:numPr>
        <w:rPr>
          <w:sz w:val="32"/>
          <w:szCs w:val="32"/>
        </w:rPr>
      </w:pPr>
      <w:r w:rsidRPr="00620B15">
        <w:rPr>
          <w:sz w:val="32"/>
          <w:szCs w:val="32"/>
        </w:rPr>
        <w:t xml:space="preserve">Q=Lot size </w:t>
      </w:r>
    </w:p>
    <w:p w14:paraId="47A01986" w14:textId="77777777" w:rsidR="00620B15" w:rsidRPr="00620B15" w:rsidRDefault="00620B15" w:rsidP="00620B15">
      <w:pPr>
        <w:numPr>
          <w:ilvl w:val="0"/>
          <w:numId w:val="1"/>
        </w:numPr>
        <w:rPr>
          <w:sz w:val="32"/>
          <w:szCs w:val="32"/>
        </w:rPr>
      </w:pPr>
      <w:r w:rsidRPr="00620B15">
        <w:rPr>
          <w:sz w:val="32"/>
          <w:szCs w:val="32"/>
        </w:rPr>
        <w:t>H=Unit Holding Cost</w:t>
      </w:r>
    </w:p>
    <w:p w14:paraId="63FFFB20" w14:textId="77777777" w:rsidR="00620B15" w:rsidRPr="00620B15" w:rsidRDefault="00620B15" w:rsidP="00620B15">
      <w:pPr>
        <w:numPr>
          <w:ilvl w:val="0"/>
          <w:numId w:val="1"/>
        </w:numPr>
        <w:rPr>
          <w:sz w:val="32"/>
          <w:szCs w:val="32"/>
        </w:rPr>
      </w:pPr>
      <w:r w:rsidRPr="00620B15">
        <w:rPr>
          <w:sz w:val="32"/>
          <w:szCs w:val="32"/>
        </w:rPr>
        <w:t>D=Annual demand</w:t>
      </w:r>
    </w:p>
    <w:p w14:paraId="07DA4E9D" w14:textId="1E44D03A" w:rsidR="00620B15" w:rsidRDefault="00620B15" w:rsidP="00235B4C">
      <w:pPr>
        <w:numPr>
          <w:ilvl w:val="0"/>
          <w:numId w:val="1"/>
        </w:numPr>
        <w:rPr>
          <w:sz w:val="32"/>
          <w:szCs w:val="32"/>
        </w:rPr>
      </w:pPr>
      <w:r w:rsidRPr="00620B15">
        <w:rPr>
          <w:sz w:val="32"/>
          <w:szCs w:val="32"/>
        </w:rPr>
        <w:t>S=Setup cost per order</w:t>
      </w:r>
    </w:p>
    <w:p w14:paraId="1276DF35" w14:textId="2E92DB34" w:rsidR="00A110DD" w:rsidRPr="00A110DD" w:rsidRDefault="00A110DD" w:rsidP="00A110DD">
      <w:pPr>
        <w:rPr>
          <w:b/>
          <w:bCs/>
          <w:sz w:val="32"/>
          <w:szCs w:val="32"/>
        </w:rPr>
      </w:pPr>
      <w:r w:rsidRPr="00A110DD">
        <w:rPr>
          <w:b/>
          <w:bCs/>
          <w:sz w:val="32"/>
          <w:szCs w:val="32"/>
        </w:rPr>
        <w:t>Ordering Frequency = AD/Q</w:t>
      </w:r>
    </w:p>
    <w:p w14:paraId="3DDA8A62" w14:textId="77777777" w:rsidR="004A64DF" w:rsidRDefault="00A110DD" w:rsidP="004A64DF">
      <w:pPr>
        <w:rPr>
          <w:b/>
          <w:bCs/>
          <w:sz w:val="32"/>
          <w:szCs w:val="32"/>
        </w:rPr>
      </w:pPr>
      <w:r w:rsidRPr="00A110DD">
        <w:rPr>
          <w:b/>
          <w:bCs/>
          <w:sz w:val="32"/>
          <w:szCs w:val="32"/>
        </w:rPr>
        <w:t xml:space="preserve">Order Interval = Time/ </w:t>
      </w:r>
      <w:r w:rsidRPr="00A110DD">
        <w:rPr>
          <w:b/>
          <w:bCs/>
          <w:sz w:val="32"/>
          <w:szCs w:val="32"/>
        </w:rPr>
        <w:t>Ordering Frequency</w:t>
      </w:r>
    </w:p>
    <w:p w14:paraId="623008C0" w14:textId="11928A91" w:rsidR="00620B15" w:rsidRPr="004A64DF" w:rsidRDefault="00620B15" w:rsidP="004A64DF">
      <w:pPr>
        <w:rPr>
          <w:b/>
          <w:bCs/>
          <w:sz w:val="32"/>
          <w:szCs w:val="32"/>
        </w:rPr>
      </w:pPr>
      <w:r w:rsidRPr="00620B15">
        <w:rPr>
          <w:sz w:val="32"/>
          <w:szCs w:val="32"/>
        </w:rPr>
        <w:lastRenderedPageBreak/>
        <w:t>EOQ = sqrt((2DS)/H)</w:t>
      </w:r>
    </w:p>
    <w:p w14:paraId="4F9E9202" w14:textId="297E6EDA" w:rsidR="00620B15" w:rsidRPr="00620B15" w:rsidRDefault="00620B15" w:rsidP="00620B1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One of the top-selling items in the container group at a museum’s gift shop is a bird feeder. Sales are 18 units per week and the supplier changes Tk60 per unit. The cost of placing an order is </w:t>
      </w:r>
      <w:proofErr w:type="spellStart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tk</w:t>
      </w:r>
      <w:proofErr w:type="spellEnd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45. Annual holding cost is 25% of a feeder’s value and the museum operates 52 weeks per year. Management chose a </w:t>
      </w:r>
      <w:r w:rsidR="00195B2E"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390-unit</w:t>
      </w: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lot size so that new orders could be placed less frequently. Identify EOQ. Determine annual cost of the current lot size of 390 units? Determine annual cost considering the EOQ?</w:t>
      </w:r>
    </w:p>
    <w:p w14:paraId="17B1EFAE" w14:textId="77777777" w:rsid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21F2E3E" w14:textId="77777777" w:rsid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90F4014" w14:textId="77777777" w:rsid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15436DD" w14:textId="013DC084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 identify EOQ, we can use the formula:</w:t>
      </w:r>
    </w:p>
    <w:p w14:paraId="66C9717B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EOQ = sqrt((2DS)/H)</w:t>
      </w:r>
    </w:p>
    <w:p w14:paraId="59137A89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Where: D = annual demand = 18 units per week x 52 weeks = 936 units per year S = cost per order = Tk45 H = holding cost as a percentage of the item's value = 25% of Tk60 = Tk15</w:t>
      </w:r>
    </w:p>
    <w:p w14:paraId="5B50C777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Plugging in the values:</w:t>
      </w:r>
    </w:p>
    <w:p w14:paraId="4500F713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EOQ = </w:t>
      </w:r>
      <w:proofErr w:type="gramStart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sqrt(</w:t>
      </w:r>
      <w:proofErr w:type="gramEnd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(2 x 936 x 45)/15) = sqrt(56160) = 237 units (rounded to the nearest whole number)</w:t>
      </w:r>
    </w:p>
    <w:p w14:paraId="51135B62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Therefore, the EOQ for the bird feeder is 237 units.</w:t>
      </w:r>
    </w:p>
    <w:p w14:paraId="6EA5A361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 determine the annual cost of the current lot size of 390 units, we can use the formula:</w:t>
      </w:r>
    </w:p>
    <w:p w14:paraId="6379A5D7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Total Cost = Ordering Cost + Holding Cost</w:t>
      </w:r>
    </w:p>
    <w:p w14:paraId="4CDC0EA2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Ordering Cost = (D/Q) x S Holding Cost = (Q/2) x H</w:t>
      </w:r>
    </w:p>
    <w:p w14:paraId="312A3B6A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Where: Q = lot size = 390 units</w:t>
      </w:r>
    </w:p>
    <w:p w14:paraId="3C360DD3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Plugging in the values:</w:t>
      </w:r>
    </w:p>
    <w:p w14:paraId="00BD39F6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Ordering Cost = (936/390) x 45 = Tk108.46 (rounded to the nearest whole number) Holding Cost = (390/2) x 15% x Tk60 = Tk1,755</w:t>
      </w:r>
    </w:p>
    <w:p w14:paraId="766551D4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Total Cost = Tk108.46 + Tk1,755 = Tk1,863.46 (rounded to the nearest whole number)</w:t>
      </w:r>
    </w:p>
    <w:p w14:paraId="28012C74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Therefore, the annual cost of the current lot size of 390 units is Tk1,863.46.</w:t>
      </w:r>
    </w:p>
    <w:p w14:paraId="50131583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 determine the annual cost considering the EOQ, we can use the same formulas but with the EOQ value:</w:t>
      </w:r>
    </w:p>
    <w:p w14:paraId="072D2559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Ordering Cost = (936/237) x 45 = Tk177.08 (rounded to the nearest whole number) Holding Cost = (237/2) x 15% x Tk60 = Tk533.25</w:t>
      </w:r>
    </w:p>
    <w:p w14:paraId="69FE8A3E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Total Cost = Tk177.08 + Tk533.25 = Tk710.33 (rounded to the nearest whole number)</w:t>
      </w:r>
    </w:p>
    <w:p w14:paraId="650A4E3A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Therefore, the annual cost considering the EOQ of 237 units is Tk710.33.</w:t>
      </w:r>
    </w:p>
    <w:p w14:paraId="576801E0" w14:textId="317CAAEB" w:rsidR="00620B15" w:rsidRPr="00620B15" w:rsidRDefault="00620B15" w:rsidP="00620B1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noProof/>
          <w:kern w:val="0"/>
          <w:sz w:val="32"/>
          <w:szCs w:val="32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7585C8E0" wp14:editId="69350138">
                <wp:extent cx="308610" cy="308610"/>
                <wp:effectExtent l="0" t="0" r="0" b="0"/>
                <wp:docPr id="172912838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040F50" id="Rectangle 4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620B15">
        <w:rPr>
          <w:rFonts w:ascii="Times New Roman" w:eastAsia="Times New Roman" w:hAnsi="Times New Roman" w:cs="Times New Roman"/>
          <w:noProof/>
          <w:kern w:val="0"/>
          <w:sz w:val="32"/>
          <w:szCs w:val="32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28781F47" wp14:editId="66BA40D0">
                <wp:extent cx="308610" cy="308610"/>
                <wp:effectExtent l="0" t="0" r="0" b="0"/>
                <wp:docPr id="1371886032" name="Rectangle 3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92F13" id="Rectangle 3" o:spid="_x0000_s1026" alt="User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C1CE36A" w14:textId="77777777" w:rsidR="00620B15" w:rsidRPr="00620B15" w:rsidRDefault="00620B15" w:rsidP="00620B1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One of the top-selling items in the container group at a museum’s gift shop is a bird feeder. Sales are 29 units per week and the supplier charges Tk60 per unit. The cost of placing an order is </w:t>
      </w:r>
      <w:proofErr w:type="spellStart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tk</w:t>
      </w:r>
      <w:proofErr w:type="spellEnd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65. </w:t>
      </w:r>
      <w:proofErr w:type="gramStart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Annual</w:t>
      </w:r>
      <w:proofErr w:type="gramEnd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holding cost is 15% of a feeder’s value and the museum operates 52 weeks per year. Management chose a </w:t>
      </w:r>
      <w:proofErr w:type="gramStart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490 unit</w:t>
      </w:r>
      <w:proofErr w:type="gramEnd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lot size so that new orders could be placed less frequently. Identify EOQ. Determine annual cost of the current lot size of 490 units? Determine annual cost considering the EOQ? </w:t>
      </w:r>
    </w:p>
    <w:p w14:paraId="2A1F815F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 identify EOQ, we can use the formula:</w:t>
      </w:r>
    </w:p>
    <w:p w14:paraId="15B2D648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EOQ = sqrt((2DS)/H)</w:t>
      </w:r>
    </w:p>
    <w:p w14:paraId="08D3478D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Where: D = annual demand = 29 units per week x 52 weeks = 1,508 units per year S = cost per order = Tk65 H = holding cost as a percentage of the item's value = 15% of Tk60 = Tk9</w:t>
      </w:r>
    </w:p>
    <w:p w14:paraId="2C6C92F6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Plugging in the values:</w:t>
      </w:r>
    </w:p>
    <w:p w14:paraId="5C4EBDAF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EOQ = </w:t>
      </w:r>
      <w:proofErr w:type="gramStart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sqrt(</w:t>
      </w:r>
      <w:proofErr w:type="gramEnd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(2 x 1,508 x 65)/9) = sqrt(144,740) = 380 units (rounded to the nearest whole number)</w:t>
      </w:r>
    </w:p>
    <w:p w14:paraId="53CFC601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Therefore, the EOQ for the bird feeder is 380 units.</w:t>
      </w:r>
    </w:p>
    <w:p w14:paraId="64EBEFA0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 determine the annual cost of the current lot size of 490 units, we can use the formula:</w:t>
      </w:r>
    </w:p>
    <w:p w14:paraId="4A54B01B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Total Cost = Ordering Cost + Holding Cost</w:t>
      </w:r>
    </w:p>
    <w:p w14:paraId="2DF4D3A0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Ordering Cost = (D/Q) x S Holding Cost = (Q/2) x H</w:t>
      </w:r>
    </w:p>
    <w:p w14:paraId="24677678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Where: Q = lot size = 490 units</w:t>
      </w:r>
    </w:p>
    <w:p w14:paraId="3038AF2A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Plugging in the values:</w:t>
      </w:r>
    </w:p>
    <w:p w14:paraId="09A4A25F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Ordering Cost = (1,508/490) x 65 = Tk199.39 (rounded to the nearest whole number) Holding Cost = (490/2) x 15% x Tk60 = Tk1,755</w:t>
      </w:r>
    </w:p>
    <w:p w14:paraId="0BF5CE43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Total Cost = Tk199.39 + Tk1,755 = Tk1,954.39 (rounded to the nearest whole number)</w:t>
      </w:r>
    </w:p>
    <w:p w14:paraId="6FF69935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Therefore, the annual cost of the current lot size of 490 units is Tk1,954.39.</w:t>
      </w:r>
    </w:p>
    <w:p w14:paraId="62608149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 determine the annual cost considering the EOQ, we can use the same formulas but with the EOQ value:</w:t>
      </w:r>
    </w:p>
    <w:p w14:paraId="2B4CB140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Ordering Cost = (1,508/380) x 65 = Tk258.42 (rounded to the nearest whole number) Holding Cost = (380/2) x 15% x Tk60 = Tk1,710</w:t>
      </w:r>
    </w:p>
    <w:p w14:paraId="3838B506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Total Cost = Tk258.42 + Tk1,710 = Tk1,968.42 (rounded to the nearest whole number)</w:t>
      </w:r>
    </w:p>
    <w:p w14:paraId="728579AC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Therefore, the annual cost considering the EOQ of 380 units is Tk1,968.42.</w:t>
      </w:r>
    </w:p>
    <w:p w14:paraId="0599BB2B" w14:textId="358FC448" w:rsidR="00620B15" w:rsidRPr="00620B15" w:rsidRDefault="00620B15" w:rsidP="00620B1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noProof/>
          <w:kern w:val="0"/>
          <w:sz w:val="32"/>
          <w:szCs w:val="32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 wp14:anchorId="2354C1D5" wp14:editId="3FBFC93E">
                <wp:extent cx="308610" cy="308610"/>
                <wp:effectExtent l="0" t="0" r="0" b="0"/>
                <wp:docPr id="1014469825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BDBDD" id="Rectangle 2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5AE0183" w14:textId="77777777" w:rsidR="00620B15" w:rsidRPr="00620B15" w:rsidRDefault="00620B15" w:rsidP="00620B1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One of the top-selling items in the container group at a museum’s gift shop is a bird feeder. Sales are 18 units per week and the supplier charges Tk60 per unit. The cost of placing an order is </w:t>
      </w:r>
      <w:proofErr w:type="spellStart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tk</w:t>
      </w:r>
      <w:proofErr w:type="spellEnd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45. Annual holding cost is 25% of a feeder’s value and the museum operates 52 weeks per year. Management chose a </w:t>
      </w:r>
      <w:proofErr w:type="gramStart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390 unit</w:t>
      </w:r>
      <w:proofErr w:type="gramEnd"/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lot size so that new orders could be placed less frequently. What is the annual cost of the current lot size of 390 units? Would a lot size of 468 be better? </w:t>
      </w:r>
    </w:p>
    <w:p w14:paraId="67C934C4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 annual cost of the current lot size of 390 units is Tk1,863.46, as calculated in the previous question.</w:t>
      </w:r>
    </w:p>
    <w:p w14:paraId="2CFA358C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 determine if a lot size of 468 units would be better, we can calculate the total cost using the same formula:</w:t>
      </w:r>
    </w:p>
    <w:p w14:paraId="15E4F662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Total Cost = Ordering Cost + Holding Cost</w:t>
      </w:r>
    </w:p>
    <w:p w14:paraId="0BCCBBC3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Ordering Cost = (D/Q) x S Holding Cost = (Q/2) x H</w:t>
      </w:r>
    </w:p>
    <w:p w14:paraId="484BD71F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Where: D = annual demand = 18 units per week x 52 weeks = 936 units per year S = cost per order = Tk45 H = holding cost as a percentage of the item's value = 25% of Tk60 = Tk15</w:t>
      </w:r>
    </w:p>
    <w:p w14:paraId="20888B58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For a lot size of 468 units: Ordering Cost = (936/468) x 45 = Tk90 Holding Cost = (468/2) x 25% x Tk60 = Tk7,020</w:t>
      </w:r>
    </w:p>
    <w:p w14:paraId="31566298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Total Cost = Tk90 + Tk7,020 = Tk7,110</w:t>
      </w:r>
    </w:p>
    <w:p w14:paraId="5A1140D3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Therefore, the annual cost of a lot size of 468 units is Tk7,110.</w:t>
      </w:r>
    </w:p>
    <w:p w14:paraId="62F0D629" w14:textId="77777777" w:rsidR="00620B15" w:rsidRPr="00620B15" w:rsidRDefault="00620B15" w:rsidP="00620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20B15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Comparing this to the current lot size of 390 units, the lot size of 468 units has a higher total cost, so it would not be better. Therefore, the museum should stick with the current lot size of 390 units.</w:t>
      </w:r>
    </w:p>
    <w:p w14:paraId="2C6CCA9A" w14:textId="77777777" w:rsidR="00620B15" w:rsidRDefault="00620B15" w:rsidP="00235B4C">
      <w:pPr>
        <w:rPr>
          <w:sz w:val="32"/>
          <w:szCs w:val="32"/>
        </w:rPr>
      </w:pPr>
    </w:p>
    <w:p w14:paraId="55CCFA68" w14:textId="77777777" w:rsidR="001E1131" w:rsidRDefault="001E1131" w:rsidP="00235B4C">
      <w:pPr>
        <w:rPr>
          <w:sz w:val="32"/>
          <w:szCs w:val="32"/>
        </w:rPr>
      </w:pPr>
    </w:p>
    <w:p w14:paraId="697A5422" w14:textId="77777777" w:rsidR="001E1131" w:rsidRDefault="001E1131" w:rsidP="00235B4C">
      <w:pPr>
        <w:rPr>
          <w:sz w:val="32"/>
          <w:szCs w:val="32"/>
        </w:rPr>
      </w:pPr>
    </w:p>
    <w:p w14:paraId="6AA2E44B" w14:textId="77777777" w:rsidR="001E1131" w:rsidRDefault="001E1131" w:rsidP="00235B4C">
      <w:pPr>
        <w:rPr>
          <w:sz w:val="32"/>
          <w:szCs w:val="32"/>
        </w:rPr>
      </w:pPr>
    </w:p>
    <w:p w14:paraId="22E009B6" w14:textId="77777777" w:rsidR="001E1131" w:rsidRDefault="001E1131" w:rsidP="00235B4C">
      <w:pPr>
        <w:rPr>
          <w:sz w:val="32"/>
          <w:szCs w:val="32"/>
        </w:rPr>
      </w:pPr>
    </w:p>
    <w:p w14:paraId="6AFC72EB" w14:textId="77777777" w:rsidR="001E1131" w:rsidRDefault="001E1131" w:rsidP="00235B4C">
      <w:pPr>
        <w:rPr>
          <w:sz w:val="32"/>
          <w:szCs w:val="32"/>
        </w:rPr>
      </w:pPr>
    </w:p>
    <w:p w14:paraId="75906EA3" w14:textId="03ACBCA5" w:rsidR="0056697F" w:rsidRDefault="0056697F" w:rsidP="00235B4C">
      <w:pPr>
        <w:rPr>
          <w:sz w:val="32"/>
          <w:szCs w:val="32"/>
        </w:rPr>
      </w:pPr>
      <w:r>
        <w:rPr>
          <w:sz w:val="32"/>
          <w:szCs w:val="32"/>
        </w:rPr>
        <w:t>True/False</w:t>
      </w:r>
    </w:p>
    <w:p w14:paraId="0F1CB996" w14:textId="77777777" w:rsidR="001E1131" w:rsidRDefault="001E1131" w:rsidP="00235B4C">
      <w:pPr>
        <w:rPr>
          <w:sz w:val="32"/>
          <w:szCs w:val="32"/>
        </w:rPr>
      </w:pPr>
    </w:p>
    <w:p w14:paraId="4C44ADAD" w14:textId="77777777" w:rsidR="001E1131" w:rsidRPr="0056697F" w:rsidRDefault="001E1131" w:rsidP="00235B4C">
      <w:pPr>
        <w:rPr>
          <w:sz w:val="32"/>
          <w:szCs w:val="32"/>
        </w:rPr>
      </w:pPr>
    </w:p>
    <w:p w14:paraId="6D80B8F5" w14:textId="77777777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Transportation </w:t>
      </w:r>
      <w:proofErr w:type="gramStart"/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model is</w:t>
      </w:r>
      <w:proofErr w:type="gramEnd"/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used to find an optimal solution using different alternatives.</w:t>
      </w:r>
    </w:p>
    <w:p w14:paraId="528FDEAA" w14:textId="05E58040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69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True</w:t>
      </w:r>
    </w:p>
    <w:p w14:paraId="4A68370D" w14:textId="77777777" w:rsidR="001E1131" w:rsidRPr="001E1131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05D1A12" w14:textId="77777777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In NWC method, we always try to allocate to the respective row and column before we move to the next </w:t>
      </w:r>
      <w:proofErr w:type="gramStart"/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corner</w:t>
      </w:r>
      <w:proofErr w:type="gramEnd"/>
    </w:p>
    <w:p w14:paraId="5000A97C" w14:textId="27BCA45D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69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True</w:t>
      </w:r>
    </w:p>
    <w:p w14:paraId="3E0CABAC" w14:textId="77777777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7A6DF61" w14:textId="6047D03D" w:rsidR="001E1131" w:rsidRPr="001E1131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cost will </w:t>
      </w:r>
      <w:proofErr w:type="gramStart"/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be always</w:t>
      </w:r>
      <w:proofErr w:type="gramEnd"/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lower applying ILC </w:t>
      </w:r>
      <w:proofErr w:type="gramStart"/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compare</w:t>
      </w:r>
      <w:proofErr w:type="gramEnd"/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to NWC.</w:t>
      </w:r>
    </w:p>
    <w:p w14:paraId="5971D793" w14:textId="0972EA09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69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False</w:t>
      </w:r>
    </w:p>
    <w:p w14:paraId="5B4FBAD8" w14:textId="77777777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9777891" w14:textId="77777777" w:rsidR="001E1131" w:rsidRPr="001E1131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supply and requirement will always match in case of resource </w:t>
      </w:r>
      <w:proofErr w:type="gramStart"/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allocation</w:t>
      </w:r>
      <w:proofErr w:type="gramEnd"/>
    </w:p>
    <w:p w14:paraId="0730CE50" w14:textId="222FD282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697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True</w:t>
      </w:r>
    </w:p>
    <w:p w14:paraId="130B42FE" w14:textId="77777777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91CE968" w14:textId="6A76843A" w:rsidR="001E1131" w:rsidRPr="0056697F" w:rsidRDefault="001E1131" w:rsidP="001E1131">
      <w:pPr>
        <w:spacing w:after="0" w:line="240" w:lineRule="auto"/>
        <w:rPr>
          <w:sz w:val="32"/>
          <w:szCs w:val="32"/>
        </w:rPr>
      </w:pPr>
      <w:r w:rsidRPr="0056697F">
        <w:rPr>
          <w:sz w:val="32"/>
          <w:szCs w:val="32"/>
        </w:rPr>
        <w:t xml:space="preserve">We try to allocate arbitrarily if there is any tie in </w:t>
      </w:r>
      <w:proofErr w:type="gramStart"/>
      <w:r w:rsidRPr="0056697F">
        <w:rPr>
          <w:sz w:val="32"/>
          <w:szCs w:val="32"/>
        </w:rPr>
        <w:t>ILC</w:t>
      </w:r>
      <w:proofErr w:type="gramEnd"/>
    </w:p>
    <w:p w14:paraId="45FC4773" w14:textId="035AA40D" w:rsidR="001E1131" w:rsidRPr="0056697F" w:rsidRDefault="001E1131" w:rsidP="001E1131">
      <w:pPr>
        <w:spacing w:after="0" w:line="240" w:lineRule="auto"/>
        <w:rPr>
          <w:sz w:val="32"/>
          <w:szCs w:val="32"/>
        </w:rPr>
      </w:pPr>
      <w:r w:rsidRPr="0056697F">
        <w:rPr>
          <w:sz w:val="32"/>
          <w:szCs w:val="32"/>
        </w:rPr>
        <w:t>False</w:t>
      </w:r>
    </w:p>
    <w:p w14:paraId="02ABC656" w14:textId="77777777" w:rsidR="001E1131" w:rsidRPr="0056697F" w:rsidRDefault="001E1131" w:rsidP="001E1131">
      <w:pPr>
        <w:spacing w:after="0" w:line="240" w:lineRule="auto"/>
        <w:rPr>
          <w:sz w:val="32"/>
          <w:szCs w:val="32"/>
        </w:rPr>
      </w:pPr>
    </w:p>
    <w:p w14:paraId="63DE375A" w14:textId="00DBFFBF" w:rsidR="001E1131" w:rsidRPr="0056697F" w:rsidRDefault="001E1131" w:rsidP="001E1131">
      <w:pPr>
        <w:spacing w:after="0" w:line="240" w:lineRule="auto"/>
        <w:rPr>
          <w:sz w:val="32"/>
          <w:szCs w:val="32"/>
        </w:rPr>
      </w:pPr>
      <w:r w:rsidRPr="0056697F">
        <w:rPr>
          <w:sz w:val="32"/>
          <w:szCs w:val="32"/>
        </w:rPr>
        <w:t xml:space="preserve">The revenue will be always lower than the cost at the upper portion of </w:t>
      </w:r>
      <w:proofErr w:type="spellStart"/>
      <w:r w:rsidRPr="0056697F">
        <w:rPr>
          <w:sz w:val="32"/>
          <w:szCs w:val="32"/>
        </w:rPr>
        <w:t>Break even</w:t>
      </w:r>
      <w:proofErr w:type="spellEnd"/>
      <w:r w:rsidRPr="0056697F">
        <w:rPr>
          <w:sz w:val="32"/>
          <w:szCs w:val="32"/>
        </w:rPr>
        <w:t xml:space="preserve"> </w:t>
      </w:r>
      <w:proofErr w:type="spellStart"/>
      <w:r w:rsidRPr="0056697F">
        <w:rPr>
          <w:sz w:val="32"/>
          <w:szCs w:val="32"/>
        </w:rPr>
        <w:t>ppoint</w:t>
      </w:r>
      <w:proofErr w:type="spellEnd"/>
      <w:r w:rsidRPr="0056697F">
        <w:rPr>
          <w:sz w:val="32"/>
          <w:szCs w:val="32"/>
        </w:rPr>
        <w:t>.</w:t>
      </w:r>
    </w:p>
    <w:p w14:paraId="078DDC00" w14:textId="5906F387" w:rsidR="001E1131" w:rsidRPr="0056697F" w:rsidRDefault="001E1131" w:rsidP="001E1131">
      <w:pPr>
        <w:spacing w:after="0" w:line="240" w:lineRule="auto"/>
        <w:rPr>
          <w:sz w:val="32"/>
          <w:szCs w:val="32"/>
        </w:rPr>
      </w:pPr>
      <w:r w:rsidRPr="0056697F">
        <w:rPr>
          <w:sz w:val="32"/>
          <w:szCs w:val="32"/>
        </w:rPr>
        <w:t>True</w:t>
      </w:r>
    </w:p>
    <w:p w14:paraId="3337C816" w14:textId="77777777" w:rsidR="001E1131" w:rsidRPr="0056697F" w:rsidRDefault="001E1131" w:rsidP="001E1131">
      <w:pPr>
        <w:spacing w:after="0" w:line="240" w:lineRule="auto"/>
        <w:rPr>
          <w:sz w:val="32"/>
          <w:szCs w:val="32"/>
        </w:rPr>
      </w:pPr>
    </w:p>
    <w:p w14:paraId="7169C827" w14:textId="1E6E3528" w:rsidR="001E1131" w:rsidRPr="0056697F" w:rsidRDefault="001E1131" w:rsidP="001E1131">
      <w:pPr>
        <w:spacing w:after="0" w:line="240" w:lineRule="auto"/>
        <w:rPr>
          <w:sz w:val="32"/>
          <w:szCs w:val="32"/>
        </w:rPr>
      </w:pPr>
      <w:r w:rsidRPr="0056697F">
        <w:rPr>
          <w:sz w:val="32"/>
          <w:szCs w:val="32"/>
        </w:rPr>
        <w:t xml:space="preserve">Contribution margin can never be negative under usual </w:t>
      </w:r>
      <w:proofErr w:type="gramStart"/>
      <w:r w:rsidRPr="0056697F">
        <w:rPr>
          <w:sz w:val="32"/>
          <w:szCs w:val="32"/>
        </w:rPr>
        <w:t>circumstance</w:t>
      </w:r>
      <w:proofErr w:type="gramEnd"/>
      <w:r w:rsidRPr="0056697F">
        <w:rPr>
          <w:sz w:val="32"/>
          <w:szCs w:val="32"/>
        </w:rPr>
        <w:t>.</w:t>
      </w:r>
    </w:p>
    <w:p w14:paraId="4D37BD3A" w14:textId="0A44BCF1" w:rsidR="001E1131" w:rsidRPr="0056697F" w:rsidRDefault="001E1131" w:rsidP="001E1131">
      <w:pPr>
        <w:spacing w:after="0" w:line="240" w:lineRule="auto"/>
        <w:rPr>
          <w:sz w:val="32"/>
          <w:szCs w:val="32"/>
        </w:rPr>
      </w:pPr>
      <w:r w:rsidRPr="0056697F">
        <w:rPr>
          <w:sz w:val="32"/>
          <w:szCs w:val="32"/>
        </w:rPr>
        <w:t>True</w:t>
      </w:r>
    </w:p>
    <w:p w14:paraId="50BE02BF" w14:textId="77777777" w:rsidR="001E1131" w:rsidRPr="0056697F" w:rsidRDefault="001E1131" w:rsidP="001E1131">
      <w:pPr>
        <w:spacing w:after="0" w:line="240" w:lineRule="auto"/>
        <w:rPr>
          <w:sz w:val="32"/>
          <w:szCs w:val="32"/>
        </w:rPr>
      </w:pPr>
    </w:p>
    <w:p w14:paraId="4A059DEB" w14:textId="665EDFF2" w:rsidR="001E1131" w:rsidRPr="0056697F" w:rsidRDefault="001E1131" w:rsidP="001E1131">
      <w:pPr>
        <w:spacing w:after="0" w:line="240" w:lineRule="auto"/>
        <w:rPr>
          <w:sz w:val="32"/>
          <w:szCs w:val="32"/>
        </w:rPr>
      </w:pPr>
      <w:r w:rsidRPr="0056697F">
        <w:rPr>
          <w:sz w:val="32"/>
          <w:szCs w:val="32"/>
        </w:rPr>
        <w:t xml:space="preserve">Number of </w:t>
      </w:r>
      <w:proofErr w:type="gramStart"/>
      <w:r w:rsidRPr="0056697F">
        <w:rPr>
          <w:sz w:val="32"/>
          <w:szCs w:val="32"/>
        </w:rPr>
        <w:t>row</w:t>
      </w:r>
      <w:proofErr w:type="gramEnd"/>
      <w:r w:rsidRPr="0056697F">
        <w:rPr>
          <w:sz w:val="32"/>
          <w:szCs w:val="32"/>
        </w:rPr>
        <w:t xml:space="preserve"> and column </w:t>
      </w:r>
      <w:proofErr w:type="gramStart"/>
      <w:r w:rsidRPr="0056697F">
        <w:rPr>
          <w:sz w:val="32"/>
          <w:szCs w:val="32"/>
        </w:rPr>
        <w:t>has to</w:t>
      </w:r>
      <w:proofErr w:type="gramEnd"/>
      <w:r w:rsidRPr="0056697F">
        <w:rPr>
          <w:sz w:val="32"/>
          <w:szCs w:val="32"/>
        </w:rPr>
        <w:t xml:space="preserve"> be equal in dealing with transportation model.</w:t>
      </w:r>
    </w:p>
    <w:p w14:paraId="6AB29F52" w14:textId="7F901813" w:rsidR="001E1131" w:rsidRPr="0056697F" w:rsidRDefault="001E1131" w:rsidP="001E1131">
      <w:pPr>
        <w:spacing w:after="0" w:line="240" w:lineRule="auto"/>
        <w:rPr>
          <w:sz w:val="32"/>
          <w:szCs w:val="32"/>
        </w:rPr>
      </w:pPr>
      <w:r w:rsidRPr="0056697F">
        <w:rPr>
          <w:sz w:val="32"/>
          <w:szCs w:val="32"/>
        </w:rPr>
        <w:t>False</w:t>
      </w:r>
    </w:p>
    <w:p w14:paraId="38A1F010" w14:textId="77777777" w:rsidR="001E1131" w:rsidRPr="0056697F" w:rsidRDefault="001E1131" w:rsidP="001E1131">
      <w:pPr>
        <w:spacing w:after="0" w:line="240" w:lineRule="auto"/>
        <w:rPr>
          <w:sz w:val="32"/>
          <w:szCs w:val="32"/>
        </w:rPr>
      </w:pPr>
    </w:p>
    <w:p w14:paraId="28E559DB" w14:textId="77777777" w:rsidR="001E1131" w:rsidRPr="001E1131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If the fixed cost is 10,000, variable cost is 5 taka and selling price is 10 </w:t>
      </w:r>
      <w:proofErr w:type="gramStart"/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taka</w:t>
      </w:r>
      <w:proofErr w:type="gramEnd"/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what is the BEP? </w:t>
      </w:r>
    </w:p>
    <w:p w14:paraId="17FF992D" w14:textId="77777777" w:rsidR="001E1131" w:rsidRPr="001E1131" w:rsidRDefault="001E1131" w:rsidP="001E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 calculate the break-even point (BEP), we need to know the fixed cost, variable cost, and selling price.</w:t>
      </w:r>
    </w:p>
    <w:p w14:paraId="43A421A6" w14:textId="77777777" w:rsidR="001E1131" w:rsidRPr="001E1131" w:rsidRDefault="001E1131" w:rsidP="001E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 formula for BEP is:</w:t>
      </w:r>
    </w:p>
    <w:p w14:paraId="0AABC708" w14:textId="77777777" w:rsidR="001E1131" w:rsidRPr="001E1131" w:rsidRDefault="001E1131" w:rsidP="001E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BEP = Fixed Cost / (Selling Price - Variable Cost)</w:t>
      </w:r>
    </w:p>
    <w:p w14:paraId="7AFF3CB1" w14:textId="77777777" w:rsidR="001E1131" w:rsidRPr="001E1131" w:rsidRDefault="001E1131" w:rsidP="001E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Substituting the given values, we get:</w:t>
      </w:r>
    </w:p>
    <w:p w14:paraId="2CC85ABF" w14:textId="77777777" w:rsidR="001E1131" w:rsidRPr="001E1131" w:rsidRDefault="001E1131" w:rsidP="001E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BEP = 10,000 / (10 - 5) BEP = 2,000</w:t>
      </w:r>
    </w:p>
    <w:p w14:paraId="1D4E2263" w14:textId="77777777" w:rsidR="001E1131" w:rsidRPr="001E1131" w:rsidRDefault="001E1131" w:rsidP="001E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Therefore, the break-even point is 2,000 units. This means that the business needs to sell at least 2,000 units to cover all its costs and start making a profit. If it sells less than 2,000 units, it will make a loss.</w:t>
      </w:r>
    </w:p>
    <w:p w14:paraId="5989F100" w14:textId="2F6A9C0C" w:rsidR="001E1131" w:rsidRPr="001E1131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B1A17AD" w14:textId="77777777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342479C" w14:textId="77777777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E6E635C" w14:textId="77777777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454E095" w14:textId="77777777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BEF8051" w14:textId="3BE67CF7" w:rsidR="001E1131" w:rsidRPr="001E1131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What would be the profit/loss </w:t>
      </w:r>
      <w:proofErr w:type="spellStart"/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if</w:t>
      </w:r>
      <w:proofErr w:type="spellEnd"/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2500 units are sold? </w:t>
      </w:r>
    </w:p>
    <w:p w14:paraId="66A6A981" w14:textId="77777777" w:rsidR="001E1131" w:rsidRPr="001E1131" w:rsidRDefault="001E1131" w:rsidP="001E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To calculate the profit or loss when a certain number of units are sold, we need to use the following formula:</w:t>
      </w:r>
    </w:p>
    <w:p w14:paraId="22C1BABE" w14:textId="77777777" w:rsidR="001E1131" w:rsidRPr="001E1131" w:rsidRDefault="001E1131" w:rsidP="001E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Profit/Loss = (Selling Price x Number of Units) - (Fixed Cost + Variable Cost x Number of Units)</w:t>
      </w:r>
    </w:p>
    <w:p w14:paraId="7D25CEAE" w14:textId="77777777" w:rsidR="001E1131" w:rsidRPr="001E1131" w:rsidRDefault="001E1131" w:rsidP="001E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Substituting the given values, we get:</w:t>
      </w:r>
    </w:p>
    <w:p w14:paraId="2E76EA3D" w14:textId="77777777" w:rsidR="001E1131" w:rsidRPr="001E1131" w:rsidRDefault="001E1131" w:rsidP="001E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Profit/Loss = (10 x 2,500) - (10,000 + 5 x 2,500) Profit/Loss = 25,000 - 22,500 Profit/Loss = 2,500</w:t>
      </w:r>
    </w:p>
    <w:p w14:paraId="2304F7E9" w14:textId="77777777" w:rsidR="001E1131" w:rsidRPr="001E1131" w:rsidRDefault="001E1131" w:rsidP="001E1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E11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Therefore, if 2,500 units are sold, the business will make a profit of Tk 2,500.</w:t>
      </w:r>
    </w:p>
    <w:p w14:paraId="4479B837" w14:textId="77777777" w:rsidR="001E1131" w:rsidRPr="0056697F" w:rsidRDefault="001E1131" w:rsidP="001E113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sectPr w:rsidR="001E1131" w:rsidRPr="0056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5601"/>
    <w:multiLevelType w:val="hybridMultilevel"/>
    <w:tmpl w:val="41D04128"/>
    <w:lvl w:ilvl="0" w:tplc="2C66C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07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45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8F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2B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06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EB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CE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E2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718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83"/>
    <w:rsid w:val="00026708"/>
    <w:rsid w:val="000E441A"/>
    <w:rsid w:val="00195B2E"/>
    <w:rsid w:val="001C17BC"/>
    <w:rsid w:val="001E1131"/>
    <w:rsid w:val="00205819"/>
    <w:rsid w:val="00235B4C"/>
    <w:rsid w:val="004A64DF"/>
    <w:rsid w:val="0056697F"/>
    <w:rsid w:val="00620B15"/>
    <w:rsid w:val="00845D42"/>
    <w:rsid w:val="009D4E05"/>
    <w:rsid w:val="00A110DD"/>
    <w:rsid w:val="00AD16E9"/>
    <w:rsid w:val="00B440AA"/>
    <w:rsid w:val="00B5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02D3"/>
  <w15:chartTrackingRefBased/>
  <w15:docId w15:val="{B4348BEB-FE0A-4A70-95BC-9BE40D6C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0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5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9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5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1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3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7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4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1292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SHOHANUL ALAM</dc:creator>
  <cp:keywords/>
  <dc:description/>
  <cp:lastModifiedBy>MD. SHOHANUL ALAM</cp:lastModifiedBy>
  <cp:revision>16</cp:revision>
  <dcterms:created xsi:type="dcterms:W3CDTF">2023-05-10T17:23:00Z</dcterms:created>
  <dcterms:modified xsi:type="dcterms:W3CDTF">2023-05-10T18:15:00Z</dcterms:modified>
</cp:coreProperties>
</file>